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A" w:rsidRDefault="00165A6A" w:rsidP="00165A6A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6708C4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FE7456">
        <w:rPr>
          <w:rFonts w:ascii="Times New Roman" w:hAnsi="Times New Roman"/>
          <w:sz w:val="24"/>
          <w:szCs w:val="24"/>
          <w:lang w:val="en-GB"/>
        </w:rPr>
        <w:t>Correlation between the PVP variation and the variation of the variables studied before and after hepatectomy</w:t>
      </w:r>
    </w:p>
    <w:tbl>
      <w:tblPr>
        <w:tblStyle w:val="PlainTable3"/>
        <w:tblpPr w:leftFromText="141" w:rightFromText="141" w:vertAnchor="text" w:horzAnchor="margin" w:tblpY="141"/>
        <w:tblW w:w="8463" w:type="dxa"/>
        <w:tblLook w:val="04A0"/>
      </w:tblPr>
      <w:tblGrid>
        <w:gridCol w:w="4686"/>
        <w:gridCol w:w="1964"/>
        <w:gridCol w:w="1813"/>
      </w:tblGrid>
      <w:tr w:rsidR="00165A6A" w:rsidRPr="00D60882" w:rsidTr="00592546">
        <w:trPr>
          <w:cnfStyle w:val="100000000000"/>
          <w:trHeight w:val="640"/>
        </w:trPr>
        <w:tc>
          <w:tcPr>
            <w:cnfStyle w:val="001000000100"/>
            <w:tcW w:w="468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:rsidR="00165A6A" w:rsidRPr="00D60882" w:rsidRDefault="00165A6A" w:rsidP="00165A6A">
            <w:pPr>
              <w:pStyle w:val="PargrafodaLista"/>
              <w:ind w:left="0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  <w:lang w:val="en-GB" w:eastAsia="pt-PT"/>
              </w:rPr>
            </w:pPr>
          </w:p>
        </w:tc>
        <w:tc>
          <w:tcPr>
            <w:tcW w:w="19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:rsidR="00165A6A" w:rsidRPr="00D60882" w:rsidRDefault="00165A6A" w:rsidP="00165A6A">
            <w:pPr>
              <w:pStyle w:val="PargrafodaLista"/>
              <w:ind w:left="0"/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cap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 w:val="0"/>
                <w:caps w:val="0"/>
                <w:sz w:val="20"/>
                <w:szCs w:val="20"/>
                <w:lang w:val="en-GB" w:eastAsia="pt-PT"/>
              </w:rPr>
              <w:t xml:space="preserve">r </w:t>
            </w:r>
          </w:p>
          <w:p w:rsidR="00165A6A" w:rsidRPr="00D60882" w:rsidRDefault="00165A6A" w:rsidP="00165A6A">
            <w:pPr>
              <w:pStyle w:val="PargrafodaLista"/>
              <w:ind w:left="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caps w:val="0"/>
                <w:sz w:val="20"/>
                <w:szCs w:val="20"/>
                <w:lang w:val="en-GB" w:eastAsia="pt-PT"/>
              </w:rPr>
              <w:t>(correlation)</w:t>
            </w:r>
          </w:p>
        </w:tc>
        <w:tc>
          <w:tcPr>
            <w:tcW w:w="1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:rsidR="00165A6A" w:rsidRPr="00D60882" w:rsidRDefault="00165A6A" w:rsidP="00165A6A">
            <w:pPr>
              <w:pStyle w:val="PargrafodaLista"/>
              <w:ind w:left="0"/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cap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 w:val="0"/>
                <w:caps w:val="0"/>
                <w:sz w:val="20"/>
                <w:szCs w:val="20"/>
                <w:lang w:val="en-GB" w:eastAsia="pt-PT"/>
              </w:rPr>
              <w:t>p</w:t>
            </w:r>
          </w:p>
          <w:p w:rsidR="00165A6A" w:rsidRPr="00D60882" w:rsidRDefault="00165A6A" w:rsidP="00165A6A">
            <w:pPr>
              <w:pStyle w:val="PargrafodaLista"/>
              <w:ind w:left="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caps w:val="0"/>
                <w:sz w:val="20"/>
                <w:szCs w:val="20"/>
                <w:lang w:val="en-GB" w:eastAsia="pt-PT"/>
              </w:rPr>
              <w:t>(significance)</w:t>
            </w:r>
          </w:p>
        </w:tc>
      </w:tr>
      <w:tr w:rsidR="00165A6A" w:rsidRPr="00D60882" w:rsidTr="00165A6A">
        <w:trPr>
          <w:cnfStyle w:val="000000100000"/>
          <w:trHeight w:val="286"/>
        </w:trPr>
        <w:tc>
          <w:tcPr>
            <w:cnfStyle w:val="001000000000"/>
            <w:tcW w:w="4686" w:type="dxa"/>
            <w:tcBorders>
              <w:top w:val="single" w:sz="12" w:space="0" w:color="auto"/>
            </w:tcBorders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INR24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caps w:val="0"/>
                <w:sz w:val="20"/>
                <w:szCs w:val="20"/>
                <w:lang w:val="en-GB" w:eastAsia="pt-PT"/>
              </w:rPr>
              <w:t>h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0,447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0,013</w:t>
            </w:r>
          </w:p>
        </w:tc>
      </w:tr>
      <w:tr w:rsidR="00165A6A" w:rsidRPr="00D60882" w:rsidTr="00165A6A">
        <w:trPr>
          <w:trHeight w:val="270"/>
        </w:trPr>
        <w:tc>
          <w:tcPr>
            <w:cnfStyle w:val="001000000000"/>
            <w:tcW w:w="4686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PT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24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caps w:val="0"/>
                <w:sz w:val="20"/>
                <w:szCs w:val="20"/>
                <w:lang w:val="en-GB" w:eastAsia="pt-PT"/>
              </w:rPr>
              <w:t>h</w:t>
            </w:r>
          </w:p>
        </w:tc>
        <w:tc>
          <w:tcPr>
            <w:tcW w:w="1964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-0,397</w:t>
            </w:r>
          </w:p>
        </w:tc>
        <w:tc>
          <w:tcPr>
            <w:tcW w:w="1813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0,033</w:t>
            </w:r>
          </w:p>
        </w:tc>
      </w:tr>
      <w:tr w:rsidR="00165A6A" w:rsidRPr="00D60882" w:rsidTr="00165A6A">
        <w:trPr>
          <w:cnfStyle w:val="000000100000"/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Ldh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24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caps w:val="0"/>
                <w:sz w:val="20"/>
                <w:szCs w:val="20"/>
                <w:lang w:val="en-GB" w:eastAsia="pt-PT"/>
              </w:rPr>
              <w:t>h</w:t>
            </w:r>
          </w:p>
        </w:tc>
        <w:tc>
          <w:tcPr>
            <w:tcW w:w="1964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0,542</w:t>
            </w:r>
          </w:p>
        </w:tc>
        <w:tc>
          <w:tcPr>
            <w:tcW w:w="1813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0,005</w:t>
            </w:r>
          </w:p>
        </w:tc>
      </w:tr>
      <w:tr w:rsidR="00165A6A" w:rsidRPr="00D60882" w:rsidTr="00165A6A">
        <w:trPr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INR5</w:t>
            </w:r>
          </w:p>
        </w:tc>
        <w:tc>
          <w:tcPr>
            <w:tcW w:w="1964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0,379</w:t>
            </w:r>
          </w:p>
        </w:tc>
        <w:tc>
          <w:tcPr>
            <w:tcW w:w="1813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0,039</w:t>
            </w:r>
          </w:p>
        </w:tc>
      </w:tr>
      <w:tr w:rsidR="00165A6A" w:rsidRPr="00D60882" w:rsidTr="00165A6A">
        <w:trPr>
          <w:cnfStyle w:val="000000100000"/>
          <w:trHeight w:val="270"/>
        </w:trPr>
        <w:tc>
          <w:tcPr>
            <w:cnfStyle w:val="001000000000"/>
            <w:tcW w:w="4686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PT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-0,387</w:t>
            </w:r>
          </w:p>
        </w:tc>
        <w:tc>
          <w:tcPr>
            <w:tcW w:w="1813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0,038</w:t>
            </w:r>
          </w:p>
        </w:tc>
      </w:tr>
      <w:tr w:rsidR="00165A6A" w:rsidRPr="00D60882" w:rsidTr="00165A6A">
        <w:trPr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inr30</w:t>
            </w:r>
          </w:p>
        </w:tc>
        <w:tc>
          <w:tcPr>
            <w:tcW w:w="1964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0,414</w:t>
            </w:r>
          </w:p>
        </w:tc>
        <w:tc>
          <w:tcPr>
            <w:tcW w:w="1813" w:type="dxa"/>
            <w:shd w:val="clear" w:color="auto" w:fill="auto"/>
          </w:tcPr>
          <w:p w:rsidR="00165A6A" w:rsidRPr="00D60882" w:rsidRDefault="00165A6A" w:rsidP="00165A6A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0,032</w:t>
            </w:r>
          </w:p>
        </w:tc>
      </w:tr>
      <w:tr w:rsidR="00F316BF" w:rsidRPr="00D60882" w:rsidTr="00165A6A">
        <w:trPr>
          <w:cnfStyle w:val="000000100000"/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GB" w:eastAsia="pt-PT"/>
              </w:rPr>
            </w:pPr>
            <w:r w:rsidRPr="00F316BF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GB" w:eastAsia="pt-PT"/>
              </w:rPr>
              <w:t>PT30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F316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-0.459</w:t>
            </w: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0.01</w:t>
            </w:r>
          </w:p>
        </w:tc>
      </w:tr>
      <w:tr w:rsidR="00F316BF" w:rsidRPr="00D60882" w:rsidTr="00165A6A">
        <w:trPr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 xml:space="preserve">AP 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30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0,701</w:t>
            </w: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0,0001</w:t>
            </w:r>
          </w:p>
        </w:tc>
      </w:tr>
      <w:tr w:rsidR="00F316BF" w:rsidRPr="00D60882" w:rsidTr="00165A6A">
        <w:trPr>
          <w:cnfStyle w:val="000000100000"/>
          <w:trHeight w:val="270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gO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t30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0,525</w:t>
            </w: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0,007</w:t>
            </w:r>
          </w:p>
        </w:tc>
      </w:tr>
      <w:tr w:rsidR="00F316BF" w:rsidRPr="00D60882" w:rsidTr="00165A6A">
        <w:trPr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Clavien-Dindo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0,01</w:t>
            </w:r>
          </w:p>
        </w:tc>
      </w:tr>
      <w:tr w:rsidR="00F316BF" w:rsidRPr="00D60882" w:rsidTr="00165A6A">
        <w:trPr>
          <w:cnfStyle w:val="000000100000"/>
          <w:trHeight w:val="286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 xml:space="preserve">PHLF </w:t>
            </w: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(ISGLS criteria)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 xml:space="preserve"> 0,041</w:t>
            </w:r>
          </w:p>
        </w:tc>
      </w:tr>
      <w:tr w:rsidR="00F316BF" w:rsidRPr="00D60882" w:rsidTr="00165A6A">
        <w:trPr>
          <w:trHeight w:val="270"/>
        </w:trPr>
        <w:tc>
          <w:tcPr>
            <w:cnfStyle w:val="001000000000"/>
            <w:tcW w:w="4686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PHLF (50-50 criteria)</w:t>
            </w:r>
          </w:p>
        </w:tc>
        <w:tc>
          <w:tcPr>
            <w:tcW w:w="1964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1813" w:type="dxa"/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proofErr w:type="spellStart"/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n.s</w:t>
            </w:r>
            <w:proofErr w:type="spellEnd"/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.</w:t>
            </w:r>
          </w:p>
        </w:tc>
      </w:tr>
      <w:tr w:rsidR="00F316BF" w:rsidRPr="00D60882" w:rsidTr="00165A6A">
        <w:trPr>
          <w:cnfStyle w:val="000000100000"/>
          <w:trHeight w:val="286"/>
        </w:trPr>
        <w:tc>
          <w:tcPr>
            <w:cnfStyle w:val="001000000000"/>
            <w:tcW w:w="4686" w:type="dxa"/>
            <w:tcBorders>
              <w:bottom w:val="single" w:sz="18" w:space="0" w:color="auto"/>
            </w:tcBorders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 xml:space="preserve">mortality </w:t>
            </w:r>
          </w:p>
        </w:tc>
        <w:tc>
          <w:tcPr>
            <w:tcW w:w="1964" w:type="dxa"/>
            <w:tcBorders>
              <w:bottom w:val="single" w:sz="18" w:space="0" w:color="auto"/>
            </w:tcBorders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1813" w:type="dxa"/>
            <w:tcBorders>
              <w:bottom w:val="single" w:sz="18" w:space="0" w:color="auto"/>
            </w:tcBorders>
            <w:shd w:val="clear" w:color="auto" w:fill="auto"/>
          </w:tcPr>
          <w:p w:rsidR="00F316BF" w:rsidRPr="00D60882" w:rsidRDefault="00F316BF" w:rsidP="00F316BF">
            <w:pPr>
              <w:pStyle w:val="PargrafodaLista"/>
              <w:spacing w:line="276" w:lineRule="auto"/>
              <w:ind w:left="0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</w:pPr>
            <w:proofErr w:type="spellStart"/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n.s</w:t>
            </w:r>
            <w:proofErr w:type="spellEnd"/>
            <w:r w:rsidRPr="00D608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 w:eastAsia="pt-PT"/>
              </w:rPr>
              <w:t>.</w:t>
            </w:r>
          </w:p>
        </w:tc>
      </w:tr>
    </w:tbl>
    <w:p w:rsidR="00165A6A" w:rsidRPr="006D3DC4" w:rsidRDefault="00165A6A" w:rsidP="00165A6A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bookmarkStart w:id="0" w:name="_Hlk518479222"/>
      <w:r>
        <w:rPr>
          <w:rFonts w:ascii="Times New Roman" w:hAnsi="Times New Roman"/>
          <w:sz w:val="20"/>
          <w:szCs w:val="20"/>
          <w:lang w:val="en-GB"/>
        </w:rPr>
        <w:t>INR24h</w:t>
      </w:r>
      <w:r w:rsidR="00322BDA">
        <w:rPr>
          <w:rFonts w:ascii="Times New Roman" w:hAnsi="Times New Roman"/>
          <w:sz w:val="20"/>
          <w:szCs w:val="20"/>
          <w:lang w:val="en-GB"/>
        </w:rPr>
        <w:t>/5/30</w:t>
      </w:r>
      <w:r>
        <w:rPr>
          <w:rFonts w:ascii="Times New Roman" w:hAnsi="Times New Roman"/>
          <w:sz w:val="20"/>
          <w:szCs w:val="20"/>
          <w:lang w:val="en-GB"/>
        </w:rPr>
        <w:t>: variation of International normalized ratio between preoperative time and 24 hours</w:t>
      </w:r>
      <w:r w:rsidR="00322BDA">
        <w:rPr>
          <w:rFonts w:ascii="Times New Roman" w:hAnsi="Times New Roman"/>
          <w:sz w:val="20"/>
          <w:szCs w:val="20"/>
          <w:lang w:val="en-GB"/>
        </w:rPr>
        <w:t>, 5</w:t>
      </w:r>
      <w:r w:rsidR="00322BDA" w:rsidRPr="00322BDA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 w:rsidR="00322BDA">
        <w:rPr>
          <w:rFonts w:ascii="Times New Roman" w:hAnsi="Times New Roman"/>
          <w:sz w:val="20"/>
          <w:szCs w:val="20"/>
          <w:lang w:val="en-GB"/>
        </w:rPr>
        <w:t xml:space="preserve"> and 30</w:t>
      </w:r>
      <w:r w:rsidR="00322BDA" w:rsidRPr="00322BDA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 w:rsidR="00322BDA">
        <w:rPr>
          <w:rFonts w:ascii="Times New Roman" w:hAnsi="Times New Roman"/>
          <w:sz w:val="20"/>
          <w:szCs w:val="20"/>
          <w:lang w:val="en-GB"/>
        </w:rPr>
        <w:t xml:space="preserve"> postoperative days</w:t>
      </w:r>
      <w:r>
        <w:rPr>
          <w:rFonts w:ascii="Times New Roman" w:hAnsi="Times New Roman"/>
          <w:sz w:val="20"/>
          <w:szCs w:val="20"/>
          <w:lang w:val="en-GB"/>
        </w:rPr>
        <w:t>.</w:t>
      </w:r>
      <w:bookmarkEnd w:id="0"/>
      <w:r>
        <w:rPr>
          <w:rFonts w:ascii="Times New Roman" w:hAnsi="Times New Roman"/>
          <w:sz w:val="20"/>
          <w:szCs w:val="20"/>
          <w:lang w:val="en-GB"/>
        </w:rPr>
        <w:t xml:space="preserve"> PT</w:t>
      </w:r>
      <w:r w:rsidR="00322BDA">
        <w:rPr>
          <w:rFonts w:ascii="Times New Roman" w:hAnsi="Times New Roman"/>
          <w:sz w:val="20"/>
          <w:szCs w:val="20"/>
          <w:lang w:val="en-GB"/>
        </w:rPr>
        <w:t xml:space="preserve"> 24h</w:t>
      </w:r>
      <w:r w:rsidR="00060267">
        <w:rPr>
          <w:rFonts w:ascii="Times New Roman" w:hAnsi="Times New Roman"/>
          <w:sz w:val="20"/>
          <w:szCs w:val="20"/>
          <w:lang w:val="en-GB"/>
        </w:rPr>
        <w:t>/5/30</w:t>
      </w:r>
      <w:r>
        <w:rPr>
          <w:rFonts w:ascii="Times New Roman" w:hAnsi="Times New Roman"/>
          <w:sz w:val="20"/>
          <w:szCs w:val="20"/>
          <w:lang w:val="en-GB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Protrombine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time</w:t>
      </w:r>
      <w:r w:rsidR="00322BDA">
        <w:rPr>
          <w:rFonts w:ascii="Times New Roman" w:hAnsi="Times New Roman"/>
          <w:sz w:val="20"/>
          <w:szCs w:val="20"/>
          <w:lang w:val="en-GB"/>
        </w:rPr>
        <w:t xml:space="preserve"> variation between preoperative time and 24 postoperative hours. </w:t>
      </w:r>
      <w:r>
        <w:rPr>
          <w:rFonts w:ascii="Times New Roman" w:hAnsi="Times New Roman"/>
          <w:sz w:val="20"/>
          <w:szCs w:val="20"/>
          <w:lang w:val="en-GB"/>
        </w:rPr>
        <w:t>LDH</w:t>
      </w:r>
      <w:r w:rsidR="00CB0AEB">
        <w:rPr>
          <w:rFonts w:ascii="Times New Roman" w:hAnsi="Times New Roman"/>
          <w:sz w:val="20"/>
          <w:szCs w:val="20"/>
          <w:lang w:val="en-GB"/>
        </w:rPr>
        <w:t xml:space="preserve"> 24h</w:t>
      </w:r>
      <w:r>
        <w:rPr>
          <w:rFonts w:ascii="Times New Roman" w:hAnsi="Times New Roman"/>
          <w:sz w:val="20"/>
          <w:szCs w:val="20"/>
          <w:lang w:val="en-GB"/>
        </w:rPr>
        <w:t xml:space="preserve">: </w:t>
      </w:r>
      <w:r w:rsidRPr="00E8162D">
        <w:rPr>
          <w:rFonts w:ascii="Times New Roman" w:hAnsi="Times New Roman"/>
          <w:sz w:val="20"/>
          <w:szCs w:val="20"/>
          <w:lang w:val="en-GB"/>
        </w:rPr>
        <w:t>lactic dehydrogenase</w:t>
      </w:r>
      <w:r w:rsidR="00CB0AEB">
        <w:rPr>
          <w:rFonts w:ascii="Times New Roman" w:hAnsi="Times New Roman"/>
          <w:sz w:val="20"/>
          <w:szCs w:val="20"/>
          <w:lang w:val="en-GB"/>
        </w:rPr>
        <w:t xml:space="preserve"> variation between preoperative time and 24 postoperative hours</w:t>
      </w:r>
      <w:r>
        <w:rPr>
          <w:rFonts w:ascii="Times New Roman" w:hAnsi="Times New Roman"/>
          <w:sz w:val="20"/>
          <w:szCs w:val="20"/>
          <w:lang w:val="en-GB"/>
        </w:rPr>
        <w:t xml:space="preserve">. </w:t>
      </w:r>
      <w:r w:rsidRPr="006D3DC4">
        <w:rPr>
          <w:rFonts w:ascii="Times New Roman" w:hAnsi="Times New Roman"/>
          <w:sz w:val="20"/>
          <w:szCs w:val="20"/>
          <w:lang w:val="en-GB"/>
        </w:rPr>
        <w:t>AP</w:t>
      </w:r>
      <w:r w:rsidR="00060267">
        <w:rPr>
          <w:rFonts w:ascii="Times New Roman" w:hAnsi="Times New Roman"/>
          <w:sz w:val="20"/>
          <w:szCs w:val="20"/>
          <w:lang w:val="en-GB"/>
        </w:rPr>
        <w:t xml:space="preserve"> 30</w:t>
      </w:r>
      <w:r w:rsidRPr="006D3DC4">
        <w:rPr>
          <w:rFonts w:ascii="Times New Roman" w:hAnsi="Times New Roman"/>
          <w:sz w:val="20"/>
          <w:szCs w:val="20"/>
          <w:lang w:val="en-GB"/>
        </w:rPr>
        <w:t>: alkaline phosphatase</w:t>
      </w:r>
      <w:r w:rsidR="00060267">
        <w:rPr>
          <w:rFonts w:ascii="Times New Roman" w:hAnsi="Times New Roman"/>
          <w:sz w:val="20"/>
          <w:szCs w:val="20"/>
          <w:lang w:val="en-GB"/>
        </w:rPr>
        <w:t xml:space="preserve"> variation between preoperative time and 24 postoperative hours</w:t>
      </w:r>
      <w:r w:rsidRPr="006D3DC4">
        <w:rPr>
          <w:rFonts w:ascii="Times New Roman" w:hAnsi="Times New Roman"/>
          <w:sz w:val="20"/>
          <w:szCs w:val="20"/>
          <w:lang w:val="en-GB"/>
        </w:rPr>
        <w:t>. GOT</w:t>
      </w:r>
      <w:r w:rsidR="00060267">
        <w:rPr>
          <w:rFonts w:ascii="Times New Roman" w:hAnsi="Times New Roman"/>
          <w:sz w:val="20"/>
          <w:szCs w:val="20"/>
          <w:lang w:val="en-GB"/>
        </w:rPr>
        <w:t xml:space="preserve"> 30</w:t>
      </w:r>
      <w:r w:rsidRPr="006D3DC4">
        <w:rPr>
          <w:rFonts w:ascii="Times New Roman" w:hAnsi="Times New Roman"/>
          <w:sz w:val="20"/>
          <w:szCs w:val="20"/>
          <w:lang w:val="en-GB"/>
        </w:rPr>
        <w:t xml:space="preserve">: </w:t>
      </w:r>
      <w:proofErr w:type="spellStart"/>
      <w:r w:rsidRPr="006D3DC4">
        <w:rPr>
          <w:rFonts w:ascii="Times New Roman" w:hAnsi="Times New Roman"/>
          <w:sz w:val="20"/>
          <w:szCs w:val="20"/>
          <w:lang w:val="en-GB"/>
        </w:rPr>
        <w:t>glutamic-oxalacetic</w:t>
      </w:r>
      <w:proofErr w:type="spellEnd"/>
      <w:r w:rsidRPr="006D3DC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6D3DC4">
        <w:rPr>
          <w:rFonts w:ascii="Times New Roman" w:hAnsi="Times New Roman"/>
          <w:sz w:val="20"/>
          <w:szCs w:val="20"/>
          <w:lang w:val="en-GB"/>
        </w:rPr>
        <w:t>transaminase</w:t>
      </w:r>
      <w:proofErr w:type="spellEnd"/>
      <w:r w:rsidR="00060267">
        <w:rPr>
          <w:rFonts w:ascii="Times New Roman" w:hAnsi="Times New Roman"/>
          <w:sz w:val="20"/>
          <w:szCs w:val="20"/>
          <w:lang w:val="en-GB"/>
        </w:rPr>
        <w:t xml:space="preserve"> variation between preoperative time and 30</w:t>
      </w:r>
      <w:r w:rsidR="00060267" w:rsidRPr="00060267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 w:rsidR="00060267">
        <w:rPr>
          <w:rFonts w:ascii="Times New Roman" w:hAnsi="Times New Roman"/>
          <w:sz w:val="20"/>
          <w:szCs w:val="20"/>
          <w:lang w:val="en-GB"/>
        </w:rPr>
        <w:t xml:space="preserve"> postoperative </w:t>
      </w:r>
      <w:bookmarkStart w:id="1" w:name="_GoBack"/>
      <w:bookmarkEnd w:id="1"/>
      <w:r w:rsidR="00060267">
        <w:rPr>
          <w:rFonts w:ascii="Times New Roman" w:hAnsi="Times New Roman"/>
          <w:sz w:val="20"/>
          <w:szCs w:val="20"/>
          <w:lang w:val="en-GB"/>
        </w:rPr>
        <w:t>day</w:t>
      </w:r>
      <w:r w:rsidRPr="006D3DC4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D62FE8">
        <w:rPr>
          <w:rFonts w:ascii="Times New Roman" w:hAnsi="Times New Roman"/>
          <w:sz w:val="20"/>
          <w:szCs w:val="20"/>
          <w:lang w:val="en-GB"/>
        </w:rPr>
        <w:t>Clavien</w:t>
      </w:r>
      <w:proofErr w:type="spellEnd"/>
      <w:r w:rsidRPr="00D62FE8">
        <w:rPr>
          <w:rFonts w:ascii="Times New Roman" w:hAnsi="Times New Roman"/>
          <w:sz w:val="20"/>
          <w:szCs w:val="20"/>
          <w:lang w:val="en-GB"/>
        </w:rPr>
        <w:t xml:space="preserve"> – </w:t>
      </w:r>
      <w:proofErr w:type="spellStart"/>
      <w:r w:rsidRPr="00D62FE8">
        <w:rPr>
          <w:rFonts w:ascii="Times New Roman" w:hAnsi="Times New Roman"/>
          <w:sz w:val="20"/>
          <w:szCs w:val="20"/>
          <w:lang w:val="en-GB"/>
        </w:rPr>
        <w:t>Dindo</w:t>
      </w:r>
      <w:proofErr w:type="spellEnd"/>
      <w:r w:rsidRPr="00D62FE8">
        <w:rPr>
          <w:rFonts w:ascii="Times New Roman" w:hAnsi="Times New Roman"/>
          <w:sz w:val="20"/>
          <w:szCs w:val="20"/>
          <w:lang w:val="en-GB"/>
        </w:rPr>
        <w:t>:</w:t>
      </w:r>
      <w:r>
        <w:rPr>
          <w:rFonts w:ascii="Times New Roman" w:hAnsi="Times New Roman"/>
          <w:sz w:val="20"/>
          <w:szCs w:val="20"/>
          <w:lang w:val="en-GB"/>
        </w:rPr>
        <w:t xml:space="preserve"> postoperative</w:t>
      </w:r>
      <w:r w:rsidRPr="00D62FE8">
        <w:rPr>
          <w:rFonts w:ascii="Times New Roman" w:hAnsi="Times New Roman"/>
          <w:sz w:val="20"/>
          <w:szCs w:val="20"/>
          <w:lang w:val="en-GB"/>
        </w:rPr>
        <w:t xml:space="preserve"> morbidity score. PHLF: posthepatectomy liver failure according ISGLS criteria or “50-</w:t>
      </w:r>
      <w:r>
        <w:rPr>
          <w:rFonts w:ascii="Times New Roman" w:hAnsi="Times New Roman"/>
          <w:sz w:val="20"/>
          <w:szCs w:val="20"/>
          <w:lang w:val="en-GB"/>
        </w:rPr>
        <w:t>5</w:t>
      </w:r>
      <w:r w:rsidRPr="00D62FE8">
        <w:rPr>
          <w:rFonts w:ascii="Times New Roman" w:hAnsi="Times New Roman"/>
          <w:sz w:val="20"/>
          <w:szCs w:val="20"/>
          <w:lang w:val="en-GB"/>
        </w:rPr>
        <w:t>0” criteria. Mortality defined as death in the first postoperative 90 days.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0163E0" w:rsidRDefault="000163E0">
      <w:pPr>
        <w:rPr>
          <w:lang w:val="en-GB"/>
        </w:rPr>
      </w:pPr>
    </w:p>
    <w:p w:rsidR="00165A6A" w:rsidRPr="00165A6A" w:rsidRDefault="00165A6A" w:rsidP="00165A6A">
      <w:pPr>
        <w:rPr>
          <w:lang w:val="en-GB"/>
        </w:rPr>
      </w:pPr>
    </w:p>
    <w:sectPr w:rsidR="00165A6A" w:rsidRPr="00165A6A" w:rsidSect="00EC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savePreviewPicture/>
  <w:compat/>
  <w:rsids>
    <w:rsidRoot w:val="00FE4275"/>
    <w:rsid w:val="000163E0"/>
    <w:rsid w:val="0003599E"/>
    <w:rsid w:val="00060267"/>
    <w:rsid w:val="00165A6A"/>
    <w:rsid w:val="00243B6D"/>
    <w:rsid w:val="00322BDA"/>
    <w:rsid w:val="00592546"/>
    <w:rsid w:val="006708C4"/>
    <w:rsid w:val="00846FA2"/>
    <w:rsid w:val="00900488"/>
    <w:rsid w:val="009A329E"/>
    <w:rsid w:val="00BE22CB"/>
    <w:rsid w:val="00CB0AEB"/>
    <w:rsid w:val="00DC4613"/>
    <w:rsid w:val="00EC45E0"/>
    <w:rsid w:val="00F316BF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6A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5A6A"/>
    <w:pPr>
      <w:ind w:left="720"/>
      <w:contextualSpacing/>
    </w:pPr>
  </w:style>
  <w:style w:type="table" w:customStyle="1" w:styleId="PlainTable3">
    <w:name w:val="Plain Table 3"/>
    <w:basedOn w:val="Tabelanormal"/>
    <w:uiPriority w:val="43"/>
    <w:rsid w:val="00165A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2019-01-21T13:40:00Z</dcterms:created>
  <dcterms:modified xsi:type="dcterms:W3CDTF">2019-01-21T13:40:00Z</dcterms:modified>
</cp:coreProperties>
</file>