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94" w:rsidRDefault="001B2D94" w:rsidP="001B2D94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TABLE </w:t>
      </w:r>
      <w:r w:rsidR="00FF2960">
        <w:rPr>
          <w:rFonts w:ascii="Times New Roman" w:hAnsi="Times New Roman"/>
          <w:sz w:val="24"/>
          <w:szCs w:val="24"/>
          <w:lang w:val="en-GB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GB"/>
        </w:rPr>
        <w:t xml:space="preserve"> – Univariate analysis of portal venous pressure as binary variable: </w:t>
      </w:r>
    </w:p>
    <w:p w:rsidR="001B2D94" w:rsidRDefault="001B2D94" w:rsidP="001B2D94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PVP &lt; 2 mm Hg versus PVP </w:t>
      </w:r>
      <w:r>
        <w:rPr>
          <w:rFonts w:ascii="Times New Roman" w:hAnsi="Times New Roman" w:cs="Times New Roman"/>
          <w:sz w:val="24"/>
          <w:szCs w:val="24"/>
          <w:lang w:val="en-GB"/>
        </w:rPr>
        <w:t>≥</w:t>
      </w:r>
      <w:r>
        <w:rPr>
          <w:rFonts w:ascii="Times New Roman" w:hAnsi="Times New Roman"/>
          <w:sz w:val="24"/>
          <w:szCs w:val="24"/>
          <w:lang w:val="en-GB"/>
        </w:rPr>
        <w:t xml:space="preserve"> 2 mm Hg. </w:t>
      </w:r>
    </w:p>
    <w:tbl>
      <w:tblPr>
        <w:tblStyle w:val="GridTable4"/>
        <w:tblW w:w="0" w:type="auto"/>
        <w:jc w:val="center"/>
        <w:tblBorders>
          <w:top w:val="single" w:sz="24" w:space="0" w:color="000000" w:themeColor="text1"/>
          <w:left w:val="none" w:sz="0" w:space="0" w:color="auto"/>
          <w:bottom w:val="single" w:sz="24" w:space="0" w:color="000000" w:themeColor="text1"/>
          <w:right w:val="none" w:sz="0" w:space="0" w:color="auto"/>
          <w:insideH w:val="single" w:sz="18" w:space="0" w:color="000000" w:themeColor="text1"/>
          <w:insideV w:val="none" w:sz="0" w:space="0" w:color="auto"/>
        </w:tblBorders>
        <w:tblLook w:val="04A0"/>
      </w:tblPr>
      <w:tblGrid>
        <w:gridCol w:w="2694"/>
        <w:gridCol w:w="2268"/>
        <w:gridCol w:w="2126"/>
        <w:gridCol w:w="1406"/>
      </w:tblGrid>
      <w:tr w:rsidR="001B2D94" w:rsidTr="00682192">
        <w:trPr>
          <w:cnfStyle w:val="100000000000"/>
          <w:jc w:val="center"/>
        </w:trPr>
        <w:tc>
          <w:tcPr>
            <w:cnfStyle w:val="001000000000"/>
            <w:tcW w:w="2694" w:type="dxa"/>
            <w:tcBorders>
              <w:top w:val="single" w:sz="24" w:space="0" w:color="000000" w:themeColor="text1"/>
              <w:bottom w:val="single" w:sz="18" w:space="0" w:color="000000" w:themeColor="text1"/>
            </w:tcBorders>
            <w:shd w:val="clear" w:color="auto" w:fill="E7E6E6" w:themeFill="background2"/>
            <w:vAlign w:val="center"/>
          </w:tcPr>
          <w:p w:rsidR="001B2D94" w:rsidRDefault="001B2D94" w:rsidP="001B2D9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24" w:space="0" w:color="000000" w:themeColor="text1"/>
              <w:bottom w:val="single" w:sz="18" w:space="0" w:color="000000" w:themeColor="text1"/>
            </w:tcBorders>
            <w:shd w:val="clear" w:color="auto" w:fill="E7E6E6" w:themeFill="background2"/>
            <w:vAlign w:val="center"/>
          </w:tcPr>
          <w:p w:rsidR="001B2D94" w:rsidRPr="000B71EF" w:rsidRDefault="000B71EF" w:rsidP="000B71EF">
            <w:pPr>
              <w:spacing w:line="480" w:lineRule="auto"/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0B71EF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PVP &lt;2 mm Hg</w:t>
            </w:r>
          </w:p>
        </w:tc>
        <w:tc>
          <w:tcPr>
            <w:tcW w:w="2126" w:type="dxa"/>
            <w:tcBorders>
              <w:top w:val="single" w:sz="24" w:space="0" w:color="000000" w:themeColor="text1"/>
              <w:bottom w:val="single" w:sz="18" w:space="0" w:color="000000" w:themeColor="text1"/>
            </w:tcBorders>
            <w:shd w:val="clear" w:color="auto" w:fill="E7E6E6" w:themeFill="background2"/>
            <w:vAlign w:val="center"/>
          </w:tcPr>
          <w:p w:rsidR="001B2D94" w:rsidRPr="000B71EF" w:rsidRDefault="000B71EF" w:rsidP="000B71EF">
            <w:pPr>
              <w:spacing w:line="480" w:lineRule="auto"/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 xml:space="preserve">PVP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≥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 xml:space="preserve"> 2 mm Hg</w:t>
            </w:r>
          </w:p>
        </w:tc>
        <w:tc>
          <w:tcPr>
            <w:tcW w:w="1406" w:type="dxa"/>
            <w:tcBorders>
              <w:top w:val="single" w:sz="24" w:space="0" w:color="000000" w:themeColor="text1"/>
              <w:bottom w:val="single" w:sz="18" w:space="0" w:color="000000" w:themeColor="text1"/>
            </w:tcBorders>
            <w:shd w:val="clear" w:color="auto" w:fill="E7E6E6" w:themeFill="background2"/>
            <w:vAlign w:val="center"/>
          </w:tcPr>
          <w:p w:rsidR="001B2D94" w:rsidRPr="000B71EF" w:rsidRDefault="000B71EF" w:rsidP="000B71EF">
            <w:pPr>
              <w:spacing w:line="480" w:lineRule="auto"/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p</w:t>
            </w:r>
          </w:p>
        </w:tc>
      </w:tr>
      <w:tr w:rsidR="000B71EF" w:rsidTr="000B71EF">
        <w:trPr>
          <w:cnfStyle w:val="000000100000"/>
          <w:jc w:val="center"/>
        </w:trPr>
        <w:tc>
          <w:tcPr>
            <w:cnfStyle w:val="001000000000"/>
            <w:tcW w:w="2694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</w:tcPr>
          <w:p w:rsidR="000B71EF" w:rsidRDefault="000B71EF" w:rsidP="000B71E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INR24h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0,41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0.25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0,62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± 0.45</w:t>
            </w:r>
          </w:p>
        </w:tc>
        <w:tc>
          <w:tcPr>
            <w:tcW w:w="1406" w:type="dxa"/>
            <w:tcBorders>
              <w:top w:val="single" w:sz="18" w:space="0" w:color="000000" w:themeColor="text1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0.006</w:t>
            </w:r>
          </w:p>
        </w:tc>
      </w:tr>
      <w:tr w:rsidR="000B71EF" w:rsidTr="000B71EF">
        <w:trPr>
          <w:jc w:val="center"/>
        </w:trPr>
        <w:tc>
          <w:tcPr>
            <w:cnfStyle w:val="001000000000"/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0B71EF" w:rsidRDefault="000B71EF" w:rsidP="000B71E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INR 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0.1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± 0.11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0.2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± 0.24</w:t>
            </w: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0.029</w:t>
            </w:r>
          </w:p>
        </w:tc>
      </w:tr>
      <w:tr w:rsidR="000B71EF" w:rsidTr="000B71EF">
        <w:trPr>
          <w:cnfStyle w:val="000000100000"/>
          <w:jc w:val="center"/>
        </w:trPr>
        <w:tc>
          <w:tcPr>
            <w:cnfStyle w:val="001000000000"/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0B71EF" w:rsidRDefault="000B71EF" w:rsidP="000B71E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60882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INR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30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0.04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± 0.08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0.12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± 0.1</w:t>
            </w: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0.033</w:t>
            </w:r>
          </w:p>
        </w:tc>
      </w:tr>
      <w:tr w:rsidR="000B71EF" w:rsidTr="000B71EF">
        <w:trPr>
          <w:jc w:val="center"/>
        </w:trPr>
        <w:tc>
          <w:tcPr>
            <w:cnfStyle w:val="001000000000"/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0B71EF" w:rsidRDefault="000B71EF" w:rsidP="000B71E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n-GB" w:eastAsia="pt-PT"/>
              </w:rPr>
              <w:t>LDH 24h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68.4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± 90.7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993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± 1731</w:t>
            </w: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0.026</w:t>
            </w:r>
          </w:p>
        </w:tc>
      </w:tr>
      <w:tr w:rsidR="000B71EF" w:rsidTr="000B71EF">
        <w:trPr>
          <w:cnfStyle w:val="000000100000"/>
          <w:jc w:val="center"/>
        </w:trPr>
        <w:tc>
          <w:tcPr>
            <w:cnfStyle w:val="001000000000"/>
            <w:tcW w:w="2694" w:type="dxa"/>
            <w:tcBorders>
              <w:top w:val="nil"/>
              <w:bottom w:val="single" w:sz="24" w:space="0" w:color="000000" w:themeColor="text1"/>
            </w:tcBorders>
            <w:shd w:val="clear" w:color="auto" w:fill="auto"/>
            <w:vAlign w:val="center"/>
          </w:tcPr>
          <w:p w:rsidR="000B71EF" w:rsidRPr="000B71EF" w:rsidRDefault="000B71EF" w:rsidP="000B71EF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AP</w:t>
            </w:r>
            <w:r w:rsidR="00621158"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30</w:t>
            </w:r>
          </w:p>
        </w:tc>
        <w:tc>
          <w:tcPr>
            <w:tcW w:w="2268" w:type="dxa"/>
            <w:tcBorders>
              <w:top w:val="nil"/>
              <w:bottom w:val="single" w:sz="24" w:space="0" w:color="000000" w:themeColor="text1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36.8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± 46.3</w:t>
            </w:r>
          </w:p>
        </w:tc>
        <w:tc>
          <w:tcPr>
            <w:tcW w:w="2126" w:type="dxa"/>
            <w:tcBorders>
              <w:top w:val="nil"/>
              <w:bottom w:val="single" w:sz="24" w:space="0" w:color="000000" w:themeColor="text1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102.7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± 73.6</w:t>
            </w:r>
          </w:p>
        </w:tc>
        <w:tc>
          <w:tcPr>
            <w:tcW w:w="1406" w:type="dxa"/>
            <w:tcBorders>
              <w:top w:val="nil"/>
              <w:bottom w:val="single" w:sz="24" w:space="0" w:color="000000" w:themeColor="text1"/>
            </w:tcBorders>
            <w:shd w:val="clear" w:color="auto" w:fill="auto"/>
            <w:vAlign w:val="center"/>
          </w:tcPr>
          <w:p w:rsidR="000B71EF" w:rsidRDefault="000B71EF" w:rsidP="000B71EF">
            <w:pPr>
              <w:spacing w:line="48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0.001</w:t>
            </w:r>
          </w:p>
        </w:tc>
      </w:tr>
    </w:tbl>
    <w:p w:rsidR="001B2D94" w:rsidRDefault="00621158" w:rsidP="001B2D94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INR24h/5/30: variation of International normalized ratio between preoperative time and 24 hours, 5</w:t>
      </w:r>
      <w:r w:rsidRPr="00322BDA">
        <w:rPr>
          <w:rFonts w:ascii="Times New Roman" w:hAnsi="Times New Roman"/>
          <w:sz w:val="20"/>
          <w:szCs w:val="20"/>
          <w:vertAlign w:val="superscript"/>
          <w:lang w:val="en-GB"/>
        </w:rPr>
        <w:t>th</w:t>
      </w:r>
      <w:r>
        <w:rPr>
          <w:rFonts w:ascii="Times New Roman" w:hAnsi="Times New Roman"/>
          <w:sz w:val="20"/>
          <w:szCs w:val="20"/>
          <w:lang w:val="en-GB"/>
        </w:rPr>
        <w:t xml:space="preserve"> and 30</w:t>
      </w:r>
      <w:r w:rsidRPr="00322BDA">
        <w:rPr>
          <w:rFonts w:ascii="Times New Roman" w:hAnsi="Times New Roman"/>
          <w:sz w:val="20"/>
          <w:szCs w:val="20"/>
          <w:vertAlign w:val="superscript"/>
          <w:lang w:val="en-GB"/>
        </w:rPr>
        <w:t>th</w:t>
      </w:r>
      <w:r>
        <w:rPr>
          <w:rFonts w:ascii="Times New Roman" w:hAnsi="Times New Roman"/>
          <w:sz w:val="20"/>
          <w:szCs w:val="20"/>
          <w:lang w:val="en-GB"/>
        </w:rPr>
        <w:t xml:space="preserve"> postoperative days. </w:t>
      </w:r>
      <w:r w:rsidR="0088509E">
        <w:rPr>
          <w:rFonts w:ascii="Times New Roman" w:hAnsi="Times New Roman"/>
          <w:sz w:val="20"/>
          <w:szCs w:val="20"/>
          <w:lang w:val="en-GB"/>
        </w:rPr>
        <w:t>LDH</w:t>
      </w:r>
      <w:r>
        <w:rPr>
          <w:rFonts w:ascii="Times New Roman" w:hAnsi="Times New Roman"/>
          <w:sz w:val="20"/>
          <w:szCs w:val="20"/>
          <w:lang w:val="en-GB"/>
        </w:rPr>
        <w:t xml:space="preserve"> 24h</w:t>
      </w:r>
      <w:r w:rsidR="0088509E">
        <w:rPr>
          <w:rFonts w:ascii="Times New Roman" w:hAnsi="Times New Roman"/>
          <w:sz w:val="20"/>
          <w:szCs w:val="20"/>
          <w:lang w:val="en-GB"/>
        </w:rPr>
        <w:t xml:space="preserve">: </w:t>
      </w:r>
      <w:r w:rsidRPr="00E8162D">
        <w:rPr>
          <w:rFonts w:ascii="Times New Roman" w:hAnsi="Times New Roman"/>
          <w:sz w:val="20"/>
          <w:szCs w:val="20"/>
          <w:lang w:val="en-GB"/>
        </w:rPr>
        <w:t>lactic dehydrogenase</w:t>
      </w:r>
      <w:r>
        <w:rPr>
          <w:rFonts w:ascii="Times New Roman" w:hAnsi="Times New Roman"/>
          <w:sz w:val="20"/>
          <w:szCs w:val="20"/>
          <w:lang w:val="en-GB"/>
        </w:rPr>
        <w:t xml:space="preserve"> variation between preoperative time and 24 postoperative hours </w:t>
      </w:r>
      <w:r w:rsidR="0088509E" w:rsidRPr="006D3DC4">
        <w:rPr>
          <w:rFonts w:ascii="Times New Roman" w:hAnsi="Times New Roman"/>
          <w:sz w:val="20"/>
          <w:szCs w:val="20"/>
          <w:lang w:val="en-GB"/>
        </w:rPr>
        <w:t>AP</w:t>
      </w:r>
      <w:r>
        <w:rPr>
          <w:rFonts w:ascii="Times New Roman" w:hAnsi="Times New Roman"/>
          <w:sz w:val="20"/>
          <w:szCs w:val="20"/>
          <w:lang w:val="en-GB"/>
        </w:rPr>
        <w:t xml:space="preserve">  30</w:t>
      </w:r>
      <w:r w:rsidR="0088509E" w:rsidRPr="006D3DC4">
        <w:rPr>
          <w:rFonts w:ascii="Times New Roman" w:hAnsi="Times New Roman"/>
          <w:sz w:val="20"/>
          <w:szCs w:val="20"/>
          <w:lang w:val="en-GB"/>
        </w:rPr>
        <w:t>: alkaline phosphatase</w:t>
      </w:r>
      <w:r>
        <w:rPr>
          <w:rFonts w:ascii="Times New Roman" w:hAnsi="Times New Roman"/>
          <w:sz w:val="20"/>
          <w:szCs w:val="20"/>
          <w:lang w:val="en-GB"/>
        </w:rPr>
        <w:t xml:space="preserve"> variation between preoperative time and 30</w:t>
      </w:r>
      <w:r w:rsidRPr="00621158">
        <w:rPr>
          <w:rFonts w:ascii="Times New Roman" w:hAnsi="Times New Roman"/>
          <w:sz w:val="20"/>
          <w:szCs w:val="20"/>
          <w:vertAlign w:val="superscript"/>
          <w:lang w:val="en-GB"/>
        </w:rPr>
        <w:t>th</w:t>
      </w:r>
      <w:r>
        <w:rPr>
          <w:rFonts w:ascii="Times New Roman" w:hAnsi="Times New Roman"/>
          <w:sz w:val="20"/>
          <w:szCs w:val="20"/>
          <w:lang w:val="en-GB"/>
        </w:rPr>
        <w:t xml:space="preserve"> postoperative day. </w:t>
      </w:r>
    </w:p>
    <w:p w:rsidR="000163E0" w:rsidRPr="001B2D94" w:rsidRDefault="000163E0">
      <w:pPr>
        <w:rPr>
          <w:lang w:val="en-GB"/>
        </w:rPr>
      </w:pPr>
    </w:p>
    <w:sectPr w:rsidR="000163E0" w:rsidRPr="001B2D94" w:rsidSect="006C7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compat/>
  <w:rsids>
    <w:rsidRoot w:val="001E5976"/>
    <w:rsid w:val="000163E0"/>
    <w:rsid w:val="0003599E"/>
    <w:rsid w:val="000B71EF"/>
    <w:rsid w:val="001B2D94"/>
    <w:rsid w:val="001E5976"/>
    <w:rsid w:val="005D02C4"/>
    <w:rsid w:val="00621158"/>
    <w:rsid w:val="00682192"/>
    <w:rsid w:val="006C75E8"/>
    <w:rsid w:val="00846FA2"/>
    <w:rsid w:val="0088509E"/>
    <w:rsid w:val="008E5F41"/>
    <w:rsid w:val="00900488"/>
    <w:rsid w:val="00DC4613"/>
    <w:rsid w:val="00F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94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B2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elanormal"/>
    <w:uiPriority w:val="49"/>
    <w:rsid w:val="001B2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Carrapita</dc:creator>
  <cp:lastModifiedBy>MReis</cp:lastModifiedBy>
  <cp:revision>2</cp:revision>
  <dcterms:created xsi:type="dcterms:W3CDTF">2019-01-21T13:43:00Z</dcterms:created>
  <dcterms:modified xsi:type="dcterms:W3CDTF">2019-01-21T13:43:00Z</dcterms:modified>
</cp:coreProperties>
</file>