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1F" w:rsidRPr="00F975C5" w:rsidRDefault="00E1771F" w:rsidP="00E1771F">
      <w:pPr>
        <w:ind w:hanging="709"/>
        <w:rPr>
          <w:lang w:val="en-US"/>
        </w:rPr>
      </w:pPr>
      <w:bookmarkStart w:id="0" w:name="_GoBack"/>
      <w:bookmarkEnd w:id="0"/>
      <w:r>
        <w:rPr>
          <w:noProof/>
          <w:lang w:val="pt-PT" w:eastAsia="pt-PT"/>
        </w:rPr>
        <w:drawing>
          <wp:inline distT="0" distB="0" distL="0" distR="0">
            <wp:extent cx="6772275" cy="4362450"/>
            <wp:effectExtent l="0" t="0" r="9525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1771F" w:rsidRPr="00532A9D" w:rsidRDefault="00E1771F" w:rsidP="00E1771F">
      <w:pPr>
        <w:widowControl w:val="0"/>
        <w:spacing w:line="480" w:lineRule="auto"/>
        <w:ind w:left="640" w:hanging="640"/>
        <w:rPr>
          <w:rFonts w:ascii="Times New Roman" w:hAnsi="Times New Roman" w:cs="Times New Roman"/>
          <w:b/>
          <w:lang w:val="pt-PT"/>
        </w:rPr>
      </w:pPr>
      <w:r w:rsidRPr="00532A9D">
        <w:rPr>
          <w:rFonts w:ascii="Times New Roman" w:hAnsi="Times New Roman" w:cs="Times New Roman"/>
          <w:b/>
          <w:lang w:val="pt-PT"/>
        </w:rPr>
        <w:t xml:space="preserve">Figura 4. </w:t>
      </w:r>
      <w:r>
        <w:rPr>
          <w:rFonts w:ascii="Times New Roman" w:hAnsi="Times New Roman" w:cs="Times New Roman"/>
          <w:b/>
          <w:lang w:val="pt-PT"/>
        </w:rPr>
        <w:t>V</w:t>
      </w:r>
      <w:r w:rsidRPr="00532A9D">
        <w:rPr>
          <w:rFonts w:ascii="Times New Roman" w:hAnsi="Times New Roman" w:cs="Times New Roman"/>
          <w:b/>
          <w:lang w:val="pt-PT"/>
        </w:rPr>
        <w:t>alorização das fontes de informação</w:t>
      </w:r>
      <w:r>
        <w:rPr>
          <w:rFonts w:ascii="Times New Roman" w:hAnsi="Times New Roman" w:cs="Times New Roman"/>
          <w:b/>
          <w:lang w:val="pt-PT"/>
        </w:rPr>
        <w:t xml:space="preserve"> pelos participantes dos quatro grupos focais: (-) = desvalorizado; (+) = valorizado; </w:t>
      </w:r>
      <w:proofErr w:type="spellStart"/>
      <w:r>
        <w:rPr>
          <w:rFonts w:ascii="Times New Roman" w:hAnsi="Times New Roman" w:cs="Times New Roman"/>
          <w:b/>
          <w:lang w:val="pt-PT"/>
        </w:rPr>
        <w:t>nq</w:t>
      </w:r>
      <w:proofErr w:type="spellEnd"/>
      <w:r>
        <w:rPr>
          <w:rFonts w:ascii="Times New Roman" w:hAnsi="Times New Roman" w:cs="Times New Roman"/>
          <w:b/>
          <w:lang w:val="pt-PT"/>
        </w:rPr>
        <w:t xml:space="preserve"> = mencionado, mas não qualificado.</w:t>
      </w:r>
    </w:p>
    <w:p w:rsidR="001D327F" w:rsidRDefault="001D327F"/>
    <w:sectPr w:rsidR="001D327F" w:rsidSect="00920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6232B"/>
    <w:rsid w:val="00073C88"/>
    <w:rsid w:val="001D327F"/>
    <w:rsid w:val="0036232B"/>
    <w:rsid w:val="003E318C"/>
    <w:rsid w:val="009202E5"/>
    <w:rsid w:val="009244E8"/>
    <w:rsid w:val="00E1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1F"/>
    <w:rPr>
      <w:lang w:val="en-GB"/>
    </w:rPr>
  </w:style>
  <w:style w:type="paragraph" w:styleId="Ttulo1">
    <w:name w:val="heading 1"/>
    <w:basedOn w:val="Normal"/>
    <w:next w:val="Normal"/>
    <w:link w:val="Ttulo1Carcter"/>
    <w:uiPriority w:val="9"/>
    <w:qFormat/>
    <w:rsid w:val="00E17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qFormat/>
    <w:rsid w:val="00E177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E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318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barra\AppData\Local\Microsoft\Windows\Temporary%20Internet%20Files\Content.Outlook\KQ7JW2KI\an&#225;lise%20agregad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stacked"/>
        <c:ser>
          <c:idx val="0"/>
          <c:order val="0"/>
          <c:tx>
            <c:strRef>
              <c:f>'Fontes de informação'!$D$3</c:f>
              <c:strCache>
                <c:ptCount val="1"/>
                <c:pt idx="0">
                  <c:v>1º  ano</c:v>
                </c:pt>
              </c:strCache>
            </c:strRef>
          </c:tx>
          <c:cat>
            <c:multiLvlStrRef>
              <c:f>'Fontes de informação'!$B$4:$C$19</c:f>
              <c:multiLvlStrCache>
                <c:ptCount val="15"/>
                <c:lvl>
                  <c:pt idx="0">
                    <c:v>Internet/Google</c:v>
                  </c:pt>
                  <c:pt idx="1">
                    <c:v>Livros/compêndios terapêuticos</c:v>
                  </c:pt>
                  <c:pt idx="2">
                    <c:v>Prática clínica</c:v>
                  </c:pt>
                  <c:pt idx="3">
                    <c:v>Delegados informação médica</c:v>
                  </c:pt>
                  <c:pt idx="4">
                    <c:v>Estudos de eficácia/revisões sistemáticas/metanálises</c:v>
                  </c:pt>
                  <c:pt idx="5">
                    <c:v>Guidelines</c:v>
                  </c:pt>
                  <c:pt idx="6">
                    <c:v>Opinião de colega</c:v>
                  </c:pt>
                  <c:pt idx="7">
                    <c:v>Infarmed/DGS/Resumos EMA/RCM</c:v>
                  </c:pt>
                  <c:pt idx="8">
                    <c:v>Plataformas on-line/medscape/uptodate</c:v>
                  </c:pt>
                  <c:pt idx="9">
                    <c:v>Prontuário terapêutico</c:v>
                  </c:pt>
                  <c:pt idx="10">
                    <c:v>Revistas médicas conceituadas</c:v>
                  </c:pt>
                  <c:pt idx="11">
                    <c:v>Formação académica</c:v>
                  </c:pt>
                  <c:pt idx="12">
                    <c:v>Congressos</c:v>
                  </c:pt>
                  <c:pt idx="13">
                    <c:v>Sistema de receituário electrónico</c:v>
                  </c:pt>
                  <c:pt idx="14">
                    <c:v>Aplicação telemóvel /whitebook</c:v>
                  </c:pt>
                </c:lvl>
                <c:lvl>
                  <c:pt idx="0">
                    <c:v>(-) </c:v>
                  </c:pt>
                  <c:pt idx="1">
                    <c:v>(-) </c:v>
                  </c:pt>
                  <c:pt idx="2">
                    <c:v>(-) </c:v>
                  </c:pt>
                  <c:pt idx="3">
                    <c:v>(-) </c:v>
                  </c:pt>
                  <c:pt idx="4">
                    <c:v>(+) </c:v>
                  </c:pt>
                  <c:pt idx="5">
                    <c:v>(+) </c:v>
                  </c:pt>
                  <c:pt idx="6">
                    <c:v>(+) </c:v>
                  </c:pt>
                  <c:pt idx="7">
                    <c:v>(+) </c:v>
                  </c:pt>
                  <c:pt idx="8">
                    <c:v>(+) </c:v>
                  </c:pt>
                  <c:pt idx="9">
                    <c:v>nq</c:v>
                  </c:pt>
                  <c:pt idx="10">
                    <c:v>nq</c:v>
                  </c:pt>
                  <c:pt idx="11">
                    <c:v>nq</c:v>
                  </c:pt>
                  <c:pt idx="12">
                    <c:v>nq</c:v>
                  </c:pt>
                  <c:pt idx="13">
                    <c:v>nq</c:v>
                  </c:pt>
                  <c:pt idx="14">
                    <c:v>nq</c:v>
                  </c:pt>
                </c:lvl>
              </c:multiLvlStrCache>
            </c:multiLvlStrRef>
          </c:cat>
          <c:val>
            <c:numRef>
              <c:f>'Fontes de informação'!$D$4:$D$19</c:f>
              <c:numCache>
                <c:formatCode>General</c:formatCode>
                <c:ptCount val="1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35-467C-B330-A9B321C72D02}"/>
            </c:ext>
          </c:extLst>
        </c:ser>
        <c:ser>
          <c:idx val="1"/>
          <c:order val="1"/>
          <c:tx>
            <c:strRef>
              <c:f>'Fontes de informação'!$E$3</c:f>
              <c:strCache>
                <c:ptCount val="1"/>
                <c:pt idx="0">
                  <c:v>3º ano</c:v>
                </c:pt>
              </c:strCache>
            </c:strRef>
          </c:tx>
          <c:cat>
            <c:multiLvlStrRef>
              <c:f>'Fontes de informação'!$B$4:$C$19</c:f>
              <c:multiLvlStrCache>
                <c:ptCount val="15"/>
                <c:lvl>
                  <c:pt idx="0">
                    <c:v>Internet/Google</c:v>
                  </c:pt>
                  <c:pt idx="1">
                    <c:v>Livros/compêndios terapêuticos</c:v>
                  </c:pt>
                  <c:pt idx="2">
                    <c:v>Prática clínica</c:v>
                  </c:pt>
                  <c:pt idx="3">
                    <c:v>Delegados informação médica</c:v>
                  </c:pt>
                  <c:pt idx="4">
                    <c:v>Estudos de eficácia/revisões sistemáticas/metanálises</c:v>
                  </c:pt>
                  <c:pt idx="5">
                    <c:v>Guidelines</c:v>
                  </c:pt>
                  <c:pt idx="6">
                    <c:v>Opinião de colega</c:v>
                  </c:pt>
                  <c:pt idx="7">
                    <c:v>Infarmed/DGS/Resumos EMA/RCM</c:v>
                  </c:pt>
                  <c:pt idx="8">
                    <c:v>Plataformas on-line/medscape/uptodate</c:v>
                  </c:pt>
                  <c:pt idx="9">
                    <c:v>Prontuário terapêutico</c:v>
                  </c:pt>
                  <c:pt idx="10">
                    <c:v>Revistas médicas conceituadas</c:v>
                  </c:pt>
                  <c:pt idx="11">
                    <c:v>Formação académica</c:v>
                  </c:pt>
                  <c:pt idx="12">
                    <c:v>Congressos</c:v>
                  </c:pt>
                  <c:pt idx="13">
                    <c:v>Sistema de receituário electrónico</c:v>
                  </c:pt>
                  <c:pt idx="14">
                    <c:v>Aplicação telemóvel /whitebook</c:v>
                  </c:pt>
                </c:lvl>
                <c:lvl>
                  <c:pt idx="0">
                    <c:v>(-) </c:v>
                  </c:pt>
                  <c:pt idx="1">
                    <c:v>(-) </c:v>
                  </c:pt>
                  <c:pt idx="2">
                    <c:v>(-) </c:v>
                  </c:pt>
                  <c:pt idx="3">
                    <c:v>(-) </c:v>
                  </c:pt>
                  <c:pt idx="4">
                    <c:v>(+) </c:v>
                  </c:pt>
                  <c:pt idx="5">
                    <c:v>(+) </c:v>
                  </c:pt>
                  <c:pt idx="6">
                    <c:v>(+) </c:v>
                  </c:pt>
                  <c:pt idx="7">
                    <c:v>(+) </c:v>
                  </c:pt>
                  <c:pt idx="8">
                    <c:v>(+) </c:v>
                  </c:pt>
                  <c:pt idx="9">
                    <c:v>nq</c:v>
                  </c:pt>
                  <c:pt idx="10">
                    <c:v>nq</c:v>
                  </c:pt>
                  <c:pt idx="11">
                    <c:v>nq</c:v>
                  </c:pt>
                  <c:pt idx="12">
                    <c:v>nq</c:v>
                  </c:pt>
                  <c:pt idx="13">
                    <c:v>nq</c:v>
                  </c:pt>
                  <c:pt idx="14">
                    <c:v>nq</c:v>
                  </c:pt>
                </c:lvl>
              </c:multiLvlStrCache>
            </c:multiLvlStrRef>
          </c:cat>
          <c:val>
            <c:numRef>
              <c:f>'Fontes de informação'!$E$4:$E$19</c:f>
              <c:numCache>
                <c:formatCode>General</c:formatCode>
                <c:ptCount val="16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4">
                  <c:v>11</c:v>
                </c:pt>
                <c:pt idx="5">
                  <c:v>4</c:v>
                </c:pt>
                <c:pt idx="6">
                  <c:v>6</c:v>
                </c:pt>
                <c:pt idx="7">
                  <c:v>14</c:v>
                </c:pt>
                <c:pt idx="8">
                  <c:v>4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35-467C-B330-A9B321C72D02}"/>
            </c:ext>
          </c:extLst>
        </c:ser>
        <c:ser>
          <c:idx val="2"/>
          <c:order val="2"/>
          <c:tx>
            <c:strRef>
              <c:f>'Fontes de informação'!$F$3</c:f>
              <c:strCache>
                <c:ptCount val="1"/>
                <c:pt idx="0">
                  <c:v>5º ano</c:v>
                </c:pt>
              </c:strCache>
            </c:strRef>
          </c:tx>
          <c:cat>
            <c:multiLvlStrRef>
              <c:f>'Fontes de informação'!$B$4:$C$19</c:f>
              <c:multiLvlStrCache>
                <c:ptCount val="15"/>
                <c:lvl>
                  <c:pt idx="0">
                    <c:v>Internet/Google</c:v>
                  </c:pt>
                  <c:pt idx="1">
                    <c:v>Livros/compêndios terapêuticos</c:v>
                  </c:pt>
                  <c:pt idx="2">
                    <c:v>Prática clínica</c:v>
                  </c:pt>
                  <c:pt idx="3">
                    <c:v>Delegados informação médica</c:v>
                  </c:pt>
                  <c:pt idx="4">
                    <c:v>Estudos de eficácia/revisões sistemáticas/metanálises</c:v>
                  </c:pt>
                  <c:pt idx="5">
                    <c:v>Guidelines</c:v>
                  </c:pt>
                  <c:pt idx="6">
                    <c:v>Opinião de colega</c:v>
                  </c:pt>
                  <c:pt idx="7">
                    <c:v>Infarmed/DGS/Resumos EMA/RCM</c:v>
                  </c:pt>
                  <c:pt idx="8">
                    <c:v>Plataformas on-line/medscape/uptodate</c:v>
                  </c:pt>
                  <c:pt idx="9">
                    <c:v>Prontuário terapêutico</c:v>
                  </c:pt>
                  <c:pt idx="10">
                    <c:v>Revistas médicas conceituadas</c:v>
                  </c:pt>
                  <c:pt idx="11">
                    <c:v>Formação académica</c:v>
                  </c:pt>
                  <c:pt idx="12">
                    <c:v>Congressos</c:v>
                  </c:pt>
                  <c:pt idx="13">
                    <c:v>Sistema de receituário electrónico</c:v>
                  </c:pt>
                  <c:pt idx="14">
                    <c:v>Aplicação telemóvel /whitebook</c:v>
                  </c:pt>
                </c:lvl>
                <c:lvl>
                  <c:pt idx="0">
                    <c:v>(-) </c:v>
                  </c:pt>
                  <c:pt idx="1">
                    <c:v>(-) </c:v>
                  </c:pt>
                  <c:pt idx="2">
                    <c:v>(-) </c:v>
                  </c:pt>
                  <c:pt idx="3">
                    <c:v>(-) </c:v>
                  </c:pt>
                  <c:pt idx="4">
                    <c:v>(+) </c:v>
                  </c:pt>
                  <c:pt idx="5">
                    <c:v>(+) </c:v>
                  </c:pt>
                  <c:pt idx="6">
                    <c:v>(+) </c:v>
                  </c:pt>
                  <c:pt idx="7">
                    <c:v>(+) </c:v>
                  </c:pt>
                  <c:pt idx="8">
                    <c:v>(+) </c:v>
                  </c:pt>
                  <c:pt idx="9">
                    <c:v>nq</c:v>
                  </c:pt>
                  <c:pt idx="10">
                    <c:v>nq</c:v>
                  </c:pt>
                  <c:pt idx="11">
                    <c:v>nq</c:v>
                  </c:pt>
                  <c:pt idx="12">
                    <c:v>nq</c:v>
                  </c:pt>
                  <c:pt idx="13">
                    <c:v>nq</c:v>
                  </c:pt>
                  <c:pt idx="14">
                    <c:v>nq</c:v>
                  </c:pt>
                </c:lvl>
              </c:multiLvlStrCache>
            </c:multiLvlStrRef>
          </c:cat>
          <c:val>
            <c:numRef>
              <c:f>'Fontes de informação'!$F$4:$F$19</c:f>
              <c:numCache>
                <c:formatCode>General</c:formatCode>
                <c:ptCount val="16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5</c:v>
                </c:pt>
                <c:pt idx="5">
                  <c:v>3</c:v>
                </c:pt>
                <c:pt idx="6">
                  <c:v>5</c:v>
                </c:pt>
                <c:pt idx="8">
                  <c:v>8</c:v>
                </c:pt>
                <c:pt idx="1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35-467C-B330-A9B321C72D02}"/>
            </c:ext>
          </c:extLst>
        </c:ser>
        <c:ser>
          <c:idx val="3"/>
          <c:order val="3"/>
          <c:tx>
            <c:strRef>
              <c:f>'Fontes de informação'!$G$3</c:f>
              <c:strCache>
                <c:ptCount val="1"/>
                <c:pt idx="0">
                  <c:v>internos</c:v>
                </c:pt>
              </c:strCache>
            </c:strRef>
          </c:tx>
          <c:cat>
            <c:multiLvlStrRef>
              <c:f>'Fontes de informação'!$B$4:$C$19</c:f>
              <c:multiLvlStrCache>
                <c:ptCount val="15"/>
                <c:lvl>
                  <c:pt idx="0">
                    <c:v>Internet/Google</c:v>
                  </c:pt>
                  <c:pt idx="1">
                    <c:v>Livros/compêndios terapêuticos</c:v>
                  </c:pt>
                  <c:pt idx="2">
                    <c:v>Prática clínica</c:v>
                  </c:pt>
                  <c:pt idx="3">
                    <c:v>Delegados informação médica</c:v>
                  </c:pt>
                  <c:pt idx="4">
                    <c:v>Estudos de eficácia/revisões sistemáticas/metanálises</c:v>
                  </c:pt>
                  <c:pt idx="5">
                    <c:v>Guidelines</c:v>
                  </c:pt>
                  <c:pt idx="6">
                    <c:v>Opinião de colega</c:v>
                  </c:pt>
                  <c:pt idx="7">
                    <c:v>Infarmed/DGS/Resumos EMA/RCM</c:v>
                  </c:pt>
                  <c:pt idx="8">
                    <c:v>Plataformas on-line/medscape/uptodate</c:v>
                  </c:pt>
                  <c:pt idx="9">
                    <c:v>Prontuário terapêutico</c:v>
                  </c:pt>
                  <c:pt idx="10">
                    <c:v>Revistas médicas conceituadas</c:v>
                  </c:pt>
                  <c:pt idx="11">
                    <c:v>Formação académica</c:v>
                  </c:pt>
                  <c:pt idx="12">
                    <c:v>Congressos</c:v>
                  </c:pt>
                  <c:pt idx="13">
                    <c:v>Sistema de receituário electrónico</c:v>
                  </c:pt>
                  <c:pt idx="14">
                    <c:v>Aplicação telemóvel /whitebook</c:v>
                  </c:pt>
                </c:lvl>
                <c:lvl>
                  <c:pt idx="0">
                    <c:v>(-) </c:v>
                  </c:pt>
                  <c:pt idx="1">
                    <c:v>(-) </c:v>
                  </c:pt>
                  <c:pt idx="2">
                    <c:v>(-) </c:v>
                  </c:pt>
                  <c:pt idx="3">
                    <c:v>(-) </c:v>
                  </c:pt>
                  <c:pt idx="4">
                    <c:v>(+) </c:v>
                  </c:pt>
                  <c:pt idx="5">
                    <c:v>(+) </c:v>
                  </c:pt>
                  <c:pt idx="6">
                    <c:v>(+) </c:v>
                  </c:pt>
                  <c:pt idx="7">
                    <c:v>(+) </c:v>
                  </c:pt>
                  <c:pt idx="8">
                    <c:v>(+) </c:v>
                  </c:pt>
                  <c:pt idx="9">
                    <c:v>nq</c:v>
                  </c:pt>
                  <c:pt idx="10">
                    <c:v>nq</c:v>
                  </c:pt>
                  <c:pt idx="11">
                    <c:v>nq</c:v>
                  </c:pt>
                  <c:pt idx="12">
                    <c:v>nq</c:v>
                  </c:pt>
                  <c:pt idx="13">
                    <c:v>nq</c:v>
                  </c:pt>
                  <c:pt idx="14">
                    <c:v>nq</c:v>
                  </c:pt>
                </c:lvl>
              </c:multiLvlStrCache>
            </c:multiLvlStrRef>
          </c:cat>
          <c:val>
            <c:numRef>
              <c:f>'Fontes de informação'!$G$4:$G$19</c:f>
              <c:numCache>
                <c:formatCode>General</c:formatCode>
                <c:ptCount val="16"/>
                <c:pt idx="0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7">
                  <c:v>3</c:v>
                </c:pt>
                <c:pt idx="8">
                  <c:v>2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435-467C-B330-A9B321C72D02}"/>
            </c:ext>
          </c:extLst>
        </c:ser>
        <c:overlap val="100"/>
        <c:axId val="128037248"/>
        <c:axId val="128038784"/>
      </c:barChart>
      <c:catAx>
        <c:axId val="128037248"/>
        <c:scaling>
          <c:orientation val="minMax"/>
        </c:scaling>
        <c:axPos val="l"/>
        <c:numFmt formatCode="General" sourceLinked="0"/>
        <c:tickLblPos val="nextTo"/>
        <c:crossAx val="128038784"/>
        <c:crosses val="autoZero"/>
        <c:auto val="1"/>
        <c:lblAlgn val="ctr"/>
        <c:lblOffset val="100"/>
      </c:catAx>
      <c:valAx>
        <c:axId val="128038784"/>
        <c:scaling>
          <c:orientation val="minMax"/>
        </c:scaling>
        <c:axPos val="b"/>
        <c:majorGridlines/>
        <c:numFmt formatCode="General" sourceLinked="1"/>
        <c:tickLblPos val="nextTo"/>
        <c:crossAx val="1280372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Barra</dc:creator>
  <cp:lastModifiedBy>MReis</cp:lastModifiedBy>
  <cp:revision>2</cp:revision>
  <dcterms:created xsi:type="dcterms:W3CDTF">2019-01-29T14:02:00Z</dcterms:created>
  <dcterms:modified xsi:type="dcterms:W3CDTF">2019-01-29T14:02:00Z</dcterms:modified>
</cp:coreProperties>
</file>