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DA8" w:rsidRPr="00F93CB1" w:rsidRDefault="00A87AE2" w:rsidP="005A3DA8">
      <w:pPr>
        <w:spacing w:line="360" w:lineRule="auto"/>
        <w:jc w:val="center"/>
        <w:rPr>
          <w:rFonts w:ascii="Times New Roman" w:eastAsia="Cambria" w:hAnsi="Times New Roman" w:cs="Times New Roman"/>
          <w:b/>
          <w:sz w:val="24"/>
          <w:lang w:val="en-US"/>
        </w:rPr>
      </w:pPr>
      <w:r w:rsidRPr="00F93CB1">
        <w:rPr>
          <w:rFonts w:eastAsia="Times New Roman"/>
          <w:szCs w:val="23"/>
        </w:rPr>
        <w:pict w14:anchorId="1621E01B">
          <v:rect id="_x0000_i1026" style="width:0;height:1.5pt" o:hralign="center" o:bullet="t" o:hrstd="t" o:hr="t" fillcolor="#a0a0a0" stroked="f"/>
        </w:pict>
      </w:r>
      <w:r w:rsidR="005A3DA8" w:rsidRPr="00F93CB1">
        <w:rPr>
          <w:rFonts w:ascii="Times New Roman" w:eastAsia="Cambria" w:hAnsi="Times New Roman" w:cs="Times New Roman"/>
          <w:b/>
          <w:sz w:val="24"/>
          <w:lang w:val="en-US"/>
        </w:rPr>
        <w:t>Morphological indexes: can they predict lupus nephritis outcomes?</w:t>
      </w:r>
    </w:p>
    <w:p w:rsidR="001546DC" w:rsidRPr="00F93CB1" w:rsidRDefault="001546DC" w:rsidP="001546DC">
      <w:pPr>
        <w:spacing w:line="360" w:lineRule="auto"/>
        <w:rPr>
          <w:rFonts w:eastAsia="Cambria" w:cs="Times New Roman"/>
          <w:sz w:val="18"/>
          <w:lang w:val="en-US"/>
        </w:rPr>
      </w:pPr>
    </w:p>
    <w:p w:rsidR="001546DC" w:rsidRPr="00F93CB1" w:rsidRDefault="001546DC" w:rsidP="001546DC">
      <w:pPr>
        <w:spacing w:line="360" w:lineRule="auto"/>
        <w:jc w:val="center"/>
        <w:rPr>
          <w:rFonts w:ascii="Times New Roman" w:eastAsia="Cambria" w:hAnsi="Times New Roman" w:cs="Times New Roman"/>
          <w:b/>
          <w:sz w:val="24"/>
        </w:rPr>
      </w:pPr>
      <w:r w:rsidRPr="00F93CB1">
        <w:rPr>
          <w:rFonts w:ascii="Times New Roman" w:eastAsia="Cambria" w:hAnsi="Times New Roman" w:cs="Times New Roman"/>
          <w:b/>
          <w:sz w:val="24"/>
        </w:rPr>
        <w:t xml:space="preserve">Índices morfológicos na nefrite lúpica: orientação prognóstica? </w:t>
      </w:r>
    </w:p>
    <w:p w:rsidR="001546DC" w:rsidRPr="00F93CB1" w:rsidRDefault="001546DC" w:rsidP="001546DC">
      <w:pPr>
        <w:spacing w:line="360" w:lineRule="auto"/>
        <w:rPr>
          <w:rFonts w:eastAsia="Cambria" w:cs="Times New Roman"/>
          <w:sz w:val="18"/>
        </w:rPr>
      </w:pPr>
    </w:p>
    <w:p w:rsidR="005A3DA8" w:rsidRPr="00F93CB1" w:rsidRDefault="005A3DA8" w:rsidP="005A3DA8">
      <w:pPr>
        <w:spacing w:before="240" w:line="360" w:lineRule="auto"/>
        <w:jc w:val="both"/>
        <w:rPr>
          <w:rFonts w:ascii="Times New Roman" w:hAnsi="Times New Roman" w:cs="Times New Roman"/>
        </w:rPr>
      </w:pPr>
      <w:r w:rsidRPr="00F93CB1">
        <w:rPr>
          <w:rFonts w:ascii="Times New Roman" w:eastAsia="Cambria" w:hAnsi="Times New Roman" w:cs="Times New Roman"/>
          <w:b/>
        </w:rPr>
        <w:t>David Navarro MD</w:t>
      </w:r>
      <w:r w:rsidRPr="00F93CB1">
        <w:rPr>
          <w:rFonts w:ascii="Times New Roman" w:eastAsia="Cambria" w:hAnsi="Times New Roman" w:cs="Times New Roman"/>
          <w:b/>
          <w:vertAlign w:val="superscript"/>
        </w:rPr>
        <w:t>1*</w:t>
      </w:r>
      <w:r w:rsidRPr="00F93CB1">
        <w:rPr>
          <w:rFonts w:ascii="Times New Roman" w:eastAsia="Cambria" w:hAnsi="Times New Roman" w:cs="Times New Roman"/>
          <w:b/>
        </w:rPr>
        <w:t>, Ana Carina Ferreira</w:t>
      </w:r>
      <w:r w:rsidRPr="00F93CB1">
        <w:rPr>
          <w:rFonts w:ascii="Times New Roman" w:eastAsia="Cambria" w:hAnsi="Times New Roman" w:cs="Times New Roman"/>
          <w:b/>
          <w:vertAlign w:val="superscript"/>
        </w:rPr>
        <w:t>1</w:t>
      </w:r>
      <w:r w:rsidRPr="00F93CB1">
        <w:rPr>
          <w:rFonts w:ascii="Times New Roman" w:eastAsia="Cambria" w:hAnsi="Times New Roman" w:cs="Times New Roman"/>
          <w:b/>
        </w:rPr>
        <w:t xml:space="preserve"> MD,</w:t>
      </w:r>
      <w:r w:rsidRPr="00F93CB1">
        <w:rPr>
          <w:rFonts w:ascii="Times New Roman" w:eastAsia="Cambria" w:hAnsi="Times New Roman" w:cs="Times New Roman"/>
          <w:b/>
          <w:vertAlign w:val="superscript"/>
        </w:rPr>
        <w:t xml:space="preserve"> </w:t>
      </w:r>
      <w:r w:rsidRPr="00F93CB1">
        <w:rPr>
          <w:rFonts w:ascii="Times New Roman" w:eastAsia="Cambria" w:hAnsi="Times New Roman" w:cs="Times New Roman"/>
          <w:b/>
        </w:rPr>
        <w:t>Helena Viana</w:t>
      </w:r>
      <w:r w:rsidRPr="00F93CB1">
        <w:rPr>
          <w:rFonts w:ascii="Times New Roman" w:eastAsia="Cambria" w:hAnsi="Times New Roman" w:cs="Times New Roman"/>
          <w:b/>
          <w:vertAlign w:val="superscript"/>
        </w:rPr>
        <w:t>1</w:t>
      </w:r>
      <w:r w:rsidRPr="00F93CB1">
        <w:rPr>
          <w:rFonts w:ascii="Times New Roman" w:eastAsia="Cambria" w:hAnsi="Times New Roman" w:cs="Times New Roman"/>
          <w:b/>
        </w:rPr>
        <w:t xml:space="preserve"> MD, Fernanda Carvalho</w:t>
      </w:r>
      <w:r w:rsidRPr="00F93CB1">
        <w:rPr>
          <w:rFonts w:ascii="Times New Roman" w:eastAsia="Cambria" w:hAnsi="Times New Roman" w:cs="Times New Roman"/>
          <w:b/>
          <w:vertAlign w:val="superscript"/>
        </w:rPr>
        <w:t>1</w:t>
      </w:r>
      <w:r w:rsidRPr="00F93CB1">
        <w:rPr>
          <w:rFonts w:ascii="Times New Roman" w:eastAsia="Cambria" w:hAnsi="Times New Roman" w:cs="Times New Roman"/>
          <w:b/>
        </w:rPr>
        <w:t xml:space="preserve"> MD, Fernando Nolasco</w:t>
      </w:r>
      <w:r w:rsidRPr="00F93CB1">
        <w:rPr>
          <w:rFonts w:ascii="Times New Roman" w:eastAsia="Cambria" w:hAnsi="Times New Roman" w:cs="Times New Roman"/>
          <w:b/>
          <w:vertAlign w:val="superscript"/>
        </w:rPr>
        <w:t>1</w:t>
      </w:r>
      <w:r w:rsidRPr="00F93CB1">
        <w:rPr>
          <w:rFonts w:ascii="Times New Roman" w:eastAsia="Cambria" w:hAnsi="Times New Roman" w:cs="Times New Roman"/>
          <w:b/>
        </w:rPr>
        <w:t xml:space="preserve"> MD PhD</w:t>
      </w:r>
    </w:p>
    <w:p w:rsidR="005A3DA8" w:rsidRPr="00F93CB1" w:rsidRDefault="005A3DA8" w:rsidP="005A3DA8">
      <w:pPr>
        <w:spacing w:line="360" w:lineRule="auto"/>
        <w:rPr>
          <w:rFonts w:ascii="Times New Roman" w:eastAsia="Cambria" w:hAnsi="Times New Roman" w:cs="Times New Roman"/>
          <w:sz w:val="20"/>
        </w:rPr>
      </w:pPr>
      <w:r w:rsidRPr="00F93CB1">
        <w:rPr>
          <w:rFonts w:ascii="Times New Roman" w:eastAsia="Cambria" w:hAnsi="Times New Roman" w:cs="Times New Roman"/>
          <w:sz w:val="20"/>
          <w:vertAlign w:val="superscript"/>
        </w:rPr>
        <w:t>1</w:t>
      </w:r>
      <w:r w:rsidRPr="00F93CB1">
        <w:rPr>
          <w:rFonts w:ascii="Times New Roman" w:eastAsia="Cambria" w:hAnsi="Times New Roman" w:cs="Times New Roman"/>
          <w:sz w:val="20"/>
        </w:rPr>
        <w:t xml:space="preserve">Nephrology </w:t>
      </w:r>
      <w:proofErr w:type="spellStart"/>
      <w:r w:rsidRPr="00F93CB1">
        <w:rPr>
          <w:rFonts w:ascii="Times New Roman" w:eastAsia="Cambria" w:hAnsi="Times New Roman" w:cs="Times New Roman"/>
          <w:sz w:val="20"/>
        </w:rPr>
        <w:t>Department</w:t>
      </w:r>
      <w:proofErr w:type="spellEnd"/>
      <w:r w:rsidRPr="00F93CB1">
        <w:rPr>
          <w:rFonts w:ascii="Times New Roman" w:eastAsia="Cambria" w:hAnsi="Times New Roman" w:cs="Times New Roman"/>
          <w:sz w:val="20"/>
        </w:rPr>
        <w:t xml:space="preserve">, Centro Hospitalar </w:t>
      </w:r>
      <w:r w:rsidR="008E590D" w:rsidRPr="00F93CB1">
        <w:rPr>
          <w:rFonts w:ascii="Times New Roman" w:eastAsia="Cambria" w:hAnsi="Times New Roman" w:cs="Times New Roman"/>
          <w:sz w:val="20"/>
        </w:rPr>
        <w:t xml:space="preserve">Universitário </w:t>
      </w:r>
      <w:r w:rsidRPr="00F93CB1">
        <w:rPr>
          <w:rFonts w:ascii="Times New Roman" w:eastAsia="Cambria" w:hAnsi="Times New Roman" w:cs="Times New Roman"/>
          <w:sz w:val="20"/>
        </w:rPr>
        <w:t xml:space="preserve">de Lisboa Central E.P.E., Hospital Curry Cabral, </w:t>
      </w:r>
      <w:proofErr w:type="spellStart"/>
      <w:r w:rsidRPr="00F93CB1">
        <w:rPr>
          <w:rFonts w:ascii="Times New Roman" w:eastAsia="Cambria" w:hAnsi="Times New Roman" w:cs="Times New Roman"/>
          <w:sz w:val="20"/>
        </w:rPr>
        <w:t>Lisbon</w:t>
      </w:r>
      <w:proofErr w:type="spellEnd"/>
      <w:r w:rsidRPr="00F93CB1">
        <w:rPr>
          <w:rFonts w:ascii="Times New Roman" w:eastAsia="Cambria" w:hAnsi="Times New Roman" w:cs="Times New Roman"/>
          <w:sz w:val="20"/>
        </w:rPr>
        <w:t>, Portugal.</w:t>
      </w:r>
    </w:p>
    <w:p w:rsidR="005A3DA8" w:rsidRPr="00F93CB1" w:rsidRDefault="005A3DA8" w:rsidP="005A3DA8">
      <w:pPr>
        <w:spacing w:line="360" w:lineRule="auto"/>
        <w:rPr>
          <w:rFonts w:ascii="Times New Roman" w:hAnsi="Times New Roman" w:cs="Times New Roman"/>
        </w:rPr>
      </w:pPr>
      <w:r w:rsidRPr="00F93CB1">
        <w:rPr>
          <w:rFonts w:ascii="Times New Roman" w:eastAsia="Cambria" w:hAnsi="Times New Roman" w:cs="Times New Roman"/>
          <w:sz w:val="20"/>
        </w:rPr>
        <w:t>*</w:t>
      </w:r>
      <w:proofErr w:type="spellStart"/>
      <w:r w:rsidRPr="00F93CB1">
        <w:rPr>
          <w:rFonts w:ascii="Times New Roman" w:eastAsia="Cambria" w:hAnsi="Times New Roman" w:cs="Times New Roman"/>
          <w:sz w:val="20"/>
        </w:rPr>
        <w:t>Corresponding</w:t>
      </w:r>
      <w:proofErr w:type="spellEnd"/>
      <w:r w:rsidRPr="00F93CB1">
        <w:rPr>
          <w:rFonts w:ascii="Times New Roman" w:eastAsia="Cambria" w:hAnsi="Times New Roman" w:cs="Times New Roman"/>
          <w:sz w:val="20"/>
        </w:rPr>
        <w:t xml:space="preserve"> </w:t>
      </w:r>
      <w:proofErr w:type="spellStart"/>
      <w:r w:rsidRPr="00F93CB1">
        <w:rPr>
          <w:rFonts w:ascii="Times New Roman" w:eastAsia="Cambria" w:hAnsi="Times New Roman" w:cs="Times New Roman"/>
          <w:sz w:val="20"/>
        </w:rPr>
        <w:t>author</w:t>
      </w:r>
      <w:proofErr w:type="spellEnd"/>
      <w:r w:rsidRPr="00F93CB1">
        <w:rPr>
          <w:rFonts w:ascii="Times New Roman" w:eastAsia="Cambria" w:hAnsi="Times New Roman" w:cs="Times New Roman"/>
          <w:sz w:val="20"/>
        </w:rPr>
        <w:t xml:space="preserve">: David Navarro –  </w:t>
      </w:r>
      <w:hyperlink r:id="rId8" w:history="1">
        <w:r w:rsidRPr="00F93CB1">
          <w:rPr>
            <w:rStyle w:val="Hyperlink"/>
            <w:rFonts w:ascii="Times New Roman" w:eastAsia="Cambria" w:hAnsi="Times New Roman" w:cs="Times New Roman"/>
            <w:sz w:val="20"/>
          </w:rPr>
          <w:t>Davidbnavarro@gmail.com</w:t>
        </w:r>
      </w:hyperlink>
      <w:r w:rsidRPr="00F93CB1">
        <w:rPr>
          <w:rFonts w:ascii="Times New Roman" w:eastAsia="Cambria" w:hAnsi="Times New Roman" w:cs="Times New Roman"/>
          <w:sz w:val="20"/>
        </w:rPr>
        <w:t xml:space="preserve">; Centro Hospitalar Lisboa Central E.P.E., Hospital Curry Cabral, Rua da Beneficência 8, 1069-166 </w:t>
      </w:r>
      <w:proofErr w:type="spellStart"/>
      <w:r w:rsidRPr="00F93CB1">
        <w:rPr>
          <w:rFonts w:ascii="Times New Roman" w:eastAsia="Cambria" w:hAnsi="Times New Roman" w:cs="Times New Roman"/>
          <w:sz w:val="20"/>
        </w:rPr>
        <w:t>Lisbon</w:t>
      </w:r>
      <w:proofErr w:type="spellEnd"/>
      <w:r w:rsidRPr="00F93CB1">
        <w:rPr>
          <w:rFonts w:ascii="Times New Roman" w:eastAsia="Cambria" w:hAnsi="Times New Roman" w:cs="Times New Roman"/>
          <w:sz w:val="20"/>
        </w:rPr>
        <w:t>, Portugal</w:t>
      </w:r>
      <w:r w:rsidRPr="00F93CB1">
        <w:rPr>
          <w:rFonts w:ascii="Times New Roman" w:eastAsia="Cambria" w:hAnsi="Times New Roman" w:cs="Times New Roman"/>
          <w:color w:val="1155CC"/>
          <w:u w:val="single"/>
        </w:rPr>
        <w:t xml:space="preserve"> </w:t>
      </w:r>
      <w:r w:rsidR="00A87AE2" w:rsidRPr="00F93CB1">
        <w:rPr>
          <w:rFonts w:ascii="Times New Roman" w:eastAsia="Times New Roman" w:hAnsi="Times New Roman" w:cs="Times New Roman"/>
          <w:sz w:val="23"/>
          <w:szCs w:val="23"/>
        </w:rPr>
        <w:pict w14:anchorId="2C9F33AB">
          <v:rect id="_x0000_i1027" style="width:0;height:1.5pt" o:hralign="center" o:hrstd="t" o:hr="t" fillcolor="#a0a0a0" stroked="f"/>
        </w:pict>
      </w:r>
      <w:hyperlink r:id="rId9"/>
    </w:p>
    <w:p w:rsidR="005A3DA8" w:rsidRPr="00F93CB1" w:rsidRDefault="005A3DA8">
      <w:pPr>
        <w:spacing w:after="160" w:line="259" w:lineRule="auto"/>
        <w:rPr>
          <w:b/>
          <w:szCs w:val="22"/>
        </w:rPr>
      </w:pPr>
    </w:p>
    <w:p w:rsidR="00F27785" w:rsidRPr="00F93CB1" w:rsidRDefault="00944854" w:rsidP="002447C6">
      <w:pPr>
        <w:spacing w:after="160" w:line="360" w:lineRule="auto"/>
        <w:jc w:val="both"/>
        <w:rPr>
          <w:b/>
          <w:szCs w:val="22"/>
          <w:lang w:val="en-US"/>
        </w:rPr>
      </w:pPr>
      <w:r w:rsidRPr="00F93CB1">
        <w:rPr>
          <w:b/>
          <w:szCs w:val="22"/>
          <w:lang w:val="en-US"/>
        </w:rPr>
        <w:t>ABSTRACT:</w:t>
      </w:r>
    </w:p>
    <w:p w:rsidR="0009167C" w:rsidRPr="00F93CB1" w:rsidRDefault="00101022" w:rsidP="00203D2E">
      <w:pPr>
        <w:spacing w:line="360" w:lineRule="auto"/>
        <w:jc w:val="both"/>
        <w:rPr>
          <w:szCs w:val="22"/>
          <w:lang w:val="en-US"/>
        </w:rPr>
      </w:pPr>
      <w:r w:rsidRPr="00F93CB1">
        <w:rPr>
          <w:b/>
          <w:szCs w:val="22"/>
          <w:lang w:val="en-US"/>
        </w:rPr>
        <w:t>Background:</w:t>
      </w:r>
      <w:r w:rsidRPr="00F93CB1">
        <w:rPr>
          <w:szCs w:val="22"/>
          <w:lang w:val="en-US"/>
        </w:rPr>
        <w:t xml:space="preserve"> </w:t>
      </w:r>
      <w:r w:rsidR="0028253D" w:rsidRPr="00F93CB1">
        <w:rPr>
          <w:szCs w:val="22"/>
          <w:lang w:val="en-US"/>
        </w:rPr>
        <w:t xml:space="preserve">Lupus nephritis </w:t>
      </w:r>
      <w:r w:rsidR="00203D2E" w:rsidRPr="00F93CB1">
        <w:rPr>
          <w:szCs w:val="22"/>
          <w:lang w:val="en-US"/>
        </w:rPr>
        <w:t xml:space="preserve">(LN) </w:t>
      </w:r>
      <w:r w:rsidR="00AF7E73" w:rsidRPr="00F93CB1">
        <w:rPr>
          <w:szCs w:val="22"/>
          <w:lang w:val="en-US"/>
        </w:rPr>
        <w:t>is a serious complication o</w:t>
      </w:r>
      <w:r w:rsidR="0028253D" w:rsidRPr="00F93CB1">
        <w:rPr>
          <w:szCs w:val="22"/>
          <w:lang w:val="en-US"/>
        </w:rPr>
        <w:t xml:space="preserve">f systemic lupus erythematosus. </w:t>
      </w:r>
      <w:r w:rsidR="00AF7E73" w:rsidRPr="00F93CB1">
        <w:rPr>
          <w:szCs w:val="22"/>
          <w:lang w:val="en-US"/>
        </w:rPr>
        <w:t xml:space="preserve">Currently, therapy is guided by findings in the renal biopsy, following the </w:t>
      </w:r>
      <w:r w:rsidR="00203D2E" w:rsidRPr="00F93CB1">
        <w:rPr>
          <w:szCs w:val="22"/>
          <w:lang w:val="en-US"/>
        </w:rPr>
        <w:t>International Society of Nephrology / Renal Pathology Society (</w:t>
      </w:r>
      <w:r w:rsidR="00AF7E73" w:rsidRPr="00F93CB1">
        <w:rPr>
          <w:szCs w:val="22"/>
          <w:lang w:val="en-US"/>
        </w:rPr>
        <w:t>ISN/RPS</w:t>
      </w:r>
      <w:r w:rsidR="00203D2E" w:rsidRPr="00F93CB1">
        <w:rPr>
          <w:szCs w:val="22"/>
          <w:lang w:val="en-US"/>
        </w:rPr>
        <w:t>)</w:t>
      </w:r>
      <w:r w:rsidR="00AF7E73" w:rsidRPr="00F93CB1">
        <w:rPr>
          <w:szCs w:val="22"/>
          <w:lang w:val="en-US"/>
        </w:rPr>
        <w:t xml:space="preserve"> classification. Austin and Hill’s </w:t>
      </w:r>
      <w:r w:rsidR="0009167C" w:rsidRPr="00F93CB1">
        <w:rPr>
          <w:szCs w:val="22"/>
          <w:lang w:val="en-US"/>
        </w:rPr>
        <w:t>histo</w:t>
      </w:r>
      <w:r w:rsidR="00AF7E73" w:rsidRPr="00F93CB1">
        <w:rPr>
          <w:szCs w:val="22"/>
          <w:lang w:val="en-US"/>
        </w:rPr>
        <w:t>morphological indexes are not routinely obtained.</w:t>
      </w:r>
    </w:p>
    <w:p w:rsidR="00AF7E73" w:rsidRPr="00F93CB1" w:rsidRDefault="00101022" w:rsidP="002447C6">
      <w:pPr>
        <w:spacing w:line="360" w:lineRule="auto"/>
        <w:jc w:val="both"/>
        <w:rPr>
          <w:szCs w:val="22"/>
          <w:lang w:val="en-US"/>
        </w:rPr>
      </w:pPr>
      <w:r w:rsidRPr="00F93CB1">
        <w:rPr>
          <w:b/>
          <w:szCs w:val="22"/>
          <w:lang w:val="en-US"/>
        </w:rPr>
        <w:t>Methods:</w:t>
      </w:r>
      <w:r w:rsidRPr="00F93CB1">
        <w:rPr>
          <w:szCs w:val="22"/>
          <w:lang w:val="en-US"/>
        </w:rPr>
        <w:t xml:space="preserve"> </w:t>
      </w:r>
      <w:r w:rsidR="00AF7E73" w:rsidRPr="00F93CB1">
        <w:rPr>
          <w:szCs w:val="22"/>
          <w:lang w:val="en-US"/>
        </w:rPr>
        <w:t>In this retrospective single center study, we aimed to analyze the importance and applicability of the different morphological indexes in predicting response to treatment and prognosis.</w:t>
      </w:r>
    </w:p>
    <w:p w:rsidR="00AF7E73" w:rsidRPr="00F93CB1" w:rsidRDefault="00101022" w:rsidP="002447C6">
      <w:pPr>
        <w:spacing w:line="360" w:lineRule="auto"/>
        <w:jc w:val="both"/>
        <w:rPr>
          <w:szCs w:val="22"/>
          <w:lang w:val="en-US"/>
        </w:rPr>
      </w:pPr>
      <w:r w:rsidRPr="00F93CB1">
        <w:rPr>
          <w:b/>
          <w:szCs w:val="22"/>
          <w:lang w:val="en-US"/>
        </w:rPr>
        <w:t>Results:</w:t>
      </w:r>
      <w:r w:rsidRPr="00F93CB1">
        <w:rPr>
          <w:szCs w:val="22"/>
          <w:lang w:val="en-US"/>
        </w:rPr>
        <w:t xml:space="preserve"> </w:t>
      </w:r>
      <w:r w:rsidR="00AF7E73" w:rsidRPr="00F93CB1">
        <w:rPr>
          <w:szCs w:val="22"/>
          <w:lang w:val="en-US"/>
        </w:rPr>
        <w:t>We analyzed 46 biopsy-proven LN cases, with a median follow-up of 31</w:t>
      </w:r>
      <w:r w:rsidR="00847AE8" w:rsidRPr="00F93CB1">
        <w:rPr>
          <w:szCs w:val="22"/>
          <w:lang w:val="en-US"/>
        </w:rPr>
        <w:t>.</w:t>
      </w:r>
      <w:r w:rsidR="00AF7E73" w:rsidRPr="00F93CB1">
        <w:rPr>
          <w:szCs w:val="22"/>
          <w:lang w:val="en-US"/>
        </w:rPr>
        <w:t>9 (13</w:t>
      </w:r>
      <w:r w:rsidR="00847AE8" w:rsidRPr="00F93CB1">
        <w:rPr>
          <w:szCs w:val="22"/>
          <w:lang w:val="en-US"/>
        </w:rPr>
        <w:t>.</w:t>
      </w:r>
      <w:r w:rsidR="00AF7E73" w:rsidRPr="00F93CB1">
        <w:rPr>
          <w:szCs w:val="22"/>
          <w:lang w:val="en-US"/>
        </w:rPr>
        <w:t>2 – 45</w:t>
      </w:r>
      <w:r w:rsidR="00847AE8" w:rsidRPr="00F93CB1">
        <w:rPr>
          <w:szCs w:val="22"/>
          <w:lang w:val="en-US"/>
        </w:rPr>
        <w:t>.</w:t>
      </w:r>
      <w:r w:rsidR="00AF7E73" w:rsidRPr="00F93CB1">
        <w:rPr>
          <w:szCs w:val="22"/>
          <w:lang w:val="en-US"/>
        </w:rPr>
        <w:t>6) months. Based on biopsy findings, 35 patients we</w:t>
      </w:r>
      <w:r w:rsidR="0009167C" w:rsidRPr="00F93CB1">
        <w:rPr>
          <w:szCs w:val="22"/>
          <w:lang w:val="en-US"/>
        </w:rPr>
        <w:t xml:space="preserve">re started on immunosuppression. </w:t>
      </w:r>
      <w:r w:rsidR="00AF7E73" w:rsidRPr="00F93CB1">
        <w:rPr>
          <w:szCs w:val="22"/>
          <w:lang w:val="en-US"/>
        </w:rPr>
        <w:t xml:space="preserve">We observed that Class IV patients had, at presentation, lower </w:t>
      </w:r>
      <w:r w:rsidR="00203D2E" w:rsidRPr="00F93CB1">
        <w:rPr>
          <w:szCs w:val="22"/>
          <w:lang w:val="en-US"/>
        </w:rPr>
        <w:t>estimated glomerular filtration rate</w:t>
      </w:r>
      <w:r w:rsidR="00AF7E73" w:rsidRPr="00F93CB1">
        <w:rPr>
          <w:szCs w:val="22"/>
          <w:lang w:val="en-US"/>
        </w:rPr>
        <w:t xml:space="preserve"> (67</w:t>
      </w:r>
      <w:r w:rsidR="00847AE8" w:rsidRPr="00F93CB1">
        <w:rPr>
          <w:szCs w:val="22"/>
          <w:lang w:val="en-US"/>
        </w:rPr>
        <w:t>.</w:t>
      </w:r>
      <w:r w:rsidR="00AF7E73" w:rsidRPr="00F93CB1">
        <w:rPr>
          <w:szCs w:val="22"/>
          <w:lang w:val="en-US"/>
        </w:rPr>
        <w:t>3 vs 94</w:t>
      </w:r>
      <w:r w:rsidR="00847AE8" w:rsidRPr="00F93CB1">
        <w:rPr>
          <w:szCs w:val="22"/>
          <w:lang w:val="en-US"/>
        </w:rPr>
        <w:t>.</w:t>
      </w:r>
      <w:r w:rsidR="00AF7E73" w:rsidRPr="00F93CB1">
        <w:rPr>
          <w:szCs w:val="22"/>
          <w:lang w:val="en-US"/>
        </w:rPr>
        <w:t>6 ml/min; p=0</w:t>
      </w:r>
      <w:r w:rsidR="00847AE8" w:rsidRPr="00F93CB1">
        <w:rPr>
          <w:szCs w:val="22"/>
          <w:lang w:val="en-US"/>
        </w:rPr>
        <w:t>.</w:t>
      </w:r>
      <w:r w:rsidR="00AF7E73" w:rsidRPr="00F93CB1">
        <w:rPr>
          <w:szCs w:val="22"/>
          <w:lang w:val="en-US"/>
        </w:rPr>
        <w:t>02), higher proteinuria (4</w:t>
      </w:r>
      <w:r w:rsidR="00847AE8" w:rsidRPr="00F93CB1">
        <w:rPr>
          <w:szCs w:val="22"/>
          <w:lang w:val="en-US"/>
        </w:rPr>
        <w:t>.</w:t>
      </w:r>
      <w:r w:rsidR="00AF7E73" w:rsidRPr="00F93CB1">
        <w:rPr>
          <w:szCs w:val="22"/>
          <w:lang w:val="en-US"/>
        </w:rPr>
        <w:t>26 vs 2</w:t>
      </w:r>
      <w:r w:rsidR="00847AE8" w:rsidRPr="00F93CB1">
        <w:rPr>
          <w:szCs w:val="22"/>
          <w:lang w:val="en-US"/>
        </w:rPr>
        <w:t>.</w:t>
      </w:r>
      <w:r w:rsidR="00AF7E73" w:rsidRPr="00F93CB1">
        <w:rPr>
          <w:szCs w:val="22"/>
          <w:lang w:val="en-US"/>
        </w:rPr>
        <w:t>37</w:t>
      </w:r>
      <w:r w:rsidR="00203D2E" w:rsidRPr="00F93CB1">
        <w:rPr>
          <w:szCs w:val="22"/>
          <w:lang w:val="en-US"/>
        </w:rPr>
        <w:t xml:space="preserve"> g/24h</w:t>
      </w:r>
      <w:r w:rsidR="00AF7E73" w:rsidRPr="00F93CB1">
        <w:rPr>
          <w:szCs w:val="22"/>
          <w:lang w:val="en-US"/>
        </w:rPr>
        <w:t>;</w:t>
      </w:r>
      <w:r w:rsidR="0009167C" w:rsidRPr="00F93CB1">
        <w:rPr>
          <w:szCs w:val="22"/>
          <w:lang w:val="en-US"/>
        </w:rPr>
        <w:t xml:space="preserve"> </w:t>
      </w:r>
      <w:r w:rsidR="00AF7E73" w:rsidRPr="00F93CB1">
        <w:rPr>
          <w:szCs w:val="22"/>
          <w:lang w:val="en-US"/>
        </w:rPr>
        <w:t>p=0</w:t>
      </w:r>
      <w:r w:rsidR="00847AE8" w:rsidRPr="00F93CB1">
        <w:rPr>
          <w:szCs w:val="22"/>
          <w:lang w:val="en-US"/>
        </w:rPr>
        <w:t>.</w:t>
      </w:r>
      <w:r w:rsidR="00AF7E73" w:rsidRPr="00F93CB1">
        <w:rPr>
          <w:szCs w:val="22"/>
          <w:lang w:val="en-US"/>
        </w:rPr>
        <w:t xml:space="preserve">02) and a </w:t>
      </w:r>
      <w:proofErr w:type="spellStart"/>
      <w:r w:rsidR="003631DB" w:rsidRPr="00F93CB1">
        <w:rPr>
          <w:szCs w:val="22"/>
          <w:lang w:val="en-US"/>
        </w:rPr>
        <w:t>nonsignificantly</w:t>
      </w:r>
      <w:proofErr w:type="spellEnd"/>
      <w:r w:rsidR="003631DB" w:rsidRPr="00F93CB1">
        <w:rPr>
          <w:szCs w:val="22"/>
          <w:lang w:val="en-US"/>
        </w:rPr>
        <w:t xml:space="preserve"> </w:t>
      </w:r>
      <w:r w:rsidR="00AF7E73" w:rsidRPr="00F93CB1">
        <w:rPr>
          <w:szCs w:val="22"/>
          <w:lang w:val="en-US"/>
        </w:rPr>
        <w:t>higher C3 consumption (58</w:t>
      </w:r>
      <w:r w:rsidR="00847AE8" w:rsidRPr="00F93CB1">
        <w:rPr>
          <w:szCs w:val="22"/>
          <w:lang w:val="en-US"/>
        </w:rPr>
        <w:t>.</w:t>
      </w:r>
      <w:r w:rsidR="00AF7E73" w:rsidRPr="00F93CB1">
        <w:rPr>
          <w:szCs w:val="22"/>
          <w:lang w:val="en-US"/>
        </w:rPr>
        <w:t>9 vs 77</w:t>
      </w:r>
      <w:r w:rsidR="00847AE8" w:rsidRPr="00F93CB1">
        <w:rPr>
          <w:szCs w:val="22"/>
          <w:lang w:val="en-US"/>
        </w:rPr>
        <w:t>.</w:t>
      </w:r>
      <w:r w:rsidR="00AF7E73" w:rsidRPr="00F93CB1">
        <w:rPr>
          <w:szCs w:val="22"/>
          <w:lang w:val="en-US"/>
        </w:rPr>
        <w:t>4</w:t>
      </w:r>
      <w:r w:rsidR="00203D2E" w:rsidRPr="00F93CB1">
        <w:rPr>
          <w:szCs w:val="22"/>
          <w:lang w:val="en-US"/>
        </w:rPr>
        <w:t xml:space="preserve"> mg/dl</w:t>
      </w:r>
      <w:r w:rsidR="00AF7E73" w:rsidRPr="00F93CB1">
        <w:rPr>
          <w:szCs w:val="22"/>
          <w:lang w:val="en-US"/>
        </w:rPr>
        <w:t>; p=0</w:t>
      </w:r>
      <w:r w:rsidR="00847AE8" w:rsidRPr="00F93CB1">
        <w:rPr>
          <w:szCs w:val="22"/>
          <w:lang w:val="en-US"/>
        </w:rPr>
        <w:t>.</w:t>
      </w:r>
      <w:r w:rsidR="00AF7E73" w:rsidRPr="00F93CB1">
        <w:rPr>
          <w:szCs w:val="22"/>
          <w:lang w:val="en-US"/>
        </w:rPr>
        <w:t>06). We did not observe correlations between ISN/R</w:t>
      </w:r>
      <w:r w:rsidR="006B2748" w:rsidRPr="00F93CB1">
        <w:rPr>
          <w:szCs w:val="22"/>
          <w:lang w:val="en-US"/>
        </w:rPr>
        <w:t>PS</w:t>
      </w:r>
      <w:r w:rsidR="0009167C" w:rsidRPr="00F93CB1">
        <w:rPr>
          <w:szCs w:val="22"/>
          <w:lang w:val="en-US"/>
        </w:rPr>
        <w:t xml:space="preserve"> c</w:t>
      </w:r>
      <w:r w:rsidR="00AF7E73" w:rsidRPr="00F93CB1">
        <w:rPr>
          <w:szCs w:val="22"/>
          <w:lang w:val="en-US"/>
        </w:rPr>
        <w:t xml:space="preserve">lassification and </w:t>
      </w:r>
      <w:r w:rsidR="0028253D" w:rsidRPr="00F93CB1">
        <w:rPr>
          <w:szCs w:val="22"/>
          <w:lang w:val="en-US"/>
        </w:rPr>
        <w:t xml:space="preserve">the outcomes at the end of </w:t>
      </w:r>
      <w:r w:rsidR="00EA5CA5" w:rsidRPr="00F93CB1">
        <w:rPr>
          <w:szCs w:val="22"/>
          <w:lang w:val="en-US"/>
        </w:rPr>
        <w:t>follow-up</w:t>
      </w:r>
      <w:r w:rsidR="0028253D" w:rsidRPr="00F93CB1">
        <w:rPr>
          <w:szCs w:val="22"/>
          <w:lang w:val="en-US"/>
        </w:rPr>
        <w:t>. In contrast, b</w:t>
      </w:r>
      <w:r w:rsidR="00AF7E73" w:rsidRPr="00F93CB1">
        <w:rPr>
          <w:szCs w:val="22"/>
          <w:lang w:val="en-US"/>
        </w:rPr>
        <w:t xml:space="preserve">oth the Hill biopsy index and </w:t>
      </w:r>
      <w:r w:rsidR="001B42C6" w:rsidRPr="00F93CB1">
        <w:rPr>
          <w:szCs w:val="22"/>
          <w:lang w:val="en-US"/>
        </w:rPr>
        <w:t xml:space="preserve">Austin’s </w:t>
      </w:r>
      <w:r w:rsidR="00AF7E73" w:rsidRPr="00F93CB1">
        <w:rPr>
          <w:szCs w:val="22"/>
          <w:lang w:val="en-US"/>
        </w:rPr>
        <w:t xml:space="preserve">Chronicity index were correlated with renal function and proteinuria at the end of </w:t>
      </w:r>
      <w:r w:rsidR="0009167C" w:rsidRPr="00F93CB1">
        <w:rPr>
          <w:szCs w:val="22"/>
          <w:lang w:val="en-US"/>
        </w:rPr>
        <w:t>follow-up</w:t>
      </w:r>
      <w:r w:rsidR="00AF7E73" w:rsidRPr="00F93CB1">
        <w:rPr>
          <w:szCs w:val="22"/>
          <w:lang w:val="en-US"/>
        </w:rPr>
        <w:t xml:space="preserve">. </w:t>
      </w:r>
      <w:r w:rsidR="001B42C6" w:rsidRPr="00F93CB1">
        <w:rPr>
          <w:szCs w:val="22"/>
          <w:lang w:val="en-US"/>
        </w:rPr>
        <w:t>Austin’s</w:t>
      </w:r>
      <w:r w:rsidR="0009167C" w:rsidRPr="00F93CB1">
        <w:rPr>
          <w:szCs w:val="22"/>
          <w:lang w:val="en-US"/>
        </w:rPr>
        <w:t xml:space="preserve"> </w:t>
      </w:r>
      <w:r w:rsidR="00AF7E73" w:rsidRPr="00F93CB1">
        <w:rPr>
          <w:szCs w:val="22"/>
          <w:lang w:val="en-US"/>
        </w:rPr>
        <w:t>Activity index correlated with the immunological findings</w:t>
      </w:r>
      <w:r w:rsidR="0009167C" w:rsidRPr="00F93CB1">
        <w:rPr>
          <w:szCs w:val="22"/>
          <w:lang w:val="en-US"/>
        </w:rPr>
        <w:t xml:space="preserve"> (C3, C4 and anti-dsDNA)</w:t>
      </w:r>
      <w:r w:rsidR="00AF7E73" w:rsidRPr="00F93CB1">
        <w:rPr>
          <w:szCs w:val="22"/>
          <w:lang w:val="en-US"/>
        </w:rPr>
        <w:t xml:space="preserve"> </w:t>
      </w:r>
      <w:r w:rsidR="0009167C" w:rsidRPr="00F93CB1">
        <w:rPr>
          <w:szCs w:val="22"/>
          <w:lang w:val="en-US"/>
        </w:rPr>
        <w:t>at presentation.</w:t>
      </w:r>
    </w:p>
    <w:p w:rsidR="00944854" w:rsidRPr="00F93CB1" w:rsidRDefault="00101022" w:rsidP="002447C6">
      <w:pPr>
        <w:spacing w:line="360" w:lineRule="auto"/>
        <w:jc w:val="both"/>
        <w:rPr>
          <w:szCs w:val="22"/>
          <w:lang w:val="en-US"/>
        </w:rPr>
      </w:pPr>
      <w:r w:rsidRPr="00F93CB1">
        <w:rPr>
          <w:b/>
          <w:szCs w:val="22"/>
          <w:lang w:val="en-US"/>
        </w:rPr>
        <w:t>Conclusions:</w:t>
      </w:r>
      <w:r w:rsidRPr="00F93CB1">
        <w:rPr>
          <w:szCs w:val="22"/>
          <w:lang w:val="en-US"/>
        </w:rPr>
        <w:t xml:space="preserve"> </w:t>
      </w:r>
      <w:r w:rsidR="007321A4" w:rsidRPr="00F93CB1">
        <w:rPr>
          <w:szCs w:val="22"/>
          <w:lang w:val="en-US"/>
        </w:rPr>
        <w:t xml:space="preserve">The most recent ISN/RPS report supports </w:t>
      </w:r>
      <w:r w:rsidR="00203D2E" w:rsidRPr="00F93CB1">
        <w:rPr>
          <w:szCs w:val="22"/>
          <w:lang w:val="en-US"/>
        </w:rPr>
        <w:t>European League Against Rheumatism</w:t>
      </w:r>
      <w:r w:rsidR="007321A4" w:rsidRPr="00F93CB1">
        <w:rPr>
          <w:szCs w:val="22"/>
          <w:lang w:val="en-US"/>
        </w:rPr>
        <w:t xml:space="preserve"> guidelines, encouraging the adoption of histomorphological indexes when evaluating lupus </w:t>
      </w:r>
      <w:r w:rsidR="007321A4" w:rsidRPr="00F93CB1">
        <w:rPr>
          <w:szCs w:val="22"/>
          <w:lang w:val="en-US"/>
        </w:rPr>
        <w:lastRenderedPageBreak/>
        <w:t>nephritis.</w:t>
      </w:r>
      <w:r w:rsidR="003B7572" w:rsidRPr="00F93CB1">
        <w:rPr>
          <w:szCs w:val="22"/>
          <w:lang w:val="en-US"/>
        </w:rPr>
        <w:t xml:space="preserve"> Our data, showing a correlation between the renal outcomes and the indexes described by Austin and Hill, supports this view.</w:t>
      </w:r>
    </w:p>
    <w:p w:rsidR="00493532" w:rsidRPr="00F93CB1" w:rsidRDefault="00493532" w:rsidP="002447C6">
      <w:pPr>
        <w:spacing w:line="360" w:lineRule="auto"/>
        <w:jc w:val="both"/>
        <w:rPr>
          <w:szCs w:val="22"/>
          <w:lang w:val="en-US"/>
        </w:rPr>
      </w:pPr>
    </w:p>
    <w:p w:rsidR="00F67053" w:rsidRPr="00F93CB1" w:rsidRDefault="00F27785" w:rsidP="002447C6">
      <w:pPr>
        <w:pStyle w:val="Normal1"/>
        <w:spacing w:line="360" w:lineRule="auto"/>
        <w:jc w:val="both"/>
        <w:rPr>
          <w:szCs w:val="22"/>
          <w:lang w:val="en-US"/>
        </w:rPr>
      </w:pPr>
      <w:r w:rsidRPr="00F93CB1">
        <w:rPr>
          <w:b/>
          <w:szCs w:val="22"/>
          <w:lang w:val="en-US"/>
        </w:rPr>
        <w:t xml:space="preserve">Keywords: </w:t>
      </w:r>
      <w:r w:rsidR="00944854" w:rsidRPr="00F93CB1">
        <w:rPr>
          <w:szCs w:val="22"/>
          <w:lang w:val="en-US"/>
        </w:rPr>
        <w:t xml:space="preserve">kidney biopsy; </w:t>
      </w:r>
      <w:r w:rsidR="00193AFE" w:rsidRPr="00F93CB1">
        <w:rPr>
          <w:szCs w:val="22"/>
          <w:lang w:val="en-US"/>
        </w:rPr>
        <w:t xml:space="preserve">lupus nephritis; outcome; </w:t>
      </w:r>
      <w:r w:rsidR="00C5358B" w:rsidRPr="00F93CB1">
        <w:rPr>
          <w:szCs w:val="22"/>
          <w:lang w:val="en-US"/>
        </w:rPr>
        <w:t>systemic lupus erythematosus</w:t>
      </w:r>
    </w:p>
    <w:p w:rsidR="001546DC" w:rsidRPr="00F93CB1" w:rsidRDefault="001546DC" w:rsidP="002447C6">
      <w:pPr>
        <w:pStyle w:val="Normal1"/>
        <w:spacing w:line="360" w:lineRule="auto"/>
        <w:jc w:val="both"/>
        <w:rPr>
          <w:szCs w:val="22"/>
          <w:lang w:val="en-US"/>
        </w:rPr>
      </w:pPr>
    </w:p>
    <w:p w:rsidR="001546DC" w:rsidRPr="00F93CB1" w:rsidRDefault="001546DC" w:rsidP="002447C6">
      <w:pPr>
        <w:pStyle w:val="Normal1"/>
        <w:spacing w:line="360" w:lineRule="auto"/>
        <w:jc w:val="both"/>
        <w:rPr>
          <w:szCs w:val="22"/>
          <w:lang w:val="en-US"/>
        </w:rPr>
      </w:pPr>
    </w:p>
    <w:p w:rsidR="001546DC" w:rsidRPr="00F93CB1" w:rsidRDefault="001546DC" w:rsidP="001546DC">
      <w:pPr>
        <w:spacing w:after="160" w:line="360" w:lineRule="auto"/>
        <w:jc w:val="both"/>
        <w:rPr>
          <w:b/>
          <w:szCs w:val="22"/>
        </w:rPr>
      </w:pPr>
      <w:r w:rsidRPr="00F93CB1">
        <w:rPr>
          <w:b/>
          <w:szCs w:val="22"/>
        </w:rPr>
        <w:t>RESUMO:</w:t>
      </w:r>
    </w:p>
    <w:p w:rsidR="001546DC" w:rsidRPr="00F93CB1" w:rsidRDefault="001546DC" w:rsidP="001546DC">
      <w:pPr>
        <w:spacing w:line="360" w:lineRule="auto"/>
        <w:jc w:val="both"/>
        <w:rPr>
          <w:szCs w:val="22"/>
        </w:rPr>
      </w:pPr>
      <w:r w:rsidRPr="00F93CB1">
        <w:rPr>
          <w:b/>
          <w:szCs w:val="22"/>
        </w:rPr>
        <w:t xml:space="preserve">Introdução: </w:t>
      </w:r>
      <w:r w:rsidRPr="00F93CB1">
        <w:rPr>
          <w:szCs w:val="22"/>
        </w:rPr>
        <w:t xml:space="preserve">A nefrite lúpica é uma complicação grave do lúpus eritematoso sistémica. Actualmente, a terapêutica dirigida é ditada pelos achados histológicos da biópsia renal, através da classificação da </w:t>
      </w:r>
      <w:r w:rsidR="00203D2E" w:rsidRPr="00F93CB1">
        <w:rPr>
          <w:szCs w:val="22"/>
        </w:rPr>
        <w:t xml:space="preserve">International Society of Nephrology / Renal </w:t>
      </w:r>
      <w:proofErr w:type="spellStart"/>
      <w:r w:rsidR="00203D2E" w:rsidRPr="00F93CB1">
        <w:rPr>
          <w:szCs w:val="22"/>
        </w:rPr>
        <w:t>Pathology</w:t>
      </w:r>
      <w:proofErr w:type="spellEnd"/>
      <w:r w:rsidR="00203D2E" w:rsidRPr="00F93CB1">
        <w:rPr>
          <w:szCs w:val="22"/>
        </w:rPr>
        <w:t xml:space="preserve"> Society (</w:t>
      </w:r>
      <w:r w:rsidRPr="00F93CB1">
        <w:rPr>
          <w:szCs w:val="22"/>
        </w:rPr>
        <w:t>ISN/RPS</w:t>
      </w:r>
      <w:r w:rsidR="00203D2E" w:rsidRPr="00F93CB1">
        <w:rPr>
          <w:szCs w:val="22"/>
        </w:rPr>
        <w:t>)</w:t>
      </w:r>
      <w:r w:rsidRPr="00F93CB1">
        <w:rPr>
          <w:szCs w:val="22"/>
        </w:rPr>
        <w:t>. Os índices histomorfológicos descritos por Austin e Hill não são rotineiramente realizados.</w:t>
      </w:r>
    </w:p>
    <w:p w:rsidR="001546DC" w:rsidRPr="00F93CB1" w:rsidRDefault="001546DC" w:rsidP="001546DC">
      <w:pPr>
        <w:spacing w:line="360" w:lineRule="auto"/>
        <w:jc w:val="both"/>
        <w:rPr>
          <w:szCs w:val="22"/>
        </w:rPr>
      </w:pPr>
      <w:r w:rsidRPr="00F93CB1">
        <w:rPr>
          <w:b/>
          <w:szCs w:val="22"/>
        </w:rPr>
        <w:t xml:space="preserve">Métodos: </w:t>
      </w:r>
      <w:r w:rsidRPr="00F93CB1">
        <w:rPr>
          <w:szCs w:val="22"/>
        </w:rPr>
        <w:t xml:space="preserve">Neste estudo </w:t>
      </w:r>
      <w:proofErr w:type="spellStart"/>
      <w:r w:rsidRPr="00F93CB1">
        <w:rPr>
          <w:szCs w:val="22"/>
        </w:rPr>
        <w:t>retrospectivo</w:t>
      </w:r>
      <w:proofErr w:type="spellEnd"/>
      <w:r w:rsidR="007321A4" w:rsidRPr="00F93CB1">
        <w:rPr>
          <w:szCs w:val="22"/>
        </w:rPr>
        <w:t xml:space="preserve"> </w:t>
      </w:r>
      <w:proofErr w:type="spellStart"/>
      <w:r w:rsidR="007321A4" w:rsidRPr="00F93CB1">
        <w:rPr>
          <w:szCs w:val="22"/>
        </w:rPr>
        <w:t>unicêntrico</w:t>
      </w:r>
      <w:proofErr w:type="spellEnd"/>
      <w:r w:rsidRPr="00F93CB1">
        <w:rPr>
          <w:szCs w:val="22"/>
        </w:rPr>
        <w:t>, procurámos analisar a aplicabilidade e relevância dos índices morfológicos na predição da resposta à terapêutica e do prognóstico dos doentes cuja biópsia renal documentou nefrite lúpica.</w:t>
      </w:r>
    </w:p>
    <w:p w:rsidR="001546DC" w:rsidRPr="00F93CB1" w:rsidRDefault="001546DC" w:rsidP="001546DC">
      <w:pPr>
        <w:spacing w:line="360" w:lineRule="auto"/>
        <w:jc w:val="both"/>
        <w:rPr>
          <w:szCs w:val="22"/>
        </w:rPr>
      </w:pPr>
      <w:r w:rsidRPr="00F93CB1">
        <w:rPr>
          <w:b/>
          <w:szCs w:val="22"/>
        </w:rPr>
        <w:t>Resultados:</w:t>
      </w:r>
      <w:r w:rsidRPr="00F93CB1">
        <w:rPr>
          <w:szCs w:val="22"/>
        </w:rPr>
        <w:t xml:space="preserve"> Foram revistos 46 casos de nefrite lúpica, com um follow-up mediano de 31</w:t>
      </w:r>
      <w:r w:rsidR="00847AE8" w:rsidRPr="00F93CB1">
        <w:rPr>
          <w:szCs w:val="22"/>
        </w:rPr>
        <w:t>.</w:t>
      </w:r>
      <w:r w:rsidRPr="00F93CB1">
        <w:rPr>
          <w:szCs w:val="22"/>
        </w:rPr>
        <w:t>9 (13</w:t>
      </w:r>
      <w:r w:rsidR="00847AE8" w:rsidRPr="00F93CB1">
        <w:rPr>
          <w:szCs w:val="22"/>
        </w:rPr>
        <w:t>.</w:t>
      </w:r>
      <w:r w:rsidRPr="00F93CB1">
        <w:rPr>
          <w:szCs w:val="22"/>
        </w:rPr>
        <w:t>2 – 45</w:t>
      </w:r>
      <w:r w:rsidR="00847AE8" w:rsidRPr="00F93CB1">
        <w:rPr>
          <w:szCs w:val="22"/>
        </w:rPr>
        <w:t>.</w:t>
      </w:r>
      <w:r w:rsidRPr="00F93CB1">
        <w:rPr>
          <w:szCs w:val="22"/>
        </w:rPr>
        <w:t xml:space="preserve">6) meses. 35 doentes foram submetidos a imunossupressão, guiada pelos achados histológicos. Observámos que os doentes com nefrite lúpica Classe IV tinha, à apresentação, </w:t>
      </w:r>
      <w:r w:rsidR="00203D2E" w:rsidRPr="00F93CB1">
        <w:rPr>
          <w:szCs w:val="22"/>
        </w:rPr>
        <w:t xml:space="preserve">taxa de filtrado glomerular estimada </w:t>
      </w:r>
      <w:r w:rsidR="003631DB" w:rsidRPr="00F93CB1">
        <w:rPr>
          <w:szCs w:val="22"/>
        </w:rPr>
        <w:t>mais reduzida</w:t>
      </w:r>
      <w:r w:rsidRPr="00F93CB1">
        <w:rPr>
          <w:szCs w:val="22"/>
        </w:rPr>
        <w:t xml:space="preserve"> (67</w:t>
      </w:r>
      <w:r w:rsidR="00847AE8" w:rsidRPr="00F93CB1">
        <w:rPr>
          <w:szCs w:val="22"/>
        </w:rPr>
        <w:t>.</w:t>
      </w:r>
      <w:r w:rsidRPr="00F93CB1">
        <w:rPr>
          <w:szCs w:val="22"/>
        </w:rPr>
        <w:t>3 vs 94</w:t>
      </w:r>
      <w:r w:rsidR="00847AE8" w:rsidRPr="00F93CB1">
        <w:rPr>
          <w:szCs w:val="22"/>
        </w:rPr>
        <w:t>.</w:t>
      </w:r>
      <w:r w:rsidRPr="00F93CB1">
        <w:rPr>
          <w:szCs w:val="22"/>
        </w:rPr>
        <w:t>6 ml/min; p= 0</w:t>
      </w:r>
      <w:r w:rsidR="00847AE8" w:rsidRPr="00F93CB1">
        <w:rPr>
          <w:szCs w:val="22"/>
        </w:rPr>
        <w:t>.</w:t>
      </w:r>
      <w:r w:rsidRPr="00F93CB1">
        <w:rPr>
          <w:szCs w:val="22"/>
        </w:rPr>
        <w:t>02), proteinúria</w:t>
      </w:r>
      <w:r w:rsidR="003631DB" w:rsidRPr="00F93CB1">
        <w:rPr>
          <w:szCs w:val="22"/>
        </w:rPr>
        <w:t xml:space="preserve"> mais elevada</w:t>
      </w:r>
      <w:r w:rsidRPr="00F93CB1">
        <w:rPr>
          <w:szCs w:val="22"/>
        </w:rPr>
        <w:t xml:space="preserve"> (4</w:t>
      </w:r>
      <w:r w:rsidR="00847AE8" w:rsidRPr="00F93CB1">
        <w:rPr>
          <w:szCs w:val="22"/>
        </w:rPr>
        <w:t>.</w:t>
      </w:r>
      <w:r w:rsidRPr="00F93CB1">
        <w:rPr>
          <w:szCs w:val="22"/>
        </w:rPr>
        <w:t>26 vs 2</w:t>
      </w:r>
      <w:r w:rsidR="00847AE8" w:rsidRPr="00F93CB1">
        <w:rPr>
          <w:szCs w:val="22"/>
        </w:rPr>
        <w:t>.</w:t>
      </w:r>
      <w:r w:rsidRPr="00F93CB1">
        <w:rPr>
          <w:szCs w:val="22"/>
        </w:rPr>
        <w:t>37</w:t>
      </w:r>
      <w:r w:rsidR="00203D2E" w:rsidRPr="00F93CB1">
        <w:rPr>
          <w:szCs w:val="22"/>
        </w:rPr>
        <w:t xml:space="preserve"> g/24h</w:t>
      </w:r>
      <w:r w:rsidRPr="00F93CB1">
        <w:rPr>
          <w:szCs w:val="22"/>
        </w:rPr>
        <w:t>; p= 0</w:t>
      </w:r>
      <w:r w:rsidR="00847AE8" w:rsidRPr="00F93CB1">
        <w:rPr>
          <w:szCs w:val="22"/>
        </w:rPr>
        <w:t>.</w:t>
      </w:r>
      <w:r w:rsidRPr="00F93CB1">
        <w:rPr>
          <w:szCs w:val="22"/>
        </w:rPr>
        <w:t xml:space="preserve">02) e consumo de C3 </w:t>
      </w:r>
      <w:r w:rsidR="003631DB" w:rsidRPr="00F93CB1">
        <w:rPr>
          <w:szCs w:val="22"/>
        </w:rPr>
        <w:t xml:space="preserve">mais elevado de modo não-significativo </w:t>
      </w:r>
      <w:r w:rsidRPr="00F93CB1">
        <w:rPr>
          <w:szCs w:val="22"/>
        </w:rPr>
        <w:t>(58</w:t>
      </w:r>
      <w:r w:rsidR="00847AE8" w:rsidRPr="00F93CB1">
        <w:rPr>
          <w:szCs w:val="22"/>
        </w:rPr>
        <w:t>.</w:t>
      </w:r>
      <w:r w:rsidRPr="00F93CB1">
        <w:rPr>
          <w:szCs w:val="22"/>
        </w:rPr>
        <w:t>9 vs 77</w:t>
      </w:r>
      <w:r w:rsidR="00847AE8" w:rsidRPr="00F93CB1">
        <w:rPr>
          <w:szCs w:val="22"/>
        </w:rPr>
        <w:t>.</w:t>
      </w:r>
      <w:r w:rsidRPr="00F93CB1">
        <w:rPr>
          <w:szCs w:val="22"/>
        </w:rPr>
        <w:t>4</w:t>
      </w:r>
      <w:r w:rsidR="00203D2E" w:rsidRPr="00F93CB1">
        <w:rPr>
          <w:szCs w:val="22"/>
        </w:rPr>
        <w:t xml:space="preserve"> mg/dl</w:t>
      </w:r>
      <w:r w:rsidRPr="00F93CB1">
        <w:rPr>
          <w:szCs w:val="22"/>
        </w:rPr>
        <w:t>; p=0</w:t>
      </w:r>
      <w:r w:rsidR="00847AE8" w:rsidRPr="00F93CB1">
        <w:rPr>
          <w:szCs w:val="22"/>
        </w:rPr>
        <w:t>.</w:t>
      </w:r>
      <w:r w:rsidRPr="00F93CB1">
        <w:rPr>
          <w:szCs w:val="22"/>
        </w:rPr>
        <w:t xml:space="preserve">06). Não se verificou correlação entre a classificação ISN/RPS e os desfechos no final do follow-up. Por outro lado, tanto o índice de Hill </w:t>
      </w:r>
      <w:r w:rsidR="003631DB" w:rsidRPr="00F93CB1">
        <w:rPr>
          <w:szCs w:val="22"/>
        </w:rPr>
        <w:t xml:space="preserve">quanto </w:t>
      </w:r>
      <w:r w:rsidRPr="00F93CB1">
        <w:rPr>
          <w:szCs w:val="22"/>
        </w:rPr>
        <w:t xml:space="preserve">o score de cronicidade de Austin se correlacionaram com a função renal e a proteinúria no final do seguimento. Adicionalmente, o score de actividade de Austin correlacionou-se com os achados imunológicos à apresentação (C3, C4 e </w:t>
      </w:r>
      <w:proofErr w:type="spellStart"/>
      <w:r w:rsidRPr="00F93CB1">
        <w:rPr>
          <w:szCs w:val="22"/>
        </w:rPr>
        <w:t>anti-dsDNA</w:t>
      </w:r>
      <w:proofErr w:type="spellEnd"/>
      <w:r w:rsidRPr="00F93CB1">
        <w:rPr>
          <w:szCs w:val="22"/>
        </w:rPr>
        <w:t>).</w:t>
      </w:r>
    </w:p>
    <w:p w:rsidR="001546DC" w:rsidRPr="00F93CB1" w:rsidRDefault="001546DC" w:rsidP="001546DC">
      <w:pPr>
        <w:spacing w:line="360" w:lineRule="auto"/>
        <w:jc w:val="both"/>
        <w:rPr>
          <w:szCs w:val="22"/>
        </w:rPr>
      </w:pPr>
      <w:r w:rsidRPr="00F93CB1">
        <w:rPr>
          <w:b/>
          <w:szCs w:val="22"/>
        </w:rPr>
        <w:t>Conclusão:</w:t>
      </w:r>
      <w:r w:rsidRPr="00F93CB1">
        <w:rPr>
          <w:szCs w:val="22"/>
        </w:rPr>
        <w:t xml:space="preserve"> </w:t>
      </w:r>
      <w:r w:rsidR="007321A4" w:rsidRPr="00F93CB1">
        <w:rPr>
          <w:szCs w:val="22"/>
        </w:rPr>
        <w:t xml:space="preserve">A mais recente publicação da ISN/RPS vai de encontro às </w:t>
      </w:r>
      <w:r w:rsidRPr="00F93CB1">
        <w:rPr>
          <w:szCs w:val="22"/>
        </w:rPr>
        <w:t xml:space="preserve">linhas de orientação da </w:t>
      </w:r>
      <w:r w:rsidR="00EA5CA5" w:rsidRPr="00F93CB1">
        <w:rPr>
          <w:szCs w:val="22"/>
        </w:rPr>
        <w:t xml:space="preserve">European League </w:t>
      </w:r>
      <w:proofErr w:type="spellStart"/>
      <w:r w:rsidR="00EA5CA5" w:rsidRPr="00F93CB1">
        <w:rPr>
          <w:szCs w:val="22"/>
        </w:rPr>
        <w:t>Against</w:t>
      </w:r>
      <w:proofErr w:type="spellEnd"/>
      <w:r w:rsidR="00EA5CA5" w:rsidRPr="00F93CB1">
        <w:rPr>
          <w:szCs w:val="22"/>
        </w:rPr>
        <w:t xml:space="preserve"> </w:t>
      </w:r>
      <w:proofErr w:type="spellStart"/>
      <w:r w:rsidR="00EA5CA5" w:rsidRPr="00F93CB1">
        <w:rPr>
          <w:szCs w:val="22"/>
        </w:rPr>
        <w:t>Rheumatism</w:t>
      </w:r>
      <w:proofErr w:type="spellEnd"/>
      <w:r w:rsidR="007321A4" w:rsidRPr="00F93CB1">
        <w:rPr>
          <w:szCs w:val="22"/>
        </w:rPr>
        <w:t xml:space="preserve">, encorajando a aplicação de índices </w:t>
      </w:r>
      <w:r w:rsidRPr="00F93CB1">
        <w:rPr>
          <w:szCs w:val="22"/>
        </w:rPr>
        <w:t>histomorfológic</w:t>
      </w:r>
      <w:r w:rsidR="007321A4" w:rsidRPr="00F93CB1">
        <w:rPr>
          <w:szCs w:val="22"/>
        </w:rPr>
        <w:t>os</w:t>
      </w:r>
      <w:r w:rsidRPr="00F93CB1">
        <w:rPr>
          <w:szCs w:val="22"/>
        </w:rPr>
        <w:t xml:space="preserve"> </w:t>
      </w:r>
      <w:r w:rsidR="007321A4" w:rsidRPr="00F93CB1">
        <w:rPr>
          <w:szCs w:val="22"/>
        </w:rPr>
        <w:t xml:space="preserve">na avaliação </w:t>
      </w:r>
      <w:r w:rsidRPr="00F93CB1">
        <w:rPr>
          <w:szCs w:val="22"/>
        </w:rPr>
        <w:t>da nefrite lúpica</w:t>
      </w:r>
      <w:r w:rsidR="007321A4" w:rsidRPr="00F93CB1">
        <w:rPr>
          <w:szCs w:val="22"/>
        </w:rPr>
        <w:t>.</w:t>
      </w:r>
      <w:r w:rsidRPr="00F93CB1">
        <w:rPr>
          <w:szCs w:val="22"/>
        </w:rPr>
        <w:t xml:space="preserve"> </w:t>
      </w:r>
      <w:r w:rsidR="00446DB4" w:rsidRPr="00F93CB1">
        <w:rPr>
          <w:szCs w:val="22"/>
        </w:rPr>
        <w:t>Os dados da nossa população, onde verificámos uma correlação entre o prognóstico renal e os índices histomorfológicos descritos por Austin e Hill, apoiam essa sugestão.</w:t>
      </w:r>
    </w:p>
    <w:p w:rsidR="001546DC" w:rsidRPr="00F93CB1" w:rsidRDefault="001546DC" w:rsidP="001546DC">
      <w:pPr>
        <w:spacing w:line="360" w:lineRule="auto"/>
        <w:jc w:val="both"/>
        <w:rPr>
          <w:szCs w:val="22"/>
        </w:rPr>
      </w:pPr>
    </w:p>
    <w:p w:rsidR="001546DC" w:rsidRPr="00F93CB1" w:rsidRDefault="00446DB4" w:rsidP="002447C6">
      <w:pPr>
        <w:pStyle w:val="Normal1"/>
        <w:spacing w:line="360" w:lineRule="auto"/>
        <w:jc w:val="both"/>
        <w:rPr>
          <w:szCs w:val="22"/>
        </w:rPr>
      </w:pPr>
      <w:r w:rsidRPr="00F93CB1">
        <w:rPr>
          <w:b/>
          <w:szCs w:val="22"/>
        </w:rPr>
        <w:t>Palavras chave</w:t>
      </w:r>
      <w:r w:rsidR="001546DC" w:rsidRPr="00F93CB1">
        <w:rPr>
          <w:b/>
          <w:szCs w:val="22"/>
        </w:rPr>
        <w:t>:</w:t>
      </w:r>
      <w:r w:rsidR="001546DC" w:rsidRPr="00F93CB1">
        <w:rPr>
          <w:szCs w:val="22"/>
        </w:rPr>
        <w:t xml:space="preserve"> </w:t>
      </w:r>
      <w:r w:rsidRPr="00F93CB1">
        <w:rPr>
          <w:szCs w:val="22"/>
        </w:rPr>
        <w:t>biópsia renal</w:t>
      </w:r>
      <w:r w:rsidR="007321A4" w:rsidRPr="00F93CB1">
        <w:rPr>
          <w:szCs w:val="22"/>
        </w:rPr>
        <w:t>; nefrite lúpica; prognóstico</w:t>
      </w:r>
      <w:r w:rsidRPr="00F93CB1">
        <w:rPr>
          <w:szCs w:val="22"/>
        </w:rPr>
        <w:t>; lupus eritematoso sistémico.</w:t>
      </w:r>
    </w:p>
    <w:p w:rsidR="00F27785" w:rsidRPr="00F93CB1" w:rsidRDefault="00F27785" w:rsidP="002447C6">
      <w:pPr>
        <w:pStyle w:val="Normal1"/>
        <w:spacing w:line="360" w:lineRule="auto"/>
        <w:jc w:val="both"/>
        <w:rPr>
          <w:rFonts w:asciiTheme="minorHAnsi" w:hAnsiTheme="minorHAnsi"/>
          <w:szCs w:val="22"/>
        </w:rPr>
      </w:pPr>
      <w:r w:rsidRPr="00F93CB1">
        <w:rPr>
          <w:b/>
          <w:szCs w:val="22"/>
        </w:rPr>
        <w:br w:type="page"/>
      </w:r>
    </w:p>
    <w:p w:rsidR="00F27785" w:rsidRPr="00F93CB1" w:rsidRDefault="00F27785" w:rsidP="002447C6">
      <w:pPr>
        <w:pStyle w:val="Normal1"/>
        <w:spacing w:line="360" w:lineRule="auto"/>
        <w:jc w:val="both"/>
        <w:rPr>
          <w:szCs w:val="22"/>
          <w:lang w:val="en-US"/>
        </w:rPr>
      </w:pPr>
      <w:r w:rsidRPr="00F93CB1">
        <w:rPr>
          <w:b/>
          <w:szCs w:val="22"/>
          <w:lang w:val="en-US"/>
        </w:rPr>
        <w:lastRenderedPageBreak/>
        <w:t>INTRODUCTION</w:t>
      </w:r>
    </w:p>
    <w:p w:rsidR="00C5358B" w:rsidRPr="00F93CB1" w:rsidRDefault="007E73D6"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Systemic lupus erythematosus (</w:t>
      </w:r>
      <w:r w:rsidR="006C1EC0" w:rsidRPr="00F93CB1">
        <w:rPr>
          <w:rFonts w:ascii="Calibri" w:eastAsia="Calibri" w:hAnsi="Calibri" w:cs="Times New Roman"/>
          <w:color w:val="auto"/>
          <w:szCs w:val="22"/>
          <w:lang w:val="en-US" w:eastAsia="en-US"/>
        </w:rPr>
        <w:t>SLE</w:t>
      </w:r>
      <w:r w:rsidRPr="00F93CB1">
        <w:rPr>
          <w:rFonts w:ascii="Calibri" w:eastAsia="Calibri" w:hAnsi="Calibri" w:cs="Times New Roman"/>
          <w:color w:val="auto"/>
          <w:szCs w:val="22"/>
          <w:lang w:val="en-US" w:eastAsia="en-US"/>
        </w:rPr>
        <w:t>)</w:t>
      </w:r>
      <w:r w:rsidR="006C1EC0" w:rsidRPr="00F93CB1">
        <w:rPr>
          <w:rFonts w:ascii="Calibri" w:eastAsia="Calibri" w:hAnsi="Calibri" w:cs="Times New Roman"/>
          <w:color w:val="auto"/>
          <w:szCs w:val="22"/>
          <w:lang w:val="en-US" w:eastAsia="en-US"/>
        </w:rPr>
        <w:t xml:space="preserve"> is </w:t>
      </w:r>
      <w:r w:rsidR="002D50D9" w:rsidRPr="00F93CB1">
        <w:rPr>
          <w:rFonts w:ascii="Calibri" w:eastAsia="Calibri" w:hAnsi="Calibri" w:cs="Times New Roman"/>
          <w:color w:val="auto"/>
          <w:szCs w:val="22"/>
          <w:lang w:val="en-US" w:eastAsia="en-US"/>
        </w:rPr>
        <w:t>a</w:t>
      </w:r>
      <w:r w:rsidR="006C1EC0" w:rsidRPr="00F93CB1">
        <w:rPr>
          <w:rFonts w:ascii="Calibri" w:eastAsia="Calibri" w:hAnsi="Calibri" w:cs="Times New Roman"/>
          <w:color w:val="auto"/>
          <w:szCs w:val="22"/>
          <w:lang w:val="en-US" w:eastAsia="en-US"/>
        </w:rPr>
        <w:t xml:space="preserve"> systemic autoimmune disease</w:t>
      </w:r>
      <w:r w:rsidRPr="00F93CB1">
        <w:rPr>
          <w:rFonts w:ascii="Calibri" w:eastAsia="Calibri" w:hAnsi="Calibri" w:cs="Times New Roman"/>
          <w:color w:val="auto"/>
          <w:szCs w:val="22"/>
          <w:lang w:val="en-US" w:eastAsia="en-US"/>
        </w:rPr>
        <w:t xml:space="preserve"> </w:t>
      </w:r>
      <w:r w:rsidR="00C5358B" w:rsidRPr="00F93CB1">
        <w:rPr>
          <w:rFonts w:ascii="Calibri" w:eastAsia="Calibri" w:hAnsi="Calibri" w:cs="Times New Roman"/>
          <w:color w:val="auto"/>
          <w:szCs w:val="22"/>
          <w:lang w:val="en-US" w:eastAsia="en-US"/>
        </w:rPr>
        <w:t xml:space="preserve">associated with </w:t>
      </w:r>
      <w:r w:rsidRPr="00F93CB1">
        <w:rPr>
          <w:rFonts w:ascii="Calibri" w:eastAsia="Calibri" w:hAnsi="Calibri" w:cs="Times New Roman"/>
          <w:color w:val="auto"/>
          <w:szCs w:val="22"/>
          <w:lang w:val="en-US" w:eastAsia="en-US"/>
        </w:rPr>
        <w:t xml:space="preserve">significant </w:t>
      </w:r>
      <w:r w:rsidR="006C1EC0" w:rsidRPr="00F93CB1">
        <w:rPr>
          <w:rFonts w:ascii="Calibri" w:eastAsia="Calibri" w:hAnsi="Calibri" w:cs="Times New Roman"/>
          <w:color w:val="auto"/>
          <w:szCs w:val="22"/>
          <w:lang w:val="en-US" w:eastAsia="en-US"/>
        </w:rPr>
        <w:t>comorbidity and mortality</w:t>
      </w:r>
      <w:r w:rsidR="003C0D68" w:rsidRPr="00F93CB1">
        <w:rPr>
          <w:rFonts w:ascii="Calibri" w:eastAsia="Calibri" w:hAnsi="Calibri" w:cs="Times New Roman"/>
          <w:color w:val="auto"/>
          <w:szCs w:val="22"/>
          <w:lang w:val="en-US" w:eastAsia="en-US"/>
        </w:rPr>
        <w:t xml:space="preserve"> </w:t>
      </w:r>
      <w:r w:rsidR="003C0D68" w:rsidRPr="00F93CB1">
        <w:rPr>
          <w:rFonts w:ascii="Calibri" w:eastAsia="Calibri" w:hAnsi="Calibri" w:cs="Times New Roman"/>
          <w:color w:val="auto"/>
          <w:szCs w:val="22"/>
          <w:lang w:val="en-US" w:eastAsia="en-US"/>
        </w:rPr>
        <w:fldChar w:fldCharType="begin" w:fldLock="1"/>
      </w:r>
      <w:r w:rsidR="00516AFC" w:rsidRPr="00F93CB1">
        <w:rPr>
          <w:rFonts w:ascii="Calibri" w:eastAsia="Calibri" w:hAnsi="Calibri" w:cs="Times New Roman"/>
          <w:color w:val="auto"/>
          <w:szCs w:val="22"/>
          <w:lang w:val="en-US" w:eastAsia="en-US"/>
        </w:rPr>
        <w:instrText>ADDIN CSL_CITATION {"citationItems":[{"id":"ITEM-1","itemData":{"DOI":"10.1097/01.md.0000091181.93122.55","ISSN":"0025-7974","PMID":"14530779","abstract":"In the present study, we assessed the frequency and characteristics of the main causes of morbidity and mortality in systemic lupus erythematosus (SLE) during a 10-year period and compared the frequency of early manifestations with those that appeared later in the evolution of the disease. In 1990, we started a multicenter study of 1,000 patients from 7 European countries. All had medical histories documented and underwent medical interview and routine general physical examination when entered in the study, and all were followed prospectively by the same physicians during the ensuing 10 years (1990-2000).A total of 481 (48.1%) patients presented 1 or more episodes of arthritis at any time during the 10 years, 311 (31.1%) patients had malar rash, 279 (27.9%) active nephropathy, 194 (19.4%) neurologic involvement, 166 (16.6%) fever, 163 (16.3%) Raynaud phenomenon, 160 (16.0%) serositis (pleuritis and/or pericarditis), 134 (13.4%) thrombocytopenia, and 92 (9.2%) thrombosis. When the prevalences of the clinical manifestations during the initial 5 years of follow-up (1990-1995) were compared with those during the ensuing 5 years (1995-2000), most manifestations were found to be more frequent during the initial 5 years. Of the 1,000 patients, 360 (36%) presented infections, 169 (16.9%) hypertension, 121 (12.1%) osteoporosis, and 81 (8.1%) cytopenia due to immunosuppressive agents. Twenty-three (2.3%) patients developed malignancies; the most frequent primary localizations were the uterus and the breast.Sixty-eight (6.8%) patients died, and the most frequent causes of death were similarly divided between active SLE (26.5%), thromboses (26.5%), and infections (25%). A survival probability of 92% at 10 years was found. A lower survival probability was detected in those patients who presented at the beginning of the study with nephropathy (88% versus 94% in patients without nephropathy, p = 0.045). When the causes of death during the initial 5 years of follow-up (1990-1995) were compared with those during the ensuing 5 years (1995-2000), active SLE and infections (28.9% each) appeared to be the most common causes during the initial 5 years, while thromboses (26.1%) became the most common cause of death during the last 5 years.In conclusion, most of the SLE inflammatory manifestations appear to be less common after a long-term evolution of the disease, probably reflecting the effect of therapy as well as the progressive remission of the disease in many patients. M…","author":[{"dropping-particle":"","family":"Cervera","given":"Ricard","non-dropping-particle":"","parse-names":false,"suffix":""},{"dropping-particle":"","family":"Khamashta","given":"Munther A.","non-dropping-particle":"","parse-names":false,"suffix":""},{"dropping-particle":"","family":"Font","given":"Josep","non-dropping-particle":"","parse-names":false,"suffix":""},{"dropping-particle":"","family":"Sebastiani","given":"Gian Domenico","non-dropping-particle":"","parse-names":false,"suffix":""},{"dropping-particle":"","family":"Gil","given":"Antonio","non-dropping-particle":"","parse-names":false,"suffix":""},{"dropping-particle":"","family":"Lavilla","given":"Paz","non-dropping-particle":"","parse-names":false,"suffix":""},{"dropping-particle":"","family":"Mejía","given":"Juan Carlos","non-dropping-particle":"","parse-names":false,"suffix":""},{"dropping-particle":"","family":"Aydintug","given":"A. Olcay","non-dropping-particle":"","parse-names":false,"suffix":""},{"dropping-particle":"","family":"Chwalinska-Sadowska","given":"Hanna","non-dropping-particle":"","parse-names":false,"suffix":""},{"dropping-particle":"","family":"Ramón","given":"Enrique","non-dropping-particle":"de","parse-names":false,"suffix":""},{"dropping-particle":"","family":"Fernández-Nebro","given":"Antonio","non-dropping-particle":"","parse-names":false,"suffix":""},{"dropping-particle":"","family":"Galeazzi","given":"Mauro","non-dropping-particle":"","parse-names":false,"suffix":""},{"dropping-particle":"","family":"Valen","given":"Merete","non-dropping-particle":"","parse-names":false,"suffix":""},{"dropping-particle":"","family":"Mathieu","given":"Alessandro","non-dropping-particle":"","parse-names":false,"suffix":""},{"dropping-particle":"","family":"Houssiau","given":"Frédéric","non-dropping-particle":"","parse-names":false,"suffix":""},{"dropping-particle":"","family":"Caro","given":"Natividad","non-dropping-particle":"","parse-names":false,"suffix":""},{"dropping-particle":"","family":"Alba","given":"Paula","non-dropping-particle":"","parse-names":false,"suffix":""},{"dropping-particle":"","family":"Ramos-Casals","given":"Manuel","non-dropping-particle":"","parse-names":false,"suffix":""},{"dropping-particle":"","family":"Ingelmo","given":"Miguel","non-dropping-particle":"","parse-names":false,"suffix":""},{"dropping-particle":"","family":"Hughes","given":"Graham R.V.","non-dropping-particle":"","parse-names":false,"suffix":""}],"container-title":"Medicine","id":"ITEM-1","issue":"5","issued":{"date-parts":[["2003"]]},"page":"299-308","title":"Morbidity and Mortality in Systemic Lupus Erythematosus During a 10-Year Period","type":"article-journal","volume":"82"},"uris":["http://www.mendeley.com/documents/?uuid=097e6d54-2f0c-4af0-9206-26972b00de33"]}],"mendeley":{"formattedCitation":"(1)","plainTextFormattedCitation":"(1)","previouslyFormattedCitation":"(1)"},"properties":{"noteIndex":0},"schema":"https://github.com/citation-style-language/schema/raw/master/csl-citation.json"}</w:instrText>
      </w:r>
      <w:r w:rsidR="003C0D68" w:rsidRPr="00F93CB1">
        <w:rPr>
          <w:rFonts w:ascii="Calibri" w:eastAsia="Calibri" w:hAnsi="Calibri" w:cs="Times New Roman"/>
          <w:color w:val="auto"/>
          <w:szCs w:val="22"/>
          <w:lang w:val="en-US" w:eastAsia="en-US"/>
        </w:rPr>
        <w:fldChar w:fldCharType="separate"/>
      </w:r>
      <w:r w:rsidR="003C0D68" w:rsidRPr="00F93CB1">
        <w:rPr>
          <w:rFonts w:ascii="Calibri" w:eastAsia="Calibri" w:hAnsi="Calibri" w:cs="Times New Roman"/>
          <w:noProof/>
          <w:color w:val="auto"/>
          <w:szCs w:val="22"/>
          <w:lang w:val="en-US" w:eastAsia="en-US"/>
        </w:rPr>
        <w:t>(1)</w:t>
      </w:r>
      <w:r w:rsidR="003C0D68" w:rsidRPr="00F93CB1">
        <w:rPr>
          <w:rFonts w:ascii="Calibri" w:eastAsia="Calibri" w:hAnsi="Calibri" w:cs="Times New Roman"/>
          <w:color w:val="auto"/>
          <w:szCs w:val="22"/>
          <w:lang w:val="en-US" w:eastAsia="en-US"/>
        </w:rPr>
        <w:fldChar w:fldCharType="end"/>
      </w:r>
      <w:r w:rsidR="006C1EC0" w:rsidRPr="00F93CB1">
        <w:rPr>
          <w:rFonts w:ascii="Calibri" w:eastAsia="Calibri" w:hAnsi="Calibri" w:cs="Times New Roman"/>
          <w:color w:val="auto"/>
          <w:szCs w:val="22"/>
          <w:lang w:val="en-US" w:eastAsia="en-US"/>
        </w:rPr>
        <w:t>. Lupus nephritis</w:t>
      </w:r>
      <w:r w:rsidR="001742A8" w:rsidRPr="00F93CB1">
        <w:rPr>
          <w:rFonts w:ascii="Calibri" w:eastAsia="Calibri" w:hAnsi="Calibri" w:cs="Times New Roman"/>
          <w:color w:val="auto"/>
          <w:szCs w:val="22"/>
          <w:lang w:val="en-US" w:eastAsia="en-US"/>
        </w:rPr>
        <w:t xml:space="preserve"> (LN)</w:t>
      </w:r>
      <w:r w:rsidR="006C1EC0" w:rsidRPr="00F93CB1">
        <w:rPr>
          <w:rFonts w:ascii="Calibri" w:eastAsia="Calibri" w:hAnsi="Calibri" w:cs="Times New Roman"/>
          <w:color w:val="auto"/>
          <w:szCs w:val="22"/>
          <w:lang w:val="en-US" w:eastAsia="en-US"/>
        </w:rPr>
        <w:t xml:space="preserve"> is one of its most serious complications, </w:t>
      </w:r>
      <w:r w:rsidRPr="00F93CB1">
        <w:rPr>
          <w:rFonts w:ascii="Calibri" w:eastAsia="Calibri" w:hAnsi="Calibri" w:cs="Times New Roman"/>
          <w:color w:val="auto"/>
          <w:szCs w:val="22"/>
          <w:lang w:val="en-US" w:eastAsia="en-US"/>
        </w:rPr>
        <w:t xml:space="preserve">and includes </w:t>
      </w:r>
      <w:r w:rsidR="007A5649" w:rsidRPr="00F93CB1">
        <w:rPr>
          <w:rFonts w:ascii="Calibri" w:eastAsia="Calibri" w:hAnsi="Calibri" w:cs="Times New Roman"/>
          <w:color w:val="auto"/>
          <w:szCs w:val="22"/>
          <w:lang w:val="en-US" w:eastAsia="en-US"/>
        </w:rPr>
        <w:t xml:space="preserve">a wide spectrum of clinical presentations, </w:t>
      </w:r>
      <w:r w:rsidR="00606D4E" w:rsidRPr="00F93CB1">
        <w:rPr>
          <w:rFonts w:ascii="Calibri" w:eastAsia="Calibri" w:hAnsi="Calibri" w:cs="Times New Roman"/>
          <w:color w:val="auto"/>
          <w:szCs w:val="22"/>
          <w:lang w:val="en-US" w:eastAsia="en-US"/>
        </w:rPr>
        <w:t xml:space="preserve">ranging </w:t>
      </w:r>
      <w:r w:rsidR="001714C8" w:rsidRPr="00F93CB1">
        <w:rPr>
          <w:rFonts w:ascii="Calibri" w:eastAsia="Calibri" w:hAnsi="Calibri" w:cs="Times New Roman"/>
          <w:color w:val="auto"/>
          <w:szCs w:val="22"/>
          <w:lang w:val="en-US" w:eastAsia="en-US"/>
        </w:rPr>
        <w:t xml:space="preserve">from isolated haematuria to </w:t>
      </w:r>
      <w:r w:rsidR="007A5649" w:rsidRPr="00F93CB1">
        <w:rPr>
          <w:rFonts w:ascii="Calibri" w:eastAsia="Calibri" w:hAnsi="Calibri" w:cs="Times New Roman"/>
          <w:color w:val="auto"/>
          <w:szCs w:val="22"/>
          <w:lang w:val="en-US" w:eastAsia="en-US"/>
        </w:rPr>
        <w:t>end-stage renal disease.</w:t>
      </w:r>
      <w:r w:rsidR="001714C8" w:rsidRPr="00F93CB1">
        <w:rPr>
          <w:rFonts w:ascii="Calibri" w:eastAsia="Calibri" w:hAnsi="Calibri" w:cs="Times New Roman"/>
          <w:color w:val="auto"/>
          <w:szCs w:val="22"/>
          <w:lang w:val="en-US" w:eastAsia="en-US"/>
        </w:rPr>
        <w:t xml:space="preserve"> Immunosuppression can have an important role in controlling renal affection – with current therapies, a high remission rate is observed, </w:t>
      </w:r>
      <w:r w:rsidR="001B42C6" w:rsidRPr="00F93CB1">
        <w:rPr>
          <w:rFonts w:ascii="Calibri" w:eastAsia="Calibri" w:hAnsi="Calibri" w:cs="Times New Roman"/>
          <w:color w:val="auto"/>
          <w:szCs w:val="22"/>
          <w:lang w:val="en-US" w:eastAsia="en-US"/>
        </w:rPr>
        <w:t xml:space="preserve">which is </w:t>
      </w:r>
      <w:r w:rsidR="001714C8" w:rsidRPr="00F93CB1">
        <w:rPr>
          <w:rFonts w:ascii="Calibri" w:eastAsia="Calibri" w:hAnsi="Calibri" w:cs="Times New Roman"/>
          <w:color w:val="auto"/>
          <w:szCs w:val="22"/>
          <w:lang w:val="en-US" w:eastAsia="en-US"/>
        </w:rPr>
        <w:t xml:space="preserve">the most important renal prognostic factor </w:t>
      </w:r>
      <w:r w:rsidR="003C0D68" w:rsidRPr="00F93CB1">
        <w:rPr>
          <w:rFonts w:ascii="Calibri" w:eastAsia="Calibri" w:hAnsi="Calibri" w:cs="Times New Roman"/>
          <w:color w:val="auto"/>
          <w:szCs w:val="22"/>
          <w:lang w:val="en-US" w:eastAsia="en-US"/>
        </w:rPr>
        <w:fldChar w:fldCharType="begin" w:fldLock="1"/>
      </w:r>
      <w:r w:rsidR="00516AFC" w:rsidRPr="00F93CB1">
        <w:rPr>
          <w:rFonts w:ascii="Calibri" w:eastAsia="Calibri" w:hAnsi="Calibri" w:cs="Times New Roman"/>
          <w:color w:val="auto"/>
          <w:szCs w:val="22"/>
          <w:lang w:val="en-US" w:eastAsia="en-US"/>
        </w:rPr>
        <w:instrText>ADDIN CSL_CITATION {"citationItems":[{"id":"ITEM-1","itemData":{"DOI":"10.1053/kd.2000.6400","ISBN":"1523-6838","ISSN":"15236838","PMID":"10793026","abstract":"In 1992, we published the results of a prospective, controlled trial of aggressive therapy (high-dose prednisone plus oral cyclophosphamide alone or with plasmapheresis) in 86 patients with severe lupus nephritis. During this study, remission (serum creatinine &lt; or =1.4 mg/dL or =123 micromol/L and proteinuria &lt; or =330 mg/d of protein) in renal disease occurred in 37 patients (43%). To assess the long-term effect of remission on patient and renal survival, we now report the results of our extended follow-up of these patients. After an average of 10 years of follow-up in the 86 patients, patient survival rates at both 5 and 10 years were 95% in the group that had a remission and 69% at 5 years and 60% at 10 years in the no-remission group (P &lt; 0.001). Renal survival rates were 94% at both 5 and 10 years in the remission group compared with 46% at 5 years and 31% at 10 years in the no-remission group (P &lt; 0. 0001). Features predictive of remission included stable renal function after 4 weeks on therapy, category IV lesion, lower chronicity index, white race, lower urine protein excretion level at baseline, and lower baseline serum creatinine level. The features predictive of end-stage renal disease were higher baseline serum creatinine level, presence of anti-Ro antibodies, and failure to attain a remission. Thus, in patients with the most severe forms of lupus nephritis, a remission of clinical renal abnormalities is associated with dramatic improvement in long-term patient and renal survival.","author":[{"dropping-particle":"","family":"Korbet","given":"Stephen M","non-dropping-particle":"","parse-names":false,"suffix":""},{"dropping-particle":"","family":"Lewis","given":"Edmund J","non-dropping-particle":"","parse-names":false,"suffix":""},{"dropping-particle":"","family":"Schwartz","given":"Melvin M","non-dropping-particle":"","parse-names":false,"suffix":""},{"dropping-particle":"","family":"Reichlin","given":"Morris","non-dropping-particle":"","parse-names":false,"suffix":""},{"dropping-particle":"","family":"Evans","given":"Joni","non-dropping-particle":"","parse-names":false,"suffix":""},{"dropping-particle":"","family":"Rohde","given":"Richard D","non-dropping-particle":"","parse-names":false,"suffix":""},{"dropping-particle":"","family":"Nephritis","given":"Lupus","non-dropping-particle":"","parse-names":false,"suffix":""}],"container-title":"Lupus","id":"ITEM-1","issue":"5","issued":{"date-parts":[["2000"]]},"page":"904-914","title":"Factors Predictive of Outcome in Severe Lupus Nephritis","type":"article-journal","volume":"35"},"uris":["http://www.mendeley.com/documents/?uuid=f9583470-3473-45f3-8f39-20b029c95fce"]}],"mendeley":{"formattedCitation":"(2)","plainTextFormattedCitation":"(2)","previouslyFormattedCitation":"(2)"},"properties":{"noteIndex":0},"schema":"https://github.com/citation-style-language/schema/raw/master/csl-citation.json"}</w:instrText>
      </w:r>
      <w:r w:rsidR="003C0D68" w:rsidRPr="00F93CB1">
        <w:rPr>
          <w:rFonts w:ascii="Calibri" w:eastAsia="Calibri" w:hAnsi="Calibri" w:cs="Times New Roman"/>
          <w:color w:val="auto"/>
          <w:szCs w:val="22"/>
          <w:lang w:val="en-US" w:eastAsia="en-US"/>
        </w:rPr>
        <w:fldChar w:fldCharType="separate"/>
      </w:r>
      <w:r w:rsidR="003C0D68" w:rsidRPr="00F93CB1">
        <w:rPr>
          <w:rFonts w:ascii="Calibri" w:eastAsia="Calibri" w:hAnsi="Calibri" w:cs="Times New Roman"/>
          <w:noProof/>
          <w:color w:val="auto"/>
          <w:szCs w:val="22"/>
          <w:lang w:val="en-US" w:eastAsia="en-US"/>
        </w:rPr>
        <w:t>(2)</w:t>
      </w:r>
      <w:r w:rsidR="003C0D68" w:rsidRPr="00F93CB1">
        <w:rPr>
          <w:rFonts w:ascii="Calibri" w:eastAsia="Calibri" w:hAnsi="Calibri" w:cs="Times New Roman"/>
          <w:color w:val="auto"/>
          <w:szCs w:val="22"/>
          <w:lang w:val="en-US" w:eastAsia="en-US"/>
        </w:rPr>
        <w:fldChar w:fldCharType="end"/>
      </w:r>
      <w:r w:rsidR="001714C8" w:rsidRPr="00F93CB1">
        <w:rPr>
          <w:rFonts w:ascii="Calibri" w:eastAsia="Calibri" w:hAnsi="Calibri" w:cs="Times New Roman"/>
          <w:color w:val="auto"/>
          <w:szCs w:val="22"/>
          <w:lang w:val="en-US" w:eastAsia="en-US"/>
        </w:rPr>
        <w:t>.</w:t>
      </w:r>
      <w:r w:rsidR="00C4187C" w:rsidRPr="00F93CB1">
        <w:rPr>
          <w:rFonts w:ascii="Calibri" w:eastAsia="Calibri" w:hAnsi="Calibri" w:cs="Times New Roman"/>
          <w:color w:val="auto"/>
          <w:szCs w:val="22"/>
          <w:lang w:val="en-US" w:eastAsia="en-US"/>
        </w:rPr>
        <w:t xml:space="preserve"> For those reasons, lupus nephritis requires a well-weighted diagnostic and therapeutic approach for which renal biopsy cur</w:t>
      </w:r>
      <w:r w:rsidR="00C5358B" w:rsidRPr="00F93CB1">
        <w:rPr>
          <w:rFonts w:ascii="Calibri" w:eastAsia="Calibri" w:hAnsi="Calibri" w:cs="Times New Roman"/>
          <w:color w:val="auto"/>
          <w:szCs w:val="22"/>
          <w:lang w:val="en-US" w:eastAsia="en-US"/>
        </w:rPr>
        <w:t>rently occupies a central role.</w:t>
      </w:r>
    </w:p>
    <w:p w:rsidR="00C4187C" w:rsidRPr="00F93CB1" w:rsidRDefault="00493532"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The International Society of Nephrology/Renal Pathology Society (</w:t>
      </w:r>
      <w:r w:rsidR="00C4187C" w:rsidRPr="00F93CB1">
        <w:rPr>
          <w:rFonts w:ascii="Calibri" w:eastAsia="Calibri" w:hAnsi="Calibri" w:cs="Times New Roman"/>
          <w:color w:val="auto"/>
          <w:szCs w:val="22"/>
          <w:lang w:val="en-US" w:eastAsia="en-US"/>
        </w:rPr>
        <w:t>ISN/RPS</w:t>
      </w:r>
      <w:r w:rsidRPr="00F93CB1">
        <w:rPr>
          <w:rFonts w:ascii="Calibri" w:eastAsia="Calibri" w:hAnsi="Calibri" w:cs="Times New Roman"/>
          <w:color w:val="auto"/>
          <w:szCs w:val="22"/>
          <w:lang w:val="en-US" w:eastAsia="en-US"/>
        </w:rPr>
        <w:t>)</w:t>
      </w:r>
      <w:r w:rsidR="00C4187C" w:rsidRPr="00F93CB1">
        <w:rPr>
          <w:rFonts w:ascii="Calibri" w:eastAsia="Calibri" w:hAnsi="Calibri" w:cs="Times New Roman"/>
          <w:color w:val="auto"/>
          <w:szCs w:val="22"/>
          <w:lang w:val="en-US" w:eastAsia="en-US"/>
        </w:rPr>
        <w:t xml:space="preserve"> lupus nephritis classification is widely used and recommended in </w:t>
      </w:r>
      <w:r w:rsidRPr="00F93CB1">
        <w:rPr>
          <w:rFonts w:ascii="Calibri" w:eastAsia="Calibri" w:hAnsi="Calibri" w:cs="Times New Roman"/>
          <w:color w:val="auto"/>
          <w:szCs w:val="22"/>
          <w:lang w:val="en-US" w:eastAsia="en-US"/>
        </w:rPr>
        <w:t xml:space="preserve">current </w:t>
      </w:r>
      <w:r w:rsidR="00C4187C" w:rsidRPr="00F93CB1">
        <w:rPr>
          <w:rFonts w:ascii="Calibri" w:eastAsia="Calibri" w:hAnsi="Calibri" w:cs="Times New Roman"/>
          <w:color w:val="auto"/>
          <w:szCs w:val="22"/>
          <w:lang w:val="en-US" w:eastAsia="en-US"/>
        </w:rPr>
        <w:t>guidelines</w:t>
      </w:r>
      <w:r w:rsidR="00724CFF" w:rsidRPr="00F93CB1">
        <w:rPr>
          <w:rFonts w:ascii="Calibri" w:eastAsia="Calibri" w:hAnsi="Calibri" w:cs="Times New Roman"/>
          <w:color w:val="auto"/>
          <w:szCs w:val="22"/>
          <w:lang w:val="en-US" w:eastAsia="en-US"/>
        </w:rPr>
        <w:t xml:space="preserve"> </w:t>
      </w:r>
      <w:r w:rsidR="00724CFF" w:rsidRPr="00F93CB1">
        <w:rPr>
          <w:rFonts w:ascii="Calibri" w:eastAsia="Calibri" w:hAnsi="Calibri" w:cs="Times New Roman"/>
          <w:color w:val="auto"/>
          <w:szCs w:val="22"/>
          <w:lang w:val="en-US" w:eastAsia="en-US"/>
        </w:rPr>
        <w:fldChar w:fldCharType="begin" w:fldLock="1"/>
      </w:r>
      <w:r w:rsidR="00516AFC" w:rsidRPr="00F93CB1">
        <w:rPr>
          <w:rFonts w:ascii="Calibri" w:eastAsia="Calibri" w:hAnsi="Calibri" w:cs="Times New Roman"/>
          <w:color w:val="auto"/>
          <w:szCs w:val="22"/>
          <w:lang w:val="en-US" w:eastAsia="en-US"/>
        </w:rPr>
        <w:instrText>ADDIN CSL_CITATION {"citationItems":[{"id":"ITEM-1","itemData":{"DOI":"10.1038/kisup.2012.23","ISBN":"0272-6386","ISSN":"2157-1724","PMID":"25018938","abstract":"The 2011 Kidney Disease: Improving Global Outcomes (KDIGO) Clinical Practice Guideline for Glomerulonephritis (GN) aims to assist practitioners caring for adults and children with GN. Guideline development followed an explicit process of evidence review and appraisal. The guideline contains chapters on various glomerular diseases: steroid-sensitive nephrotic syndrome in children; steroid-resistant nephrotic syndrome in children; minimal-change disease; idiopathic focal segmental glomerulosclerosis; idiopathic membranous nephropathy; membranoproliferative glomerulonephritis; infection-related glomerulonephritis; IgA nephropathy; Henoch-Scho¨nlein purpura nephritis; lupus nephritis; pauci-immune focal and segmental necrotizing glomerulonephritis; and anti–glomerular basement membrane antibody glomerulonephritis. Treatment approaches are addressed in each chapter and guideline recommendations are based on systematic reviews of relevant trials. Appraisal of the quality of the evidence and the strength of recommendations followed the GRADE approach. Limitations of the evidence are discussed and specific suggestions are provided for future research.","author":[{"dropping-particle":"","family":"Kidney Disease Improving Global Outcomes","given":"","non-dropping-particle":"","parse-names":false,"suffix":""}],"container-title":"Kidnet International Supplements","id":"ITEM-1","issue":"2","issued":{"date-parts":[["2012"]]},"page":"1-274","title":"KDIGO Clinical practice guideline for glomerulonephritis","type":"article-journal","volume":"2"},"uris":["http://www.mendeley.com/documents/?uuid=782472ae-e621-4850-b61f-f2cfb6e362af"]}],"mendeley":{"formattedCitation":"(3)","plainTextFormattedCitation":"(3)","previouslyFormattedCitation":"(3)"},"properties":{"noteIndex":0},"schema":"https://github.com/citation-style-language/schema/raw/master/csl-citation.json"}</w:instrText>
      </w:r>
      <w:r w:rsidR="00724CFF" w:rsidRPr="00F93CB1">
        <w:rPr>
          <w:rFonts w:ascii="Calibri" w:eastAsia="Calibri" w:hAnsi="Calibri" w:cs="Times New Roman"/>
          <w:color w:val="auto"/>
          <w:szCs w:val="22"/>
          <w:lang w:val="en-US" w:eastAsia="en-US"/>
        </w:rPr>
        <w:fldChar w:fldCharType="separate"/>
      </w:r>
      <w:r w:rsidR="00724CFF" w:rsidRPr="00F93CB1">
        <w:rPr>
          <w:rFonts w:ascii="Calibri" w:eastAsia="Calibri" w:hAnsi="Calibri" w:cs="Times New Roman"/>
          <w:noProof/>
          <w:color w:val="auto"/>
          <w:szCs w:val="22"/>
          <w:lang w:val="en-US" w:eastAsia="en-US"/>
        </w:rPr>
        <w:t>(3)</w:t>
      </w:r>
      <w:r w:rsidR="00724CFF" w:rsidRPr="00F93CB1">
        <w:rPr>
          <w:rFonts w:ascii="Calibri" w:eastAsia="Calibri" w:hAnsi="Calibri" w:cs="Times New Roman"/>
          <w:color w:val="auto"/>
          <w:szCs w:val="22"/>
          <w:lang w:val="en-US" w:eastAsia="en-US"/>
        </w:rPr>
        <w:fldChar w:fldCharType="end"/>
      </w:r>
      <w:r w:rsidR="00C5358B" w:rsidRPr="00F93CB1">
        <w:rPr>
          <w:rFonts w:ascii="Calibri" w:eastAsia="Calibri" w:hAnsi="Calibri" w:cs="Times New Roman"/>
          <w:color w:val="auto"/>
          <w:szCs w:val="22"/>
          <w:lang w:val="en-US" w:eastAsia="en-US"/>
        </w:rPr>
        <w:t>. Histology f</w:t>
      </w:r>
      <w:r w:rsidR="00C4187C" w:rsidRPr="00F93CB1">
        <w:rPr>
          <w:rFonts w:ascii="Calibri" w:eastAsia="Calibri" w:hAnsi="Calibri" w:cs="Times New Roman"/>
          <w:color w:val="auto"/>
          <w:szCs w:val="22"/>
          <w:lang w:val="en-US" w:eastAsia="en-US"/>
        </w:rPr>
        <w:t xml:space="preserve">indings allow the sub-classification into </w:t>
      </w:r>
      <w:r w:rsidR="006A3F62" w:rsidRPr="00F93CB1">
        <w:rPr>
          <w:rFonts w:ascii="Calibri" w:eastAsia="Calibri" w:hAnsi="Calibri" w:cs="Times New Roman"/>
          <w:color w:val="auto"/>
          <w:szCs w:val="22"/>
          <w:lang w:val="en-US" w:eastAsia="en-US"/>
        </w:rPr>
        <w:t>six</w:t>
      </w:r>
      <w:r w:rsidR="00C4187C" w:rsidRPr="00F93CB1">
        <w:rPr>
          <w:rFonts w:ascii="Calibri" w:eastAsia="Calibri" w:hAnsi="Calibri" w:cs="Times New Roman"/>
          <w:color w:val="auto"/>
          <w:szCs w:val="22"/>
          <w:lang w:val="en-US" w:eastAsia="en-US"/>
        </w:rPr>
        <w:t xml:space="preserve"> classes</w:t>
      </w:r>
      <w:r w:rsidR="006A3F62" w:rsidRPr="00F93CB1">
        <w:rPr>
          <w:rFonts w:ascii="Calibri" w:eastAsia="Calibri" w:hAnsi="Calibri" w:cs="Times New Roman"/>
          <w:color w:val="auto"/>
          <w:szCs w:val="22"/>
          <w:lang w:val="en-US" w:eastAsia="en-US"/>
        </w:rPr>
        <w:t xml:space="preserve"> (I – VI</w:t>
      </w:r>
      <w:r w:rsidR="00C4187C" w:rsidRPr="00F93CB1">
        <w:rPr>
          <w:rFonts w:ascii="Calibri" w:eastAsia="Calibri" w:hAnsi="Calibri" w:cs="Times New Roman"/>
          <w:color w:val="auto"/>
          <w:szCs w:val="22"/>
          <w:lang w:val="en-US" w:eastAsia="en-US"/>
        </w:rPr>
        <w:t>)</w:t>
      </w:r>
      <w:r w:rsidR="00192551" w:rsidRPr="00A60AD1">
        <w:rPr>
          <w:rFonts w:ascii="Calibri" w:eastAsia="Calibri" w:hAnsi="Calibri" w:cs="Times New Roman"/>
          <w:color w:val="auto"/>
          <w:szCs w:val="22"/>
          <w:highlight w:val="yellow"/>
          <w:lang w:val="en-US" w:eastAsia="en-US"/>
        </w:rPr>
        <w:t>, as shown in table 1</w:t>
      </w:r>
      <w:r w:rsidR="006A3F62" w:rsidRPr="00F93CB1">
        <w:rPr>
          <w:rFonts w:ascii="Calibri" w:eastAsia="Calibri" w:hAnsi="Calibri" w:cs="Times New Roman"/>
          <w:color w:val="auto"/>
          <w:szCs w:val="22"/>
          <w:lang w:val="en-US" w:eastAsia="en-US"/>
        </w:rPr>
        <w:t>.</w:t>
      </w:r>
      <w:r w:rsidR="00C4187C" w:rsidRPr="00F93CB1">
        <w:rPr>
          <w:rFonts w:ascii="Calibri" w:eastAsia="Calibri" w:hAnsi="Calibri" w:cs="Times New Roman"/>
          <w:color w:val="auto"/>
          <w:szCs w:val="22"/>
          <w:lang w:val="en-US" w:eastAsia="en-US"/>
        </w:rPr>
        <w:t xml:space="preserve"> </w:t>
      </w:r>
      <w:r w:rsidR="00606D4E" w:rsidRPr="00F93CB1">
        <w:rPr>
          <w:rFonts w:ascii="Calibri" w:eastAsia="Calibri" w:hAnsi="Calibri" w:cs="Times New Roman"/>
          <w:color w:val="auto"/>
          <w:szCs w:val="22"/>
          <w:lang w:val="en-US" w:eastAsia="en-US"/>
        </w:rPr>
        <w:t xml:space="preserve">The most recent report </w:t>
      </w:r>
      <w:r w:rsidR="009E0B57" w:rsidRPr="00F93CB1">
        <w:rPr>
          <w:rFonts w:ascii="Calibri" w:eastAsia="Calibri" w:hAnsi="Calibri" w:cs="Times New Roman"/>
          <w:color w:val="auto"/>
          <w:szCs w:val="22"/>
          <w:lang w:val="en-US" w:eastAsia="en-US"/>
        </w:rPr>
        <w:fldChar w:fldCharType="begin" w:fldLock="1"/>
      </w:r>
      <w:r w:rsidR="009E0B57" w:rsidRPr="00F93CB1">
        <w:rPr>
          <w:rFonts w:ascii="Calibri" w:eastAsia="Calibri" w:hAnsi="Calibri" w:cs="Times New Roman"/>
          <w:color w:val="auto"/>
          <w:szCs w:val="22"/>
          <w:lang w:val="en-US" w:eastAsia="en-US"/>
        </w:rPr>
        <w:instrText>ADDIN CSL_CITATION {"citationItems":[{"id":"ITEM-1","itemData":{"DOI":"10.1016/j.kint.2017.11.023","ISSN":"15231755","PMID":"29459092","abstract":"We present a consensus report pertaining to the improved clarity of definitions and classification of glomerular lesions in lupus nephritis that derived from a meeting of 18 members of an international nephropathology working group in Leiden, Netherlands, in 2016. Here we report detailed recommendations on issues for which we can propose adjustments based on existing evidence and current consensus opinion (phase 1). New definitions are provided for mesangial hypercellularity and for cellular, fibrocellular, and fibrous crescents. The term “endocapillary proliferation” is eliminated and the definition of endocapillary hypercellularity considered in some detail. We also eliminate the class IV-S and IV-G subdivisions of class IV lupus nephritis. The active and chronic designations for class III/IV lesions are replaced by a proposal for activity and chronicity indices that should be applied to all classes. In the activity index, we include fibrinoid necrosis as a specific descriptor. We also make recommendations on issues for which there are limited data at present and that can best be addressed in future studies (phase 2). We propose to proceed to these investigations, with clinicopathologic studies and tests of interobserver reproducibility to evaluate the applications of the proposed definitions and to classify lupus nephritis lesions.","author":[{"dropping-particle":"","family":"Bajema","given":"Ingeborg M.","non-dropping-particle":"","parse-names":false,"suffix":""},{"dropping-particle":"","family":"Wilhelmus","given":"Suzanne","non-dropping-particle":"","parse-names":false,"suffix":""},{"dropping-particle":"","family":"Alpers","given":"Charles E.","non-dropping-particle":"","parse-names":false,"suffix":""},{"dropping-particle":"","family":"Bruijn","given":"Jan A.","non-dropping-particle":"","parse-names":false,"suffix":""},{"dropping-particle":"","family":"Colvin","given":"Robert B.","non-dropping-particle":"","parse-names":false,"suffix":""},{"dropping-particle":"","family":"Cook","given":"H. Terence","non-dropping-particle":"","parse-names":false,"suffix":""},{"dropping-particle":"","family":"D'Agati","given":"Vivette D.","non-dropping-particle":"","parse-names":false,"suffix":""},{"dropping-particle":"","family":"Ferrario","given":"Franco","non-dropping-particle":"","parse-names":false,"suffix":""},{"dropping-particle":"","family":"Haas","given":"Mark","non-dropping-particle":"","parse-names":false,"suffix":""},{"dropping-particle":"","family":"Jennette","given":"J. Charles","non-dropping-particle":"","parse-names":false,"suffix":""},{"dropping-particle":"","family":"Joh","given":"Kensuke","non-dropping-particle":"","parse-names":false,"suffix":""},{"dropping-particle":"","family":"Nast","given":"Cynthia C.","non-dropping-particle":"","parse-names":false,"suffix":""},{"dropping-particle":"","family":"Noël","given":"Laure Hélène","non-dropping-particle":"","parse-names":false,"suffix":""},{"dropping-particle":"","family":"Rijnink","given":"Emilie C.","non-dropping-particle":"","parse-names":false,"suffix":""},{"dropping-particle":"","family":"Roberts","given":"Ian S.D.","non-dropping-particle":"","parse-names":false,"suffix":""},{"dropping-particle":"V.","family":"Seshan","given":"Surya","non-dropping-particle":"","parse-names":false,"suffix":""},{"dropping-particle":"","family":"Sethi","given":"Sanjeev","non-dropping-particle":"","parse-names":false,"suffix":""},{"dropping-particle":"","family":"Fogo","given":"Agnes B.","non-dropping-particle":"","parse-names":false,"suffix":""}],"container-title":"Kidney International","id":"ITEM-1","issue":"4","issued":{"date-parts":[["2018"]]},"page":"789-796","title":"Revision of the International Society of Nephrology/Renal Pathology Society classification for lupus nephritis: clarification of definitions, and modified National Institutes of Health activity and chronicity indices","type":"article-journal","volume":"93"},"uris":["http://www.mendeley.com/documents/?uuid=ecf14c4c-52c0-45c2-b0bc-b36872ecdf8f"]}],"mendeley":{"formattedCitation":"(4)","plainTextFormattedCitation":"(4)","previouslyFormattedCitation":"(4)"},"properties":{"noteIndex":0},"schema":"https://github.com/citation-style-language/schema/raw/master/csl-citation.json"}</w:instrText>
      </w:r>
      <w:r w:rsidR="009E0B57" w:rsidRPr="00F93CB1">
        <w:rPr>
          <w:rFonts w:ascii="Calibri" w:eastAsia="Calibri" w:hAnsi="Calibri" w:cs="Times New Roman"/>
          <w:color w:val="auto"/>
          <w:szCs w:val="22"/>
          <w:lang w:val="en-US" w:eastAsia="en-US"/>
        </w:rPr>
        <w:fldChar w:fldCharType="separate"/>
      </w:r>
      <w:r w:rsidR="009E0B57" w:rsidRPr="00F93CB1">
        <w:rPr>
          <w:rFonts w:ascii="Calibri" w:eastAsia="Calibri" w:hAnsi="Calibri" w:cs="Times New Roman"/>
          <w:noProof/>
          <w:color w:val="auto"/>
          <w:szCs w:val="22"/>
          <w:lang w:val="en-US" w:eastAsia="en-US"/>
        </w:rPr>
        <w:t>(4)</w:t>
      </w:r>
      <w:r w:rsidR="009E0B57" w:rsidRPr="00F93CB1">
        <w:rPr>
          <w:rFonts w:ascii="Calibri" w:eastAsia="Calibri" w:hAnsi="Calibri" w:cs="Times New Roman"/>
          <w:color w:val="auto"/>
          <w:szCs w:val="22"/>
          <w:lang w:val="en-US" w:eastAsia="en-US"/>
        </w:rPr>
        <w:fldChar w:fldCharType="end"/>
      </w:r>
      <w:r w:rsidR="00606D4E" w:rsidRPr="00F93CB1">
        <w:rPr>
          <w:rFonts w:ascii="Calibri" w:eastAsia="Calibri" w:hAnsi="Calibri" w:cs="Times New Roman"/>
          <w:color w:val="auto"/>
          <w:szCs w:val="22"/>
          <w:lang w:val="en-US" w:eastAsia="en-US"/>
        </w:rPr>
        <w:t xml:space="preserve"> and </w:t>
      </w:r>
      <w:r w:rsidR="00C4187C" w:rsidRPr="00F93CB1">
        <w:rPr>
          <w:rFonts w:ascii="Calibri" w:eastAsia="Calibri" w:hAnsi="Calibri" w:cs="Times New Roman"/>
          <w:color w:val="auto"/>
          <w:szCs w:val="22"/>
          <w:lang w:val="en-US" w:eastAsia="en-US"/>
        </w:rPr>
        <w:t>EULAR</w:t>
      </w:r>
      <w:r w:rsidR="00606D4E" w:rsidRPr="00F93CB1">
        <w:rPr>
          <w:rFonts w:ascii="Calibri" w:eastAsia="Calibri" w:hAnsi="Calibri" w:cs="Times New Roman"/>
          <w:color w:val="auto"/>
          <w:szCs w:val="22"/>
          <w:lang w:val="en-US" w:eastAsia="en-US"/>
        </w:rPr>
        <w:t xml:space="preserve"> guidelines</w:t>
      </w:r>
      <w:r w:rsidR="00C4187C" w:rsidRPr="00F93CB1">
        <w:rPr>
          <w:rFonts w:ascii="Calibri" w:eastAsia="Calibri" w:hAnsi="Calibri" w:cs="Times New Roman"/>
          <w:color w:val="auto"/>
          <w:szCs w:val="22"/>
          <w:lang w:val="en-US" w:eastAsia="en-US"/>
        </w:rPr>
        <w:t xml:space="preserve"> </w:t>
      </w:r>
      <w:r w:rsidR="00724CFF" w:rsidRPr="00F93CB1">
        <w:rPr>
          <w:rFonts w:ascii="Calibri" w:eastAsia="Calibri" w:hAnsi="Calibri" w:cs="Times New Roman"/>
          <w:color w:val="auto"/>
          <w:szCs w:val="22"/>
          <w:lang w:val="en-US" w:eastAsia="en-US"/>
        </w:rPr>
        <w:fldChar w:fldCharType="begin" w:fldLock="1"/>
      </w:r>
      <w:r w:rsidR="009E0B57" w:rsidRPr="00F93CB1">
        <w:rPr>
          <w:rFonts w:ascii="Calibri" w:eastAsia="Calibri" w:hAnsi="Calibri" w:cs="Times New Roman"/>
          <w:color w:val="auto"/>
          <w:szCs w:val="22"/>
          <w:lang w:val="en-US" w:eastAsia="en-US"/>
        </w:rPr>
        <w:instrText>ADDIN CSL_CITATION {"citationItems":[{"id":"ITEM-1","itemData":{"DOI":"10.1136/annrheumdis-2012-201940","ISBN":"1468-2060 (Electronic) 0003-4967 (Linking)","ISSN":"0003-4967","PMID":"22851469","abstract":"OBJECTIVES: To develop recommendations for the management of adult and paediatric lupus nephritis (LN).\\n\\nMETHODS: The available evidence was systematically reviewed using the PubMed database. A modified Delphi method was used to compile questions, elicit expert opinions and reach consensus.\\n\\nRESULTS: Immunosuppressive treatment should be guided by renal biopsy, and aiming for complete renal response (proteinuria &lt;0.5 g/24 h with normal or near-normal renal function). Hydroxychloroquine is recommended for all patients with LN. Because of a more favourable efficacy/toxicity ratio, as initial treatment for patients with class III-IV(A) or (A/C) (±V) LN according to the International Society of Nephrology/Renal Pathology Society 2003 classification, mycophenolic acid (MPA) or low-dose intravenous cyclophosphamide (CY) in combination with glucocorticoids is recommended. In patients with adverse clinical or histological features, CY can be prescribed at higher doses, while azathioprine is an alternative for milder cases. For pure class V LN with nephrotic-range proteinuria, MPA in combination with oral glucocorticoids is recommended as initial treatment. In patients improving after initial treatment, subsequent immunosuppression with MPA or azathioprine is recommended for at least 3 years; in such cases, initial treatment with MPA should be followed by MPA. For MPA or CY failures, switching to the other agent, or to rituximab, is the suggested course of action. In anticipation of pregnancy, patients should be switched to appropriate medications without reducing the intensity of treatment. There is no evidence to suggest that management of LN should differ in children versus adults.\\n\\nCONCLUSIONS: Recommendations for the management of LN were developed using an evidence-based approach followed by expert consensus.","author":[{"dropping-particle":"","family":"Bertsias","given":"George K","non-dropping-particle":"","parse-names":false,"suffix":""},{"dropping-particle":"","family":"Tektonidou","given":"Maria","non-dropping-particle":"","parse-names":false,"suffix":""},{"dropping-particle":"","family":"Amoura","given":"Zahir","non-dropping-particle":"","parse-names":false,"suffix":""},{"dropping-particle":"","family":"Aringer","given":"Martin","non-dropping-particle":"","parse-names":false,"suffix":""},{"dropping-particle":"","family":"Bajema","given":"Ingeborg","non-dropping-particle":"","parse-names":false,"suffix":""},{"dropping-particle":"","family":"Berden","given":"Jo H M","non-dropping-particle":"","parse-names":false,"suffix":""},{"dropping-particle":"","family":"Boletis","given":"John","non-dropping-particle":"","parse-names":false,"suffix":""},{"dropping-particle":"","family":"Cervera","given":"Ricard","non-dropping-particle":"","parse-names":false,"suffix":""},{"dropping-particle":"","family":"Dörner","given":"Thomas","non-dropping-particle":"","parse-names":false,"suffix":""},{"dropping-particle":"","family":"Doria","given":"Andrea","non-dropping-particle":"","parse-names":false,"suffix":""},{"dropping-particle":"","family":"Ferrario","given":"Franco","non-dropping-particle":"","parse-names":false,"suffix":""},{"dropping-particle":"","family":"Floege","given":"Jürgen","non-dropping-particle":"","parse-names":false,"suffix":""},{"dropping-particle":"","family":"Houssiau","given":"Frederic A","non-dropping-particle":"","parse-names":false,"suffix":""},{"dropping-particle":"","family":"Ioannidis","given":"John P A","non-dropping-particle":"","parse-names":false,"suffix":""},{"dropping-particle":"","family":"Isenberg","given":"David A","non-dropping-particle":"","parse-names":false,"suffix":""},{"dropping-particle":"","family":"Kallenberg","given":"Cees G M","non-dropping-particle":"","parse-names":false,"suffix":""},{"dropping-particle":"","family":"Lightstone","given":"Liz","non-dropping-particle":"","parse-names":false,"suffix":""},{"dropping-particle":"","family":"Marks","given":"Stephen D","non-dropping-particle":"","parse-names":false,"suffix":""},{"dropping-particle":"","family":"Martini","given":"Alberto","non-dropping-particle":"","parse-names":false,"suffix":""},{"dropping-particle":"","family":"Moroni","given":"Gabriela","non-dropping-particle":"","parse-names":false,"suffix":""},{"dropping-particle":"","family":"Neumann","given":"Irmgard","non-dropping-particle":"","parse-names":false,"suffix":""},{"dropping-particle":"","family":"Praga","given":"Manuel","non-dropping-particle":"","parse-names":false,"suffix":""},{"dropping-particle":"","family":"Schneider","given":"Matthias","non-dropping-particle":"","parse-names":false,"suffix":""},{"dropping-particle":"","family":"Starra","given":"Argyre","non-dropping-particle":"","parse-names":false,"suffix":""},{"dropping-particle":"","family":"Tesar","given":"Vladimir","non-dropping-particle":"","parse-names":false,"suffix":""},{"dropping-particle":"","family":"Vasconcelos","given":"Carlos","non-dropping-particle":"","parse-names":false,"suffix":""},{"dropping-particle":"","family":"Vollenhoven","given":"Ronald F","non-dropping-particle":"van","parse-names":false,"suffix":""},{"dropping-particle":"","family":"Zakharova","given":"Helena","non-dropping-particle":"","parse-names":false,"suffix":""},{"dropping-particle":"","family":"Haubitz","given":"Marion","non-dropping-particle":"","parse-names":false,"suffix":""},{"dropping-particle":"","family":"Gordon","given":"Caroline","non-dropping-particle":"","parse-names":false,"suffix":""},{"dropping-particle":"","family":"Jayne","given":"David","non-dropping-particle":"","parse-names":false,"suffix":""},{"dropping-particle":"","family":"Boumpas","given":"Dimitrios T","non-dropping-particle":"","parse-names":false,"suffix":""}],"container-title":"Annals of the Rheumatic Diseases","id":"ITEM-1","issue":"11","issued":{"date-parts":[["2012"]]},"page":"1771-1782","title":"Joint European League Against Rheumatism and European Renal Association–European Dialysis and Transplant Association (EULAR/ERA-EDTA) recommendations for the management of adult and paediatric lupus nephritis","type":"article-journal","volume":"71"},"uris":["http://www.mendeley.com/documents/?uuid=40a2e8b3-d87c-4180-a4fe-b01a2f7849a6"]}],"mendeley":{"formattedCitation":"(5)","plainTextFormattedCitation":"(5)","previouslyFormattedCitation":"(5)"},"properties":{"noteIndex":0},"schema":"https://github.com/citation-style-language/schema/raw/master/csl-citation.json"}</w:instrText>
      </w:r>
      <w:r w:rsidR="00724CFF" w:rsidRPr="00F93CB1">
        <w:rPr>
          <w:rFonts w:ascii="Calibri" w:eastAsia="Calibri" w:hAnsi="Calibri" w:cs="Times New Roman"/>
          <w:color w:val="auto"/>
          <w:szCs w:val="22"/>
          <w:lang w:val="en-US" w:eastAsia="en-US"/>
        </w:rPr>
        <w:fldChar w:fldCharType="separate"/>
      </w:r>
      <w:r w:rsidR="009E0B57" w:rsidRPr="00F93CB1">
        <w:rPr>
          <w:rFonts w:ascii="Calibri" w:eastAsia="Calibri" w:hAnsi="Calibri" w:cs="Times New Roman"/>
          <w:noProof/>
          <w:color w:val="auto"/>
          <w:szCs w:val="22"/>
          <w:lang w:val="en-US" w:eastAsia="en-US"/>
        </w:rPr>
        <w:t>(5)</w:t>
      </w:r>
      <w:r w:rsidR="00724CFF" w:rsidRPr="00F93CB1">
        <w:rPr>
          <w:rFonts w:ascii="Calibri" w:eastAsia="Calibri" w:hAnsi="Calibri" w:cs="Times New Roman"/>
          <w:color w:val="auto"/>
          <w:szCs w:val="22"/>
          <w:lang w:val="en-US" w:eastAsia="en-US"/>
        </w:rPr>
        <w:fldChar w:fldCharType="end"/>
      </w:r>
      <w:r w:rsidR="006A3F62" w:rsidRPr="00F93CB1">
        <w:rPr>
          <w:rFonts w:ascii="Calibri" w:eastAsia="Calibri" w:hAnsi="Calibri" w:cs="Times New Roman"/>
          <w:color w:val="auto"/>
          <w:szCs w:val="22"/>
          <w:lang w:val="en-US" w:eastAsia="en-US"/>
        </w:rPr>
        <w:t xml:space="preserve"> </w:t>
      </w:r>
      <w:r w:rsidR="00945D39" w:rsidRPr="00F93CB1">
        <w:rPr>
          <w:rFonts w:ascii="Calibri" w:eastAsia="Calibri" w:hAnsi="Calibri" w:cs="Times New Roman"/>
          <w:color w:val="auto"/>
          <w:szCs w:val="22"/>
          <w:lang w:val="en-US" w:eastAsia="en-US"/>
        </w:rPr>
        <w:t>additionally</w:t>
      </w:r>
      <w:r w:rsidR="00C4187C" w:rsidRPr="00F93CB1">
        <w:rPr>
          <w:rFonts w:ascii="Calibri" w:eastAsia="Calibri" w:hAnsi="Calibri" w:cs="Times New Roman"/>
          <w:color w:val="auto"/>
          <w:szCs w:val="22"/>
          <w:lang w:val="en-US" w:eastAsia="en-US"/>
        </w:rPr>
        <w:t xml:space="preserve"> recommend</w:t>
      </w:r>
      <w:r w:rsidR="00C5358B" w:rsidRPr="00F93CB1">
        <w:rPr>
          <w:rFonts w:ascii="Calibri" w:eastAsia="Calibri" w:hAnsi="Calibri" w:cs="Times New Roman"/>
          <w:color w:val="auto"/>
          <w:szCs w:val="22"/>
          <w:lang w:val="en-US" w:eastAsia="en-US"/>
        </w:rPr>
        <w:t xml:space="preserve"> the use of </w:t>
      </w:r>
      <w:r w:rsidR="00C4187C" w:rsidRPr="00F93CB1">
        <w:rPr>
          <w:rFonts w:ascii="Calibri" w:eastAsia="Calibri" w:hAnsi="Calibri" w:cs="Times New Roman"/>
          <w:color w:val="auto"/>
          <w:szCs w:val="22"/>
          <w:lang w:val="en-US" w:eastAsia="en-US"/>
        </w:rPr>
        <w:t>morphological indexes</w:t>
      </w:r>
      <w:r w:rsidRPr="00F93CB1">
        <w:rPr>
          <w:rFonts w:ascii="Calibri" w:eastAsia="Calibri" w:hAnsi="Calibri" w:cs="Times New Roman"/>
          <w:color w:val="auto"/>
          <w:szCs w:val="22"/>
          <w:lang w:val="en-US" w:eastAsia="en-US"/>
        </w:rPr>
        <w:t>; t</w:t>
      </w:r>
      <w:r w:rsidR="00C4187C" w:rsidRPr="00F93CB1">
        <w:rPr>
          <w:rFonts w:ascii="Calibri" w:eastAsia="Calibri" w:hAnsi="Calibri" w:cs="Times New Roman"/>
          <w:color w:val="auto"/>
          <w:szCs w:val="22"/>
          <w:lang w:val="en-US" w:eastAsia="en-US"/>
        </w:rPr>
        <w:t xml:space="preserve">hese have been </w:t>
      </w:r>
      <w:r w:rsidR="00A60AD1">
        <w:rPr>
          <w:rFonts w:ascii="Calibri" w:eastAsia="Calibri" w:hAnsi="Calibri" w:cs="Times New Roman"/>
          <w:color w:val="auto"/>
          <w:szCs w:val="22"/>
          <w:lang w:val="en-US" w:eastAsia="en-US"/>
        </w:rPr>
        <w:t xml:space="preserve">originally </w:t>
      </w:r>
      <w:r w:rsidR="00C4187C" w:rsidRPr="00F93CB1">
        <w:rPr>
          <w:rFonts w:ascii="Calibri" w:eastAsia="Calibri" w:hAnsi="Calibri" w:cs="Times New Roman"/>
          <w:color w:val="auto"/>
          <w:szCs w:val="22"/>
          <w:lang w:val="en-US" w:eastAsia="en-US"/>
        </w:rPr>
        <w:t>described by Austin et al</w:t>
      </w:r>
      <w:r w:rsidR="00724CFF" w:rsidRPr="00F93CB1">
        <w:rPr>
          <w:rFonts w:ascii="Calibri" w:eastAsia="Calibri" w:hAnsi="Calibri" w:cs="Times New Roman"/>
          <w:color w:val="auto"/>
          <w:szCs w:val="22"/>
          <w:lang w:val="en-US" w:eastAsia="en-US"/>
        </w:rPr>
        <w:t xml:space="preserve"> </w:t>
      </w:r>
      <w:r w:rsidR="00724CFF" w:rsidRPr="00F93CB1">
        <w:rPr>
          <w:rFonts w:ascii="Calibri" w:eastAsia="Calibri" w:hAnsi="Calibri" w:cs="Times New Roman"/>
          <w:color w:val="auto"/>
          <w:szCs w:val="22"/>
          <w:lang w:val="en-US" w:eastAsia="en-US"/>
        </w:rPr>
        <w:fldChar w:fldCharType="begin" w:fldLock="1"/>
      </w:r>
      <w:r w:rsidR="009E0B57" w:rsidRPr="00F93CB1">
        <w:rPr>
          <w:rFonts w:ascii="Calibri" w:eastAsia="Calibri" w:hAnsi="Calibri" w:cs="Times New Roman"/>
          <w:color w:val="auto"/>
          <w:szCs w:val="22"/>
          <w:lang w:val="en-US" w:eastAsia="en-US"/>
        </w:rPr>
        <w:instrText>ADDIN CSL_CITATION {"citationItems":[{"id":"ITEM-1","itemData":{"DOI":"10.1016/0002-9343(83)90338-8","ISBN":"0002-9343 (Print) 0002-9343 (Linking)","ISSN":"00029343","PMID":"6351607","abstract":"The predictive value of laboratory results and renal histologic data was examined in 102 patients upon entry into prospective, randomized, therapeutic trials of lupus nephritis. Three clinical features at the time of entry into the study were individually associated with increased rates of renal failure: age less than 24 years, male gender, and an elevated serum creatinine level. Subjects with diffuse proliferative or membranoproliferative glomerulonephritis were at a modest but significantly increased risk for the development of end-stage renal disease compared with patients with other classes of lupus nephritis. Semiquantitative scores of histologic features (specified by activity and chronicity indexes) identified subgroups of patients with comparatively high renal failure rates. To address the controversial issue of whether renal histologic data significantly improve the outcome predictions in patients with lupus nephritis, multivariate survival models were generated, permitting simultaneous consideration of multiple prognostic factors. Outcome predictions based on the strongest clinical predictors (age, sex, and serum creatinine level) were significantly enhanced by the addition of activity and chronicity indexes. Only age and chronicity index contributed significantly to the five-variable model and together constituted a two-variable model, the predictions of which were similar to observed outcomes. In the context of the highly significant prognostic indicators (age and chronicity index), immunosuppressive agents appeared to provide a slight therapeutic advantage over oral corticosteroids alone. © 1983.","author":[{"dropping-particle":"","family":"Austin","given":"Howard A.","non-dropping-particle":"","parse-names":false,"suffix":""},{"dropping-particle":"","family":"Muenz","given":"Larry R.","non-dropping-particle":"","parse-names":false,"suffix":""},{"dropping-particle":"","family":"Joyce","given":"Kathleen M.","non-dropping-particle":"","parse-names":false,"suffix":""},{"dropping-particle":"","family":"Antonovych","given":"Tatiana A.","non-dropping-particle":"","parse-names":false,"suffix":""},{"dropping-particle":"","family":"Kullick","given":"Margarita E.","non-dropping-particle":"","parse-names":false,"suffix":""},{"dropping-particle":"","family":"Klippel","given":"John H.","non-dropping-particle":"","parse-names":false,"suffix":""},{"dropping-particle":"","family":"Decker","given":"John L.","non-dropping-particle":"","parse-names":false,"suffix":""},{"dropping-particle":"","family":"Balow","given":"James E.","non-dropping-particle":"","parse-names":false,"suffix":""}],"container-title":"The American Journal of Medicine","id":"ITEM-1","issue":"3","issued":{"date-parts":[["1983"]]},"page":"382-391","title":"Prognostic factors in lupus nephritis. Contribution of renal histologic data","type":"article-journal","volume":"75"},"uris":["http://www.mendeley.com/documents/?uuid=a8d65d6d-c00a-44e8-b5b0-a9221eba06c2"]}],"mendeley":{"formattedCitation":"(6)","plainTextFormattedCitation":"(6)","previouslyFormattedCitation":"(6)"},"properties":{"noteIndex":0},"schema":"https://github.com/citation-style-language/schema/raw/master/csl-citation.json"}</w:instrText>
      </w:r>
      <w:r w:rsidR="00724CFF" w:rsidRPr="00F93CB1">
        <w:rPr>
          <w:rFonts w:ascii="Calibri" w:eastAsia="Calibri" w:hAnsi="Calibri" w:cs="Times New Roman"/>
          <w:color w:val="auto"/>
          <w:szCs w:val="22"/>
          <w:lang w:val="en-US" w:eastAsia="en-US"/>
        </w:rPr>
        <w:fldChar w:fldCharType="separate"/>
      </w:r>
      <w:r w:rsidR="009E0B57" w:rsidRPr="00F93CB1">
        <w:rPr>
          <w:rFonts w:ascii="Calibri" w:eastAsia="Calibri" w:hAnsi="Calibri" w:cs="Times New Roman"/>
          <w:noProof/>
          <w:color w:val="auto"/>
          <w:szCs w:val="22"/>
          <w:lang w:val="en-US" w:eastAsia="en-US"/>
        </w:rPr>
        <w:t>(6)</w:t>
      </w:r>
      <w:r w:rsidR="00724CFF" w:rsidRPr="00F93CB1">
        <w:rPr>
          <w:rFonts w:ascii="Calibri" w:eastAsia="Calibri" w:hAnsi="Calibri" w:cs="Times New Roman"/>
          <w:color w:val="auto"/>
          <w:szCs w:val="22"/>
          <w:lang w:val="en-US" w:eastAsia="en-US"/>
        </w:rPr>
        <w:fldChar w:fldCharType="end"/>
      </w:r>
      <w:r w:rsidR="00C4187C" w:rsidRPr="00F93CB1">
        <w:rPr>
          <w:rFonts w:ascii="Calibri" w:eastAsia="Calibri" w:hAnsi="Calibri" w:cs="Times New Roman"/>
          <w:color w:val="auto"/>
          <w:szCs w:val="22"/>
          <w:lang w:val="en-US" w:eastAsia="en-US"/>
        </w:rPr>
        <w:t xml:space="preserve">, </w:t>
      </w:r>
      <w:r w:rsidR="006A3F62" w:rsidRPr="00F93CB1">
        <w:rPr>
          <w:rFonts w:ascii="Calibri" w:eastAsia="Calibri" w:hAnsi="Calibri" w:cs="Times New Roman"/>
          <w:color w:val="auto"/>
          <w:szCs w:val="22"/>
          <w:lang w:val="en-US" w:eastAsia="en-US"/>
        </w:rPr>
        <w:t>who defined two indexes (activity and chronicity)</w:t>
      </w:r>
      <w:r w:rsidR="00175D37" w:rsidRPr="00F93CB1">
        <w:rPr>
          <w:rFonts w:ascii="Calibri" w:eastAsia="Calibri" w:hAnsi="Calibri" w:cs="Times New Roman"/>
          <w:color w:val="auto"/>
          <w:szCs w:val="22"/>
          <w:lang w:val="en-US" w:eastAsia="en-US"/>
        </w:rPr>
        <w:t xml:space="preserve">, using a semi-quantification of </w:t>
      </w:r>
      <w:r w:rsidR="006A3F62" w:rsidRPr="00F93CB1">
        <w:rPr>
          <w:rFonts w:ascii="Calibri" w:eastAsia="Calibri" w:hAnsi="Calibri" w:cs="Times New Roman"/>
          <w:color w:val="auto"/>
          <w:szCs w:val="22"/>
          <w:lang w:val="en-US" w:eastAsia="en-US"/>
        </w:rPr>
        <w:t>find</w:t>
      </w:r>
      <w:r w:rsidR="00AA058F" w:rsidRPr="00F93CB1">
        <w:rPr>
          <w:rFonts w:ascii="Calibri" w:eastAsia="Calibri" w:hAnsi="Calibri" w:cs="Times New Roman"/>
          <w:color w:val="auto"/>
          <w:szCs w:val="22"/>
          <w:lang w:val="en-US" w:eastAsia="en-US"/>
        </w:rPr>
        <w:t>ings.</w:t>
      </w:r>
      <w:r w:rsidR="00C105BE" w:rsidRPr="00F93CB1">
        <w:rPr>
          <w:rFonts w:ascii="Calibri" w:eastAsia="Calibri" w:hAnsi="Calibri" w:cs="Times New Roman"/>
          <w:color w:val="auto"/>
          <w:szCs w:val="22"/>
          <w:lang w:val="en-US" w:eastAsia="en-US"/>
        </w:rPr>
        <w:t xml:space="preserve"> </w:t>
      </w:r>
      <w:r w:rsidR="00C4187C" w:rsidRPr="00F93CB1">
        <w:rPr>
          <w:rFonts w:ascii="Calibri" w:eastAsia="Calibri" w:hAnsi="Calibri" w:cs="Times New Roman"/>
          <w:color w:val="auto"/>
          <w:szCs w:val="22"/>
          <w:lang w:val="en-US" w:eastAsia="en-US"/>
        </w:rPr>
        <w:t>This was further studied by Hill et al</w:t>
      </w:r>
      <w:r w:rsidR="00724CFF" w:rsidRPr="00F93CB1">
        <w:rPr>
          <w:rFonts w:ascii="Calibri" w:eastAsia="Calibri" w:hAnsi="Calibri" w:cs="Times New Roman"/>
          <w:color w:val="auto"/>
          <w:szCs w:val="22"/>
          <w:lang w:val="en-US" w:eastAsia="en-US"/>
        </w:rPr>
        <w:t xml:space="preserve"> </w:t>
      </w:r>
      <w:r w:rsidR="00724CFF" w:rsidRPr="00F93CB1">
        <w:rPr>
          <w:rFonts w:ascii="Calibri" w:eastAsia="Calibri" w:hAnsi="Calibri" w:cs="Times New Roman"/>
          <w:color w:val="auto"/>
          <w:szCs w:val="22"/>
          <w:lang w:val="en-US" w:eastAsia="en-US"/>
        </w:rPr>
        <w:fldChar w:fldCharType="begin" w:fldLock="1"/>
      </w:r>
      <w:r w:rsidR="009E0B57" w:rsidRPr="00F93CB1">
        <w:rPr>
          <w:rFonts w:ascii="Calibri" w:eastAsia="Calibri" w:hAnsi="Calibri" w:cs="Times New Roman"/>
          <w:color w:val="auto"/>
          <w:szCs w:val="22"/>
          <w:lang w:val="en-US" w:eastAsia="en-US"/>
        </w:rPr>
        <w:instrText>ADDIN CSL_CITATION {"citationItems":[{"id":"ITEM-1","itemData":{"DOI":"10.1046/j.1523-1755.2000.00272.x","ISBN":"0085-2538","ISSN":"00852538","PMID":"10972679","abstract":"BACKGROUND: Various morphologic indices for the evaluation of renal biopsies in lupus nephritis have been developed, of which the most successful have been the NIH Activity Index (AI) and Chronicity Index (CI). We wished to develop a biopsy index from standard light and immunofluorescence (IF) material that would correlate yet more closely with clinical and outcome parameters than the current indices, and be applicable to both treated and untreated cases. METHODS: A cohort of 71 patients with lupus nephritis who had initial renal biopsies (Bx1) with systematic second biopsies (Bx2) at six months after induction therapy was studied, with a large number of light microscopic and IF variables evaluated. These were examined statistically to choose the combinations of variables with the highest overall correlations with clinical and outcome parameters. RESULTS: The adopted biopsy index comprised four elements: Glomerular Activity Index (GAI), a modification of the standard AI with the addition of glomerular monocytes and elimination of interstitial inflammation; Tubulointerstitial Activity Index (TIAI), evaluating several tubular epithelial and inflammatory components, including interstitial inflammation, but excluding tubular atrophy; Chronic Lesions Index, a modification of the standard CI, with the addition of glomerular scars; IF Index (IFI), a semiquantitative index of IF staining for six standard antisera for glomerular capillary, mesangial, tubulointerstitial, and vascular elements. The Biopsy Index showed a statistically higher correlation with clinical and outcome parameters than the NIH AI (P = 0.0170), the NIH CI (P = 0.0009), or their combination (P = 0.0444). At Bx1, comparisons between correlation coefficients for the appropriate AI or CI value and for the Biopsy Index, were: anti-DNA antibodies (0.30 vs. 045), serum creatinine (SCr; 0.33 vs. 0.48), proteinuria (0.22 vs. 0.36), hemoglobin (-0.21 vs. -0.45), and final renal function (0.22 vs. 0.40). Spearman rank correlations showed similar superiority for outcome parameters: doubling of SCr (0.1810 vs. 0.3018) and end-stage renal disease (0.0529 vs. 0.1925). The same improvement of correlations was seen at Bx2 for most parameters, particularly doubling of SCr (0.2716 vs. 0.4753). CONCLUSIONS: The Biopsy Index and/or its components show better correlations with clinical and outcome parameters than the standard AI and CI and other similar indices.","author":[{"dropping-particle":"","family":"Hill","given":"G. S.","non-dropping-particle":"","parse-names":false,"suffix":""},{"dropping-particle":"","family":"Delahousse","given":"M.","non-dropping-particle":"","parse-names":false,"suffix":""},{"dropping-particle":"","family":"Nochy","given":"D.","non-dropping-particle":"","parse-names":false,"suffix":""},{"dropping-particle":"","family":"Tomkiewicz","given":"E.","non-dropping-particle":"","parse-names":false,"suffix":""},{"dropping-particle":"","family":"Remy","given":"P.","non-dropping-particle":"","parse-names":false,"suffix":""},{"dropping-particle":"","family":"Mignon","given":"F.","non-dropping-particle":"","parse-names":false,"suffix":""},{"dropping-particle":"","family":"Mery","given":"J. P.","non-dropping-particle":"","parse-names":false,"suffix":""}],"container-title":"Kidney International","id":"ITEM-1","issue":"3","issued":{"date-parts":[["2000"]]},"page":"1160-1173","title":"A new morphologic index for the evaluation of renal biopsies in lupus nephritis","type":"article-journal","volume":"58"},"uris":["http://www.mendeley.com/documents/?uuid=2431aace-344b-4235-8cf6-41c29aa65365"]}],"mendeley":{"formattedCitation":"(7)","plainTextFormattedCitation":"(7)","previouslyFormattedCitation":"(7)"},"properties":{"noteIndex":0},"schema":"https://github.com/citation-style-language/schema/raw/master/csl-citation.json"}</w:instrText>
      </w:r>
      <w:r w:rsidR="00724CFF" w:rsidRPr="00F93CB1">
        <w:rPr>
          <w:rFonts w:ascii="Calibri" w:eastAsia="Calibri" w:hAnsi="Calibri" w:cs="Times New Roman"/>
          <w:color w:val="auto"/>
          <w:szCs w:val="22"/>
          <w:lang w:val="en-US" w:eastAsia="en-US"/>
        </w:rPr>
        <w:fldChar w:fldCharType="separate"/>
      </w:r>
      <w:r w:rsidR="009E0B57" w:rsidRPr="00F93CB1">
        <w:rPr>
          <w:rFonts w:ascii="Calibri" w:eastAsia="Calibri" w:hAnsi="Calibri" w:cs="Times New Roman"/>
          <w:noProof/>
          <w:color w:val="auto"/>
          <w:szCs w:val="22"/>
          <w:lang w:val="en-US" w:eastAsia="en-US"/>
        </w:rPr>
        <w:t>(7)</w:t>
      </w:r>
      <w:r w:rsidR="00724CFF" w:rsidRPr="00F93CB1">
        <w:rPr>
          <w:rFonts w:ascii="Calibri" w:eastAsia="Calibri" w:hAnsi="Calibri" w:cs="Times New Roman"/>
          <w:color w:val="auto"/>
          <w:szCs w:val="22"/>
          <w:lang w:val="en-US" w:eastAsia="en-US"/>
        </w:rPr>
        <w:fldChar w:fldCharType="end"/>
      </w:r>
      <w:r w:rsidR="00C4187C" w:rsidRPr="00F93CB1">
        <w:rPr>
          <w:rFonts w:ascii="Calibri" w:eastAsia="Calibri" w:hAnsi="Calibri" w:cs="Times New Roman"/>
          <w:color w:val="auto"/>
          <w:szCs w:val="22"/>
          <w:lang w:val="en-US" w:eastAsia="en-US"/>
        </w:rPr>
        <w:t>, who modified previous indexes</w:t>
      </w:r>
      <w:r w:rsidR="00175D37" w:rsidRPr="00F93CB1">
        <w:rPr>
          <w:rFonts w:ascii="Calibri" w:eastAsia="Calibri" w:hAnsi="Calibri" w:cs="Times New Roman"/>
          <w:color w:val="auto"/>
          <w:szCs w:val="22"/>
          <w:lang w:val="en-US" w:eastAsia="en-US"/>
        </w:rPr>
        <w:t>, improving its prognostic value.</w:t>
      </w:r>
      <w:r w:rsidR="00606D4E" w:rsidRPr="00F93CB1">
        <w:rPr>
          <w:rFonts w:ascii="Calibri" w:eastAsia="Calibri" w:hAnsi="Calibri" w:cs="Times New Roman"/>
          <w:color w:val="auto"/>
          <w:szCs w:val="22"/>
          <w:lang w:val="en-US" w:eastAsia="en-US"/>
        </w:rPr>
        <w:t xml:space="preserve"> Subcategorization of class III and IV into active, chronic or both is also suggested to be replaced by this semi-quantification method</w:t>
      </w:r>
      <w:r w:rsidR="009E0B57" w:rsidRPr="00F93CB1">
        <w:rPr>
          <w:rFonts w:ascii="Calibri" w:eastAsia="Calibri" w:hAnsi="Calibri" w:cs="Times New Roman"/>
          <w:color w:val="auto"/>
          <w:szCs w:val="22"/>
          <w:lang w:val="en-US" w:eastAsia="en-US"/>
        </w:rPr>
        <w:t xml:space="preserve"> </w:t>
      </w:r>
      <w:r w:rsidR="009E0B57" w:rsidRPr="00F93CB1">
        <w:rPr>
          <w:rFonts w:ascii="Calibri" w:eastAsia="Calibri" w:hAnsi="Calibri" w:cs="Times New Roman"/>
          <w:color w:val="auto"/>
          <w:szCs w:val="22"/>
          <w:lang w:val="en-US" w:eastAsia="en-US"/>
        </w:rPr>
        <w:fldChar w:fldCharType="begin" w:fldLock="1"/>
      </w:r>
      <w:r w:rsidR="00246829" w:rsidRPr="00F93CB1">
        <w:rPr>
          <w:rFonts w:ascii="Calibri" w:eastAsia="Calibri" w:hAnsi="Calibri" w:cs="Times New Roman"/>
          <w:color w:val="auto"/>
          <w:szCs w:val="22"/>
          <w:lang w:val="en-US" w:eastAsia="en-US"/>
        </w:rPr>
        <w:instrText>ADDIN CSL_CITATION {"citationItems":[{"id":"ITEM-1","itemData":{"DOI":"10.1016/j.kint.2017.11.023","ISSN":"15231755","PMID":"29459092","abstract":"We present a consensus report pertaining to the improved clarity of definitions and classification of glomerular lesions in lupus nephritis that derived from a meeting of 18 members of an international nephropathology working group in Leiden, Netherlands, in 2016. Here we report detailed recommendations on issues for which we can propose adjustments based on existing evidence and current consensus opinion (phase 1). New definitions are provided for mesangial hypercellularity and for cellular, fibrocellular, and fibrous crescents. The term “endocapillary proliferation” is eliminated and the definition of endocapillary hypercellularity considered in some detail. We also eliminate the class IV-S and IV-G subdivisions of class IV lupus nephritis. The active and chronic designations for class III/IV lesions are replaced by a proposal for activity and chronicity indices that should be applied to all classes. In the activity index, we include fibrinoid necrosis as a specific descriptor. We also make recommendations on issues for which there are limited data at present and that can best be addressed in future studies (phase 2). We propose to proceed to these investigations, with clinicopathologic studies and tests of interobserver reproducibility to evaluate the applications of the proposed definitions and to classify lupus nephritis lesions.","author":[{"dropping-particle":"","family":"Bajema","given":"Ingeborg M.","non-dropping-particle":"","parse-names":false,"suffix":""},{"dropping-particle":"","family":"Wilhelmus","given":"Suzanne","non-dropping-particle":"","parse-names":false,"suffix":""},{"dropping-particle":"","family":"Alpers","given":"Charles E.","non-dropping-particle":"","parse-names":false,"suffix":""},{"dropping-particle":"","family":"Bruijn","given":"Jan A.","non-dropping-particle":"","parse-names":false,"suffix":""},{"dropping-particle":"","family":"Colvin","given":"Robert B.","non-dropping-particle":"","parse-names":false,"suffix":""},{"dropping-particle":"","family":"Cook","given":"H. Terence","non-dropping-particle":"","parse-names":false,"suffix":""},{"dropping-particle":"","family":"D'Agati","given":"Vivette D.","non-dropping-particle":"","parse-names":false,"suffix":""},{"dropping-particle":"","family":"Ferrario","given":"Franco","non-dropping-particle":"","parse-names":false,"suffix":""},{"dropping-particle":"","family":"Haas","given":"Mark","non-dropping-particle":"","parse-names":false,"suffix":""},{"dropping-particle":"","family":"Jennette","given":"J. Charles","non-dropping-particle":"","parse-names":false,"suffix":""},{"dropping-particle":"","family":"Joh","given":"Kensuke","non-dropping-particle":"","parse-names":false,"suffix":""},{"dropping-particle":"","family":"Nast","given":"Cynthia C.","non-dropping-particle":"","parse-names":false,"suffix":""},{"dropping-particle":"","family":"Noël","given":"Laure Hélène","non-dropping-particle":"","parse-names":false,"suffix":""},{"dropping-particle":"","family":"Rijnink","given":"Emilie C.","non-dropping-particle":"","parse-names":false,"suffix":""},{"dropping-particle":"","family":"Roberts","given":"Ian S.D.","non-dropping-particle":"","parse-names":false,"suffix":""},{"dropping-particle":"V.","family":"Seshan","given":"Surya","non-dropping-particle":"","parse-names":false,"suffix":""},{"dropping-particle":"","family":"Sethi","given":"Sanjeev","non-dropping-particle":"","parse-names":false,"suffix":""},{"dropping-particle":"","family":"Fogo","given":"Agnes B.","non-dropping-particle":"","parse-names":false,"suffix":""}],"container-title":"Kidney International","id":"ITEM-1","issue":"4","issued":{"date-parts":[["2018"]]},"page":"789-796","title":"Revision of the International Society of Nephrology/Renal Pathology Society classification for lupus nephritis: clarification of definitions, and modified National Institutes of Health activity and chronicity indices","type":"article-journal","volume":"93"},"uris":["http://www.mendeley.com/documents/?uuid=ecf14c4c-52c0-45c2-b0bc-b36872ecdf8f"]}],"mendeley":{"formattedCitation":"(4)","plainTextFormattedCitation":"(4)","previouslyFormattedCitation":"(4)"},"properties":{"noteIndex":0},"schema":"https://github.com/citation-style-language/schema/raw/master/csl-citation.json"}</w:instrText>
      </w:r>
      <w:r w:rsidR="009E0B57" w:rsidRPr="00F93CB1">
        <w:rPr>
          <w:rFonts w:ascii="Calibri" w:eastAsia="Calibri" w:hAnsi="Calibri" w:cs="Times New Roman"/>
          <w:color w:val="auto"/>
          <w:szCs w:val="22"/>
          <w:lang w:val="en-US" w:eastAsia="en-US"/>
        </w:rPr>
        <w:fldChar w:fldCharType="separate"/>
      </w:r>
      <w:r w:rsidR="009E0B57" w:rsidRPr="00F93CB1">
        <w:rPr>
          <w:rFonts w:ascii="Calibri" w:eastAsia="Calibri" w:hAnsi="Calibri" w:cs="Times New Roman"/>
          <w:noProof/>
          <w:color w:val="auto"/>
          <w:szCs w:val="22"/>
          <w:lang w:val="en-US" w:eastAsia="en-US"/>
        </w:rPr>
        <w:t>(4)</w:t>
      </w:r>
      <w:r w:rsidR="009E0B57" w:rsidRPr="00F93CB1">
        <w:rPr>
          <w:rFonts w:ascii="Calibri" w:eastAsia="Calibri" w:hAnsi="Calibri" w:cs="Times New Roman"/>
          <w:color w:val="auto"/>
          <w:szCs w:val="22"/>
          <w:lang w:val="en-US" w:eastAsia="en-US"/>
        </w:rPr>
        <w:fldChar w:fldCharType="end"/>
      </w:r>
      <w:r w:rsidR="009E0B57" w:rsidRPr="00F93CB1">
        <w:rPr>
          <w:rFonts w:ascii="Calibri" w:eastAsia="Calibri" w:hAnsi="Calibri" w:cs="Times New Roman"/>
          <w:color w:val="auto"/>
          <w:szCs w:val="22"/>
          <w:lang w:val="en-US" w:eastAsia="en-US"/>
        </w:rPr>
        <w:t>.</w:t>
      </w:r>
    </w:p>
    <w:p w:rsidR="00493532" w:rsidRPr="00F93CB1" w:rsidRDefault="00175D37"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Histomorphology has been of paramount importance in defining the field of nephrology. The quantification of microscopy findings has </w:t>
      </w:r>
      <w:r w:rsidR="00AA058F" w:rsidRPr="00F93CB1">
        <w:rPr>
          <w:rFonts w:ascii="Calibri" w:eastAsia="Calibri" w:hAnsi="Calibri" w:cs="Times New Roman"/>
          <w:color w:val="auto"/>
          <w:szCs w:val="22"/>
          <w:lang w:val="en-US" w:eastAsia="en-US"/>
        </w:rPr>
        <w:t>found</w:t>
      </w:r>
      <w:r w:rsidRPr="00F93CB1">
        <w:rPr>
          <w:rFonts w:ascii="Calibri" w:eastAsia="Calibri" w:hAnsi="Calibri" w:cs="Times New Roman"/>
          <w:color w:val="auto"/>
          <w:szCs w:val="22"/>
          <w:lang w:val="en-US" w:eastAsia="en-US"/>
        </w:rPr>
        <w:t xml:space="preserve"> </w:t>
      </w:r>
      <w:r w:rsidR="005E41C3" w:rsidRPr="00F93CB1">
        <w:rPr>
          <w:rFonts w:ascii="Calibri" w:eastAsia="Calibri" w:hAnsi="Calibri" w:cs="Times New Roman"/>
          <w:color w:val="auto"/>
          <w:szCs w:val="22"/>
          <w:lang w:val="en-US" w:eastAsia="en-US"/>
        </w:rPr>
        <w:t>its</w:t>
      </w:r>
      <w:r w:rsidRPr="00F93CB1">
        <w:rPr>
          <w:rFonts w:ascii="Calibri" w:eastAsia="Calibri" w:hAnsi="Calibri" w:cs="Times New Roman"/>
          <w:color w:val="auto"/>
          <w:szCs w:val="22"/>
          <w:lang w:val="en-US" w:eastAsia="en-US"/>
        </w:rPr>
        <w:t xml:space="preserve"> place in renal transplantation through the semi-quantitative Banff criteria</w:t>
      </w:r>
      <w:r w:rsidR="00BD4B44" w:rsidRPr="00F93CB1">
        <w:rPr>
          <w:rFonts w:ascii="Calibri" w:eastAsia="Calibri" w:hAnsi="Calibri" w:cs="Times New Roman"/>
          <w:color w:val="auto"/>
          <w:szCs w:val="22"/>
          <w:lang w:val="en-US" w:eastAsia="en-US"/>
        </w:rPr>
        <w:t xml:space="preserve"> </w:t>
      </w:r>
      <w:r w:rsidR="00BD4B44" w:rsidRPr="00F93CB1">
        <w:rPr>
          <w:rFonts w:ascii="Calibri" w:eastAsia="Calibri" w:hAnsi="Calibri" w:cs="Times New Roman"/>
          <w:color w:val="auto"/>
          <w:szCs w:val="22"/>
          <w:lang w:val="en-US" w:eastAsia="en-US"/>
        </w:rPr>
        <w:fldChar w:fldCharType="begin" w:fldLock="1"/>
      </w:r>
      <w:r w:rsidR="009E0B57" w:rsidRPr="00F93CB1">
        <w:rPr>
          <w:rFonts w:ascii="Calibri" w:eastAsia="Calibri" w:hAnsi="Calibri" w:cs="Times New Roman"/>
          <w:color w:val="auto"/>
          <w:szCs w:val="22"/>
          <w:lang w:val="en-US" w:eastAsia="en-US"/>
        </w:rPr>
        <w:instrText>ADDIN CSL_CITATION {"citationItems":[{"id":"ITEM-1","itemData":{"DOI":"10.1111/ajt.14107","ISSN":"16006143","PMID":"27862883","abstract":"The XIII. Banff meeting, held in conjunction the Canadian Society of Transplantation in Vancouver, Canada, reviewed the clinical impact of updates of C4d-negative antibody-mediated rejection (ABMR) from the 2013 meeting, reports from active Banff Working Groups, the relationships of donor specific antibody tests (anti-HLA and non-HLA) with transplant histopathology, and questions of molecular transplant diagnostics. The use of transcriptome gene sets, their resultant diagnostic classifiers, or common key genes to supplement the diagnosis and classification of rejection, requires further consensus agreement and validation in biopsies. Newly introduced concepts include the i-IFTA score - comprising inflammation within areas of fibrosis and atrophy, and acceptance of transplant arteriolopathy within the descriptions of chronic-active T cell-mediated rejection (TCMR) or chronic ABMR. The pattern of mixed TCMR and ABMR was increasingly recognized. This report also includes improved definitions for TCMR and ABMR in pancreas transplants with specification of vascular lesions as well as prospects for defining a vascularized composite allograft rejection classification. The goal of the Banff process is ongoing integration of advances in histological, serological, and molecular diagnostic techniques to produce a consensus-based reporting system that offers: precise composite scores, accurate routine diagnostics, and applicability to next generation clinical trials. This article is protected by copyright. All rights reserved.","author":[{"dropping-particle":"","family":"Loupy","given":"A.","non-dropping-particle":"","parse-names":false,"suffix":""},{"dropping-particle":"","family":"Haas","given":"M.","non-dropping-particle":"","parse-names":false,"suffix":""},{"dropping-particle":"","family":"Solez","given":"K.","non-dropping-particle":"","parse-names":false,"suffix":""},{"dropping-particle":"","family":"Racusen","given":"L.","non-dropping-particle":"","parse-names":false,"suffix":""},{"dropping-particle":"","family":"Glotz","given":"D.","non-dropping-particle":"","parse-names":false,"suffix":""},{"dropping-particle":"","family":"Seron","given":"D.","non-dropping-particle":"","parse-names":false,"suffix":""},{"dropping-particle":"","family":"Nankivell","given":"B. J.","non-dropping-particle":"","parse-names":false,"suffix":""},{"dropping-particle":"","family":"Colvin","given":"R. B.","non-dropping-particle":"","parse-names":false,"suffix":""},{"dropping-particle":"","family":"Afrouzian","given":"M.","non-dropping-particle":"","parse-names":false,"suffix":""},{"dropping-particle":"","family":"Akalin","given":"E.","non-dropping-particle":"","parse-names":false,"suffix":""},{"dropping-particle":"","family":"Alachkar","given":"N.","non-dropping-particle":"","parse-names":false,"suffix":""},{"dropping-particle":"","family":"Bagnasco","given":"S.","non-dropping-particle":"","parse-names":false,"suffix":""},{"dropping-particle":"","family":"Becker","given":"J. U.","non-dropping-particle":"","parse-names":false,"suffix":""},{"dropping-particle":"","family":"Cornell","given":"L.","non-dropping-particle":"","parse-names":false,"suffix":""},{"dropping-particle":"","family":"Drachenberg","given":"C.","non-dropping-particle":"","parse-names":false,"suffix":""},{"dropping-particle":"","family":"Dragun","given":"D.","non-dropping-particle":"","parse-names":false,"suffix":""},{"dropping-particle":"","family":"Kort","given":"H.","non-dropping-particle":"de","parse-names":false,"suffix":""},{"dropping-particle":"","family":"Gibson","given":"I. W.","non-dropping-particle":"","parse-names":false,"suffix":""},{"dropping-particle":"","family":"Kraus","given":"E. S.","non-dropping-particle":"","parse-names":false,"suffix":""},{"dropping-particle":"","family":"Lefaucheur","given":"C.","non-dropping-particle":"","parse-names":false,"suffix":""},{"dropping-particle":"","family":"Legendre","given":"C.","non-dropping-particle":"","parse-names":false,"suffix":""},{"dropping-particle":"","family":"Liapis","given":"H.","non-dropping-particle":"","parse-names":false,"suffix":""},{"dropping-particle":"","family":"Muthukumar","given":"T.","non-dropping-particle":"","parse-names":false,"suffix":""},{"dropping-particle":"","family":"Nickeleit","given":"V.","non-dropping-particle":"","parse-names":false,"suffix":""},{"dropping-particle":"","family":"Orandi","given":"B.","non-dropping-particle":"","parse-names":false,"suffix":""},{"dropping-particle":"","family":"Park","given":"W.","non-dropping-particle":"","parse-names":false,"suffix":""},{"dropping-particle":"","family":"Rabant","given":"M.","non-dropping-particle":"","parse-names":false,"suffix":""},{"dropping-particle":"","family":"Randhawa","given":"P.","non-dropping-particle":"","parse-names":false,"suffix":""},{"dropping-particle":"","family":"Reed","given":"E. F.","non-dropping-particle":"","parse-names":false,"suffix":""},{"dropping-particle":"","family":"Roufosse","given":"C.","non-dropping-particle":"","parse-names":false,"suffix":""},{"dropping-particle":"V.","family":"Seshan","given":"S.","non-dropping-particle":"","parse-names":false,"suffix":""},{"dropping-particle":"","family":"Sis","given":"B.","non-dropping-particle":"","parse-names":false,"suffix":""},{"dropping-particle":"","family":"Singh","given":"H. K.","non-dropping-particle":"","parse-names":false,"suffix":""},{"dropping-particle":"","family":"Schinstock","given":"C.","non-dropping-particle":"","parse-names":false,"suffix":""},{"dropping-particle":"","family":"Tambur","given":"A.","non-dropping-particle":"","parse-names":false,"suffix":""},{"dropping-particle":"","family":"Zeevi","given":"A.","non-dropping-particle":"","parse-names":false,"suffix":""},{"dropping-particle":"","family":"Mengel","given":"M.","non-dropping-particle":"","parse-names":false,"suffix":""}],"container-title":"American Journal of Transplantation","id":"ITEM-1","issue":"1","issued":{"date-parts":[["2017"]]},"page":"28-41","title":"The Banff 2015 Kidney Meeting Report: Current Challenges in Rejection Classification and Prospects for Adopting Molecular Pathology","type":"article-journal","volume":"17"},"uris":["http://www.mendeley.com/documents/?uuid=e735086e-b028-4830-9309-c2fee0309467"]}],"mendeley":{"formattedCitation":"(8)","plainTextFormattedCitation":"(8)","previouslyFormattedCitation":"(8)"},"properties":{"noteIndex":0},"schema":"https://github.com/citation-style-language/schema/raw/master/csl-citation.json"}</w:instrText>
      </w:r>
      <w:r w:rsidR="00BD4B44" w:rsidRPr="00F93CB1">
        <w:rPr>
          <w:rFonts w:ascii="Calibri" w:eastAsia="Calibri" w:hAnsi="Calibri" w:cs="Times New Roman"/>
          <w:color w:val="auto"/>
          <w:szCs w:val="22"/>
          <w:lang w:val="en-US" w:eastAsia="en-US"/>
        </w:rPr>
        <w:fldChar w:fldCharType="separate"/>
      </w:r>
      <w:r w:rsidR="009E0B57" w:rsidRPr="00F93CB1">
        <w:rPr>
          <w:rFonts w:ascii="Calibri" w:eastAsia="Calibri" w:hAnsi="Calibri" w:cs="Times New Roman"/>
          <w:noProof/>
          <w:color w:val="auto"/>
          <w:szCs w:val="22"/>
          <w:lang w:val="en-US" w:eastAsia="en-US"/>
        </w:rPr>
        <w:t>(8)</w:t>
      </w:r>
      <w:r w:rsidR="00BD4B44" w:rsidRPr="00F93CB1">
        <w:rPr>
          <w:rFonts w:ascii="Calibri" w:eastAsia="Calibri" w:hAnsi="Calibri" w:cs="Times New Roman"/>
          <w:color w:val="auto"/>
          <w:szCs w:val="22"/>
          <w:lang w:val="en-US" w:eastAsia="en-US"/>
        </w:rPr>
        <w:fldChar w:fldCharType="end"/>
      </w:r>
      <w:r w:rsidRPr="00F93CB1">
        <w:rPr>
          <w:rFonts w:ascii="Calibri" w:eastAsia="Calibri" w:hAnsi="Calibri" w:cs="Times New Roman"/>
          <w:color w:val="auto"/>
          <w:szCs w:val="22"/>
          <w:lang w:val="en-US" w:eastAsia="en-US"/>
        </w:rPr>
        <w:t xml:space="preserve">. In LN, while the ISN/RPS classification is routinely used, Austin and Hill indexes are not. </w:t>
      </w:r>
      <w:r w:rsidR="00614977" w:rsidRPr="00F93CB1">
        <w:rPr>
          <w:rFonts w:ascii="Calibri" w:eastAsia="Calibri" w:hAnsi="Calibri" w:cs="Times New Roman"/>
          <w:color w:val="auto"/>
          <w:szCs w:val="22"/>
          <w:lang w:val="en-US" w:eastAsia="en-US"/>
        </w:rPr>
        <w:t xml:space="preserve">The </w:t>
      </w:r>
      <w:r w:rsidRPr="00F93CB1">
        <w:rPr>
          <w:rFonts w:ascii="Calibri" w:eastAsia="Calibri" w:hAnsi="Calibri" w:cs="Times New Roman"/>
          <w:color w:val="auto"/>
          <w:szCs w:val="22"/>
          <w:lang w:val="en-US" w:eastAsia="en-US"/>
        </w:rPr>
        <w:t xml:space="preserve">aim of this study was to </w:t>
      </w:r>
      <w:r w:rsidR="001742A8" w:rsidRPr="00F93CB1">
        <w:rPr>
          <w:rFonts w:ascii="Calibri" w:eastAsia="Calibri" w:hAnsi="Calibri" w:cs="Times New Roman"/>
          <w:color w:val="auto"/>
          <w:szCs w:val="22"/>
          <w:lang w:val="en-US" w:eastAsia="en-US"/>
        </w:rPr>
        <w:t xml:space="preserve">analyze the </w:t>
      </w:r>
      <w:r w:rsidR="00EE041B" w:rsidRPr="00F93CB1">
        <w:rPr>
          <w:rFonts w:ascii="Calibri" w:eastAsia="Calibri" w:hAnsi="Calibri" w:cs="Times New Roman"/>
          <w:color w:val="auto"/>
          <w:szCs w:val="22"/>
          <w:lang w:val="en-US" w:eastAsia="en-US"/>
        </w:rPr>
        <w:t xml:space="preserve">applicability and the </w:t>
      </w:r>
      <w:r w:rsidR="00024D17" w:rsidRPr="00F93CB1">
        <w:rPr>
          <w:rFonts w:ascii="Calibri" w:eastAsia="Calibri" w:hAnsi="Calibri" w:cs="Times New Roman"/>
          <w:color w:val="auto"/>
          <w:szCs w:val="22"/>
          <w:lang w:val="en-US" w:eastAsia="en-US"/>
        </w:rPr>
        <w:t xml:space="preserve">efficacy </w:t>
      </w:r>
      <w:r w:rsidR="001742A8" w:rsidRPr="00F93CB1">
        <w:rPr>
          <w:rFonts w:ascii="Calibri" w:eastAsia="Calibri" w:hAnsi="Calibri" w:cs="Times New Roman"/>
          <w:color w:val="auto"/>
          <w:szCs w:val="22"/>
          <w:lang w:val="en-US" w:eastAsia="en-US"/>
        </w:rPr>
        <w:t xml:space="preserve">of the different </w:t>
      </w:r>
      <w:r w:rsidRPr="00F93CB1">
        <w:rPr>
          <w:rFonts w:ascii="Calibri" w:eastAsia="Calibri" w:hAnsi="Calibri" w:cs="Times New Roman"/>
          <w:color w:val="auto"/>
          <w:szCs w:val="22"/>
          <w:lang w:val="en-US" w:eastAsia="en-US"/>
        </w:rPr>
        <w:t xml:space="preserve">LN </w:t>
      </w:r>
      <w:r w:rsidR="001742A8" w:rsidRPr="00F93CB1">
        <w:rPr>
          <w:rFonts w:ascii="Calibri" w:eastAsia="Calibri" w:hAnsi="Calibri" w:cs="Times New Roman"/>
          <w:color w:val="auto"/>
          <w:szCs w:val="22"/>
          <w:lang w:val="en-US" w:eastAsia="en-US"/>
        </w:rPr>
        <w:t>morphological indexes in predicting response to treatment and prognosis.</w:t>
      </w:r>
    </w:p>
    <w:p w:rsidR="00EF5B51" w:rsidRPr="00F93CB1" w:rsidRDefault="00EF5B51" w:rsidP="002447C6">
      <w:pPr>
        <w:spacing w:after="160" w:line="360" w:lineRule="auto"/>
        <w:jc w:val="both"/>
        <w:rPr>
          <w:rFonts w:ascii="Calibri" w:eastAsia="Calibri" w:hAnsi="Calibri" w:cs="Times New Roman"/>
          <w:color w:val="auto"/>
          <w:szCs w:val="22"/>
          <w:lang w:val="en-US" w:eastAsia="en-US"/>
        </w:rPr>
      </w:pPr>
    </w:p>
    <w:p w:rsidR="00F27785" w:rsidRPr="00F93CB1" w:rsidRDefault="00CA1DD0" w:rsidP="002447C6">
      <w:pPr>
        <w:pStyle w:val="Normal1"/>
        <w:spacing w:line="360" w:lineRule="auto"/>
        <w:jc w:val="both"/>
        <w:rPr>
          <w:b/>
          <w:szCs w:val="22"/>
          <w:lang w:val="en-US"/>
        </w:rPr>
      </w:pPr>
      <w:r w:rsidRPr="00F93CB1">
        <w:rPr>
          <w:b/>
          <w:szCs w:val="22"/>
          <w:lang w:val="en-US"/>
        </w:rPr>
        <w:t xml:space="preserve">MATERIALS AND </w:t>
      </w:r>
      <w:r w:rsidR="00F27785" w:rsidRPr="00F93CB1">
        <w:rPr>
          <w:b/>
          <w:szCs w:val="22"/>
          <w:lang w:val="en-US"/>
        </w:rPr>
        <w:t>METHODS</w:t>
      </w:r>
    </w:p>
    <w:p w:rsidR="007C60E4" w:rsidRPr="00F93CB1" w:rsidRDefault="001742A8"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This is a retrospective single center descriptive analysis of consecutive SLE and biopsy proven LN patients, diagnosed from 2010 to 2016.</w:t>
      </w:r>
      <w:r w:rsidR="004F1266" w:rsidRPr="00F93CB1">
        <w:rPr>
          <w:rFonts w:ascii="Calibri" w:eastAsia="Calibri" w:hAnsi="Calibri" w:cs="Times New Roman"/>
          <w:color w:val="auto"/>
          <w:szCs w:val="22"/>
          <w:lang w:val="en-US" w:eastAsia="en-US"/>
        </w:rPr>
        <w:t xml:space="preserve"> </w:t>
      </w:r>
      <w:r w:rsidR="00821E93" w:rsidRPr="00F93CB1">
        <w:rPr>
          <w:rFonts w:ascii="Calibri" w:eastAsia="Calibri" w:hAnsi="Calibri" w:cs="Times New Roman"/>
          <w:color w:val="auto"/>
          <w:szCs w:val="22"/>
          <w:lang w:val="en-US" w:eastAsia="en-US"/>
        </w:rPr>
        <w:t xml:space="preserve">Patients </w:t>
      </w:r>
      <w:r w:rsidR="00F679EF" w:rsidRPr="00F93CB1">
        <w:rPr>
          <w:rFonts w:ascii="Calibri" w:eastAsia="Calibri" w:hAnsi="Calibri" w:cs="Times New Roman"/>
          <w:color w:val="auto"/>
          <w:szCs w:val="22"/>
          <w:lang w:val="en-US" w:eastAsia="en-US"/>
        </w:rPr>
        <w:t>whose kidney biopsies were found to be inadequate due to insufficient number of glomeruli</w:t>
      </w:r>
      <w:r w:rsidR="00821E93" w:rsidRPr="00F93CB1">
        <w:rPr>
          <w:rFonts w:ascii="Calibri" w:eastAsia="Calibri" w:hAnsi="Calibri" w:cs="Times New Roman"/>
          <w:color w:val="auto"/>
          <w:szCs w:val="22"/>
          <w:lang w:val="en-US" w:eastAsia="en-US"/>
        </w:rPr>
        <w:t xml:space="preserve"> </w:t>
      </w:r>
      <w:r w:rsidR="00232F4A" w:rsidRPr="00F93CB1">
        <w:rPr>
          <w:rFonts w:ascii="Calibri" w:eastAsia="Calibri" w:hAnsi="Calibri" w:cs="Times New Roman"/>
          <w:color w:val="auto"/>
          <w:szCs w:val="22"/>
          <w:lang w:val="en-US" w:eastAsia="en-US"/>
        </w:rPr>
        <w:t xml:space="preserve">(defined as less than 5) </w:t>
      </w:r>
      <w:r w:rsidR="00821E93" w:rsidRPr="00F93CB1">
        <w:rPr>
          <w:rFonts w:ascii="Calibri" w:eastAsia="Calibri" w:hAnsi="Calibri" w:cs="Times New Roman"/>
          <w:color w:val="auto"/>
          <w:szCs w:val="22"/>
          <w:lang w:val="en-US" w:eastAsia="en-US"/>
        </w:rPr>
        <w:t>were excluded</w:t>
      </w:r>
      <w:r w:rsidR="00F679EF" w:rsidRPr="00F93CB1">
        <w:rPr>
          <w:rFonts w:ascii="Calibri" w:eastAsia="Calibri" w:hAnsi="Calibri" w:cs="Times New Roman"/>
          <w:color w:val="auto"/>
          <w:szCs w:val="22"/>
          <w:lang w:val="en-US" w:eastAsia="en-US"/>
        </w:rPr>
        <w:t>. Patient’</w:t>
      </w:r>
      <w:r w:rsidR="000C786B" w:rsidRPr="00F93CB1">
        <w:rPr>
          <w:rFonts w:ascii="Calibri" w:eastAsia="Calibri" w:hAnsi="Calibri" w:cs="Times New Roman"/>
          <w:color w:val="auto"/>
          <w:szCs w:val="22"/>
          <w:lang w:val="en-US" w:eastAsia="en-US"/>
        </w:rPr>
        <w:t xml:space="preserve">s data was </w:t>
      </w:r>
      <w:r w:rsidR="00F679EF" w:rsidRPr="00F93CB1">
        <w:rPr>
          <w:rFonts w:ascii="Calibri" w:eastAsia="Calibri" w:hAnsi="Calibri" w:cs="Times New Roman"/>
          <w:color w:val="auto"/>
          <w:szCs w:val="22"/>
          <w:lang w:val="en-US" w:eastAsia="en-US"/>
        </w:rPr>
        <w:t>obtained</w:t>
      </w:r>
      <w:r w:rsidR="000C786B" w:rsidRPr="00F93CB1">
        <w:rPr>
          <w:rFonts w:ascii="Calibri" w:eastAsia="Calibri" w:hAnsi="Calibri" w:cs="Times New Roman"/>
          <w:color w:val="auto"/>
          <w:szCs w:val="22"/>
          <w:lang w:val="en-US" w:eastAsia="en-US"/>
        </w:rPr>
        <w:t xml:space="preserve"> from clinical files. </w:t>
      </w:r>
      <w:r w:rsidR="00B05E44" w:rsidRPr="00F93CB1">
        <w:rPr>
          <w:rFonts w:ascii="Calibri" w:eastAsia="Calibri" w:hAnsi="Calibri" w:cs="Times New Roman"/>
          <w:color w:val="auto"/>
          <w:szCs w:val="22"/>
          <w:lang w:val="en-US" w:eastAsia="en-US"/>
        </w:rPr>
        <w:t xml:space="preserve">We analyzed patient’s demographic data (age, gender, race), comorbidities and their duration (including SLE history and previous manifestations and medications), </w:t>
      </w:r>
      <w:r w:rsidR="0005149E" w:rsidRPr="00F93CB1">
        <w:rPr>
          <w:rFonts w:ascii="Calibri" w:eastAsia="Calibri" w:hAnsi="Calibri" w:cs="Times New Roman"/>
          <w:color w:val="auto"/>
          <w:szCs w:val="22"/>
          <w:lang w:val="en-US" w:eastAsia="en-US"/>
        </w:rPr>
        <w:t xml:space="preserve">hypertension </w:t>
      </w:r>
      <w:r w:rsidR="00E5519A" w:rsidRPr="00F93CB1">
        <w:rPr>
          <w:rFonts w:ascii="Calibri" w:eastAsia="Calibri" w:hAnsi="Calibri" w:cs="Times New Roman"/>
          <w:color w:val="auto"/>
          <w:szCs w:val="22"/>
          <w:lang w:val="en-US" w:eastAsia="en-US"/>
        </w:rPr>
        <w:t>according to the most recent definition by the European Society of Cardiology</w:t>
      </w:r>
      <w:r w:rsidR="00574B6A" w:rsidRPr="00F93CB1">
        <w:rPr>
          <w:rFonts w:ascii="Calibri" w:eastAsia="Calibri" w:hAnsi="Calibri" w:cs="Times New Roman"/>
          <w:color w:val="auto"/>
          <w:szCs w:val="22"/>
          <w:lang w:val="en-US" w:eastAsia="en-US"/>
        </w:rPr>
        <w:t xml:space="preserve"> </w:t>
      </w:r>
      <w:r w:rsidR="00574B6A"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{"citationItems":[{"id":"ITEM-1","itemData":{"DOI":"10.1097/HJH.","ISBN":"0000000000","ISSN":"1473-5598","PMID":"30234752","author":[{"dropping-particle":"","family":"Williams B, Mancia G, Spiering W, Agabiti Rosei E, Azizi M, Burnier M, Clement DL, Coca A, de Simone G, Dominiczak A, Kahan T, Mahfoud F, Redon J, Ruilope L, Zanchetti A, Kerins M, Kjeldsen SE, Kreutz R, Laurent S, Lip GYH, McManus R, Narkiewicz K, Ruschi","given":"Desormais I; ESC Scientific Document Group.","non-dropping-particle":"","parse-names":false,"suffix":""}],"container-title":"Eur Heart J","id":"ITEM-1","issue":"September","issued":{"date-parts":[["2018"]]},"page":"3021-3104","title":"2018 ESC/ESH Guidelines for the management of arterial hypertension","type":"article-journal","volume":"39(33)"},"uris":["http://www.mendeley.com/documents/?uuid=38a925db-8076-4792-a037-098acd9ff54a"]}],"mendeley":{"formattedCitation":"(9)","plainTextFormattedCitation":"(9)","previouslyFormattedCitation":"(9)"},"properties":{"noteIndex":0},"schema":"https://github.com/citation-style-language/schema/raw/master/csl-citation.json"}</w:instrText>
      </w:r>
      <w:r w:rsidR="00574B6A"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(9)</w:t>
      </w:r>
      <w:r w:rsidR="00574B6A" w:rsidRPr="00F93CB1">
        <w:rPr>
          <w:rFonts w:ascii="Calibri" w:eastAsia="Calibri" w:hAnsi="Calibri" w:cs="Times New Roman"/>
          <w:color w:val="auto"/>
          <w:szCs w:val="22"/>
          <w:lang w:val="en-US" w:eastAsia="en-US"/>
        </w:rPr>
        <w:fldChar w:fldCharType="end"/>
      </w:r>
      <w:r w:rsidR="009E436E" w:rsidRPr="00F93CB1">
        <w:rPr>
          <w:rFonts w:ascii="Calibri" w:eastAsia="Calibri" w:hAnsi="Calibri" w:cs="Times New Roman"/>
          <w:color w:val="auto"/>
          <w:szCs w:val="22"/>
          <w:lang w:val="en-US" w:eastAsia="en-US"/>
        </w:rPr>
        <w:t>,</w:t>
      </w:r>
      <w:r w:rsidR="00E5519A" w:rsidRPr="00F93CB1">
        <w:rPr>
          <w:rFonts w:ascii="Calibri" w:eastAsia="Calibri" w:hAnsi="Calibri" w:cs="Times New Roman"/>
          <w:color w:val="auto"/>
          <w:szCs w:val="22"/>
          <w:lang w:val="en-US" w:eastAsia="en-US"/>
        </w:rPr>
        <w:t xml:space="preserve"> </w:t>
      </w:r>
      <w:r w:rsidR="00B05E44" w:rsidRPr="00F93CB1">
        <w:rPr>
          <w:rFonts w:ascii="Calibri" w:eastAsia="Calibri" w:hAnsi="Calibri" w:cs="Times New Roman"/>
          <w:color w:val="auto"/>
          <w:szCs w:val="22"/>
          <w:lang w:val="en-US" w:eastAsia="en-US"/>
        </w:rPr>
        <w:t xml:space="preserve">clinical presentation </w:t>
      </w:r>
      <w:r w:rsidR="00C5358B" w:rsidRPr="00F93CB1">
        <w:rPr>
          <w:rFonts w:ascii="Calibri" w:eastAsia="Calibri" w:hAnsi="Calibri" w:cs="Times New Roman"/>
          <w:color w:val="auto"/>
          <w:szCs w:val="22"/>
          <w:lang w:val="en-US" w:eastAsia="en-US"/>
        </w:rPr>
        <w:t xml:space="preserve">and laboratorial evaluation </w:t>
      </w:r>
      <w:r w:rsidR="00B05E44" w:rsidRPr="00F93CB1">
        <w:rPr>
          <w:rFonts w:ascii="Calibri" w:eastAsia="Calibri" w:hAnsi="Calibri" w:cs="Times New Roman"/>
          <w:color w:val="auto"/>
          <w:szCs w:val="22"/>
          <w:lang w:val="en-US" w:eastAsia="en-US"/>
        </w:rPr>
        <w:t xml:space="preserve">at the time of renal biopsy </w:t>
      </w:r>
      <w:r w:rsidR="007C60E4" w:rsidRPr="00F93CB1">
        <w:rPr>
          <w:rFonts w:ascii="Calibri" w:eastAsia="Calibri" w:hAnsi="Calibri" w:cs="Times New Roman"/>
          <w:color w:val="auto"/>
          <w:szCs w:val="22"/>
          <w:lang w:val="en-US" w:eastAsia="en-US"/>
        </w:rPr>
        <w:t>[</w:t>
      </w:r>
      <w:r w:rsidR="00B05E44" w:rsidRPr="00F93CB1">
        <w:rPr>
          <w:rFonts w:ascii="Calibri" w:eastAsia="Calibri" w:hAnsi="Calibri" w:cs="Times New Roman"/>
          <w:color w:val="auto"/>
          <w:szCs w:val="22"/>
          <w:lang w:val="en-US" w:eastAsia="en-US"/>
        </w:rPr>
        <w:t xml:space="preserve">including </w:t>
      </w:r>
      <w:r w:rsidR="00FD1AD1" w:rsidRPr="00F93CB1">
        <w:rPr>
          <w:rFonts w:ascii="Calibri" w:eastAsia="Calibri" w:hAnsi="Calibri" w:cs="Times New Roman"/>
          <w:color w:val="auto"/>
          <w:szCs w:val="22"/>
          <w:lang w:val="en-US" w:eastAsia="en-US"/>
        </w:rPr>
        <w:t xml:space="preserve">hemogram, </w:t>
      </w:r>
      <w:r w:rsidR="00B05E44" w:rsidRPr="00F93CB1">
        <w:rPr>
          <w:rFonts w:ascii="Calibri" w:eastAsia="Calibri" w:hAnsi="Calibri" w:cs="Times New Roman"/>
          <w:color w:val="auto"/>
          <w:szCs w:val="22"/>
          <w:lang w:val="en-US" w:eastAsia="en-US"/>
        </w:rPr>
        <w:t>serum creatinine, urinalysis, proteinuria (</w:t>
      </w:r>
      <w:r w:rsidR="007C60E4" w:rsidRPr="00F93CB1">
        <w:rPr>
          <w:rFonts w:ascii="Calibri" w:eastAsia="Calibri" w:hAnsi="Calibri" w:cs="Times New Roman"/>
          <w:color w:val="auto"/>
          <w:szCs w:val="22"/>
          <w:lang w:val="en-US" w:eastAsia="en-US"/>
        </w:rPr>
        <w:t xml:space="preserve">24h-collection or </w:t>
      </w:r>
      <w:r w:rsidR="00024D17" w:rsidRPr="00F93CB1">
        <w:rPr>
          <w:rFonts w:ascii="Calibri" w:eastAsia="Calibri" w:hAnsi="Calibri" w:cs="Times New Roman"/>
          <w:color w:val="auto"/>
          <w:szCs w:val="22"/>
          <w:lang w:val="en-US" w:eastAsia="en-US"/>
        </w:rPr>
        <w:t xml:space="preserve">urinary </w:t>
      </w:r>
      <w:r w:rsidR="007C60E4" w:rsidRPr="00F93CB1">
        <w:rPr>
          <w:rFonts w:ascii="Calibri" w:eastAsia="Calibri" w:hAnsi="Calibri" w:cs="Times New Roman"/>
          <w:color w:val="auto"/>
          <w:szCs w:val="22"/>
          <w:lang w:val="en-US" w:eastAsia="en-US"/>
        </w:rPr>
        <w:t>protein to creatinine ratio</w:t>
      </w:r>
      <w:r w:rsidR="00024D17" w:rsidRPr="00F93CB1">
        <w:rPr>
          <w:rFonts w:ascii="Calibri" w:eastAsia="Calibri" w:hAnsi="Calibri" w:cs="Times New Roman"/>
          <w:color w:val="auto"/>
          <w:szCs w:val="22"/>
          <w:lang w:val="en-US" w:eastAsia="en-US"/>
        </w:rPr>
        <w:t xml:space="preserve"> in a random urine sample</w:t>
      </w:r>
      <w:r w:rsidR="007C60E4" w:rsidRPr="00F93CB1">
        <w:rPr>
          <w:rFonts w:ascii="Calibri" w:eastAsia="Calibri" w:hAnsi="Calibri" w:cs="Times New Roman"/>
          <w:color w:val="auto"/>
          <w:szCs w:val="22"/>
          <w:lang w:val="en-US" w:eastAsia="en-US"/>
        </w:rPr>
        <w:t xml:space="preserve">), C3, C4 and </w:t>
      </w:r>
      <w:r w:rsidR="00024D17" w:rsidRPr="00F93CB1">
        <w:rPr>
          <w:rFonts w:ascii="Calibri" w:eastAsia="Calibri" w:hAnsi="Calibri" w:cs="Times New Roman"/>
          <w:color w:val="auto"/>
          <w:szCs w:val="22"/>
          <w:lang w:val="en-US" w:eastAsia="en-US"/>
        </w:rPr>
        <w:t>anti-</w:t>
      </w:r>
      <w:r w:rsidR="007C60E4" w:rsidRPr="00F93CB1">
        <w:rPr>
          <w:rFonts w:ascii="Calibri" w:eastAsia="Calibri" w:hAnsi="Calibri" w:cs="Times New Roman"/>
          <w:color w:val="auto"/>
          <w:szCs w:val="22"/>
          <w:lang w:val="en-US" w:eastAsia="en-US"/>
        </w:rPr>
        <w:t>dsDNA].</w:t>
      </w:r>
    </w:p>
    <w:p w:rsidR="007C60E4" w:rsidRPr="00F93CB1" w:rsidRDefault="00184E29"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lastRenderedPageBreak/>
        <w:t>The</w:t>
      </w:r>
      <w:r w:rsidR="000C786B" w:rsidRPr="00F93CB1">
        <w:rPr>
          <w:rFonts w:ascii="Calibri" w:eastAsia="Calibri" w:hAnsi="Calibri" w:cs="Times New Roman"/>
          <w:color w:val="auto"/>
          <w:szCs w:val="22"/>
          <w:lang w:val="en-US" w:eastAsia="en-US"/>
        </w:rPr>
        <w:t xml:space="preserve"> following outcomes</w:t>
      </w:r>
      <w:r w:rsidRPr="00F93CB1">
        <w:rPr>
          <w:rFonts w:ascii="Calibri" w:eastAsia="Calibri" w:hAnsi="Calibri" w:cs="Times New Roman"/>
          <w:color w:val="auto"/>
          <w:szCs w:val="22"/>
          <w:lang w:val="en-US" w:eastAsia="en-US"/>
        </w:rPr>
        <w:t xml:space="preserve"> were evaluat</w:t>
      </w:r>
      <w:r w:rsidR="00B26654" w:rsidRPr="00F93CB1">
        <w:rPr>
          <w:rFonts w:ascii="Calibri" w:eastAsia="Calibri" w:hAnsi="Calibri" w:cs="Times New Roman"/>
          <w:color w:val="auto"/>
          <w:szCs w:val="22"/>
          <w:lang w:val="en-US" w:eastAsia="en-US"/>
        </w:rPr>
        <w:t>ed</w:t>
      </w:r>
      <w:r w:rsidR="000C786B" w:rsidRPr="00F93CB1">
        <w:rPr>
          <w:rFonts w:ascii="Calibri" w:eastAsia="Calibri" w:hAnsi="Calibri" w:cs="Times New Roman"/>
          <w:color w:val="auto"/>
          <w:szCs w:val="22"/>
          <w:lang w:val="en-US" w:eastAsia="en-US"/>
        </w:rPr>
        <w:t xml:space="preserve">: clinical remission, renal function and proteinuria </w:t>
      </w:r>
      <w:r w:rsidR="008E590D" w:rsidRPr="00F93CB1">
        <w:rPr>
          <w:rFonts w:ascii="Calibri" w:eastAsia="Calibri" w:hAnsi="Calibri" w:cs="Times New Roman"/>
          <w:color w:val="auto"/>
          <w:szCs w:val="22"/>
          <w:lang w:val="en-US" w:eastAsia="en-US"/>
        </w:rPr>
        <w:t xml:space="preserve">(g/24h) </w:t>
      </w:r>
      <w:r w:rsidR="000C786B" w:rsidRPr="00F93CB1">
        <w:rPr>
          <w:rFonts w:ascii="Calibri" w:eastAsia="Calibri" w:hAnsi="Calibri" w:cs="Times New Roman"/>
          <w:color w:val="auto"/>
          <w:szCs w:val="22"/>
          <w:lang w:val="en-US" w:eastAsia="en-US"/>
        </w:rPr>
        <w:t xml:space="preserve">at end of follow-up (FUP). </w:t>
      </w:r>
      <w:bookmarkStart w:id="0" w:name="_Hlk536357314"/>
      <w:r w:rsidR="00B21E67" w:rsidRPr="00F93CB1">
        <w:rPr>
          <w:rFonts w:ascii="Calibri" w:eastAsia="Calibri" w:hAnsi="Calibri" w:cs="Times New Roman"/>
          <w:color w:val="auto"/>
          <w:szCs w:val="22"/>
          <w:lang w:val="en-US" w:eastAsia="en-US"/>
        </w:rPr>
        <w:t xml:space="preserve">The LUNAR trial </w:t>
      </w:r>
      <w:r w:rsidR="00516AFC"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 xml:space="preserve">ADDIN CSL_CITATION {"citationItems":[{"id":"ITEM-1","itemData":{"DOI":"10.1002/art.34359","ISBN":"0004-3591 (ISSNLinking)","ISSN":"15290131","PMID":"22231479","abstract":"Objective. To evaluate the efficacy and safety of rituximab in a randomized, double-blind, placebo-controlled phase III trial in patients with lupus nephri-tis treated concomitantly with mycophenolate mofetil (MMF) and corticosteroids. Methods. Patients (n </w:instrText>
      </w:r>
      <w:dir w:val="rtl">
        <w:r w:rsidR="002864B6" w:rsidRPr="00F93CB1">
          <w:rPr>
            <w:rFonts w:ascii="Calibri" w:eastAsia="Calibri" w:hAnsi="Calibri" w:cs="Times New Roman"/>
            <w:color w:val="auto"/>
            <w:szCs w:val="22"/>
            <w:lang w:val="en-US" w:eastAsia="en-US"/>
          </w:rPr>
          <w:instrText>؍</w:instrText>
        </w:r>
        <w:r w:rsidR="002864B6" w:rsidRPr="00F93CB1">
          <w:rPr>
            <w:rFonts w:ascii="Calibri" w:eastAsia="Calibri" w:hAnsi="Calibri" w:cs="Times New Roman"/>
            <w:color w:val="auto"/>
            <w:szCs w:val="22"/>
            <w:lang w:val="en-US" w:eastAsia="en-US"/>
          </w:rPr>
          <w:instrText xml:space="preserve">‬ 144) with class III or class IV lupus nephritis were randomized 1:1 to receive rituximab (1,000 mg) or placebo on days 1, 15, 168, and 182. The primary end point was renal response status at week 52. Results. Rituximab depleted peripheral CD19؉ B cells in 71 of 72 patients. The overall (complete and partial) renal response rates were 45.8% among the 72 patients receiving placebo and 56.9% among the 72 patients receiving rituximab (P </w:instrText>
        </w:r>
        <w:dir w:val="rtl">
          <w:r w:rsidR="002864B6" w:rsidRPr="00F93CB1">
            <w:rPr>
              <w:rFonts w:ascii="Calibri" w:eastAsia="Calibri" w:hAnsi="Calibri" w:cs="Times New Roman"/>
              <w:color w:val="auto"/>
              <w:szCs w:val="22"/>
              <w:lang w:val="en-US" w:eastAsia="en-US"/>
            </w:rPr>
            <w:instrText>؍</w:instrText>
          </w:r>
          <w:r w:rsidR="002864B6" w:rsidRPr="00F93CB1">
            <w:rPr>
              <w:rFonts w:ascii="Calibri" w:eastAsia="Calibri" w:hAnsi="Calibri" w:cs="Times New Roman"/>
              <w:color w:val="auto"/>
              <w:szCs w:val="22"/>
              <w:lang w:val="en-US" w:eastAsia="en-US"/>
            </w:rPr>
            <w:instrText>‬ 0.18); partial re-sponses accounted for most of the difference. The pri-mary end point (superior response rate with rituximab) was not achieved. Eight placebo-treated patients and no rituximab-treated patients required cyclophosphamide rescue therapy through week 52. Statistically significant improvements in serum complement C3, C4, and anti– double-stranded DNA (anti-dsDNA) levels were ob-served among patients treated with rituximab. In both treatment groups, a reduction in anti-dsDNA levels greater than the median reduction was associated with reduced proteinuria. The rates of serious adverse events, including infections, were similar in both groups. Neutropenia, leukopenia, and hypotension oc-curred more frequently in the rituximab group. Conclusion. Although rituximab therapy led to more responders and greater reductions in anti-dsDNA and C3/C4 levels, it did not improve clinical outcomes after 1 year of treatment. The combination of rituximab with MMF and corticosteroids did not result in any new or unexpected safety signals.","author":[{"dropping-particle":"","family":"Rovin","given":"Brad H.","non-dropping-particle":"","parse-names":false,"suffix":""},{"dropping-particle":"","family":"Furie","given":"Richard","non-dropping-particle":"","parse-names":false,"suffix":""},{"dropping-particle":"","family":"Latinis","given":"Kevin","non-dropping-particle":"","parse-names":false,"suffix":""},{"dropping-particle":"","family":"Looney","given":"R. John","non-dropping-particle":"","parse-names":false,"suffix":""},{"dropping-particle":"","family":"Fervenza","given":"Fernando C.","non-dropping-particle":"","parse-names":false,"suffix":""},{"dropping-particle":"","family":"Sanchez-Guerrero","given":"Jorge","non-dropping-particle":"","parse-names":false,"suffix":""},{"dropping-particle":"","family":"Maciuca","given":"Romeo","non-dropping-particle":"","parse-names":false,"suffix":""},{"dropping-particle":"","family":"Zhang","given":"David","non-dropping-particle":"","parse-names":false,"suffix":""},{"dropping-particle":"","family":"Garg","given":"Jay P.","non-dropping-particle":"","parse-names":false,"suffix":""},{"dropping-particle":"","family":"Brunetta","given":"Paul","non-dropping-particle":"","parse-names":false,"suffix":""},{"dropping-particle":"","family":"Appel","given":"Gerald","non-dropping-particle":"","parse-names":false,"suffix":""},{"dropping-particle":"","family":"LUNAR Investigator Group","given":"","non-dropping-particle":"","parse-names":false,"suffix":""}],"container-title":"Arthritis and rheumatism","id":"ITEM-1","issue":"4","issued":{"date-parts":[["2012"]]},"page":"1215-1226","title":"Efficacy and safety of rituximab in patients with active proliferative lupus nephritis: the Lupus Nephritis Assessment with Rituximab study.","type":"article-journal","volume":"64"},"uris":["http://www.mendeley.com/documents/?uuid=331db55c-cb0e-4147-b777-176a4b58f889"]}],"mendeley":{"formattedCitation":"(10)","plainTextFormattedCitation":"(10)","previouslyFormattedCitation":"(10)"},"properties":{"noteIndex":0},"schema":"https://github.com/citation-style-language/schema/raw/master/csl-citation.json"}</w:instrText>
          </w:r>
          <w:r w:rsidR="00516AFC"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(10)</w:t>
          </w:r>
          <w:r w:rsidR="00516AFC" w:rsidRPr="00F93CB1">
            <w:rPr>
              <w:rFonts w:ascii="Calibri" w:eastAsia="Calibri" w:hAnsi="Calibri" w:cs="Times New Roman"/>
              <w:color w:val="auto"/>
              <w:szCs w:val="22"/>
              <w:lang w:val="en-US" w:eastAsia="en-US"/>
            </w:rPr>
            <w:fldChar w:fldCharType="end"/>
          </w:r>
          <w:r w:rsidR="009E436E" w:rsidRPr="00F93CB1">
            <w:rPr>
              <w:rFonts w:ascii="Calibri" w:eastAsia="Calibri" w:hAnsi="Calibri" w:cs="Times New Roman"/>
              <w:color w:val="auto"/>
              <w:szCs w:val="22"/>
              <w:lang w:val="en-US" w:eastAsia="en-US"/>
            </w:rPr>
            <w:t xml:space="preserve"> </w:t>
          </w:r>
          <w:r w:rsidR="00B21E67" w:rsidRPr="00F93CB1">
            <w:rPr>
              <w:rFonts w:ascii="Calibri" w:eastAsia="Calibri" w:hAnsi="Calibri" w:cs="Times New Roman"/>
              <w:color w:val="auto"/>
              <w:szCs w:val="22"/>
              <w:lang w:val="en-US" w:eastAsia="en-US"/>
            </w:rPr>
            <w:t>definition for clinical remission was used: c</w:t>
          </w:r>
          <w:r w:rsidR="000C786B" w:rsidRPr="00F93CB1">
            <w:rPr>
              <w:rFonts w:ascii="Calibri" w:eastAsia="Calibri" w:hAnsi="Calibri" w:cs="Times New Roman"/>
              <w:color w:val="auto"/>
              <w:szCs w:val="22"/>
              <w:lang w:val="en-US" w:eastAsia="en-US"/>
            </w:rPr>
            <w:t xml:space="preserve">omplete remission was defined reduction of proteinuria to &lt;0.5g/24h, inactive urinary sediment and </w:t>
          </w:r>
          <w:r w:rsidR="00F034A6" w:rsidRPr="00F034A6">
            <w:rPr>
              <w:rFonts w:ascii="Calibri" w:eastAsia="Calibri" w:hAnsi="Calibri" w:cs="Times New Roman"/>
              <w:color w:val="auto"/>
              <w:szCs w:val="22"/>
              <w:highlight w:val="yellow"/>
              <w:lang w:val="en-US" w:eastAsia="en-US"/>
            </w:rPr>
            <w:t>normal serum creatinine level if it was abnormal at baseline</w:t>
          </w:r>
          <w:r w:rsidR="00F034A6" w:rsidRPr="00F034A6">
            <w:rPr>
              <w:rFonts w:ascii="Calibri" w:eastAsia="Calibri" w:hAnsi="Calibri" w:cs="Times New Roman"/>
              <w:color w:val="auto"/>
              <w:szCs w:val="22"/>
              <w:highlight w:val="yellow"/>
              <w:lang w:val="en-US" w:eastAsia="en-US"/>
            </w:rPr>
            <w:t xml:space="preserve"> (</w:t>
          </w:r>
          <w:r w:rsidR="00F034A6" w:rsidRPr="00F034A6">
            <w:rPr>
              <w:rFonts w:ascii="Calibri" w:eastAsia="Calibri" w:hAnsi="Calibri" w:cs="Times New Roman"/>
              <w:color w:val="auto"/>
              <w:szCs w:val="22"/>
              <w:highlight w:val="yellow"/>
              <w:lang w:val="en-US" w:eastAsia="en-US"/>
            </w:rPr>
            <w:t>or a serum creatinine level of &lt;115% of baseline if it was normal at baseline</w:t>
          </w:r>
          <w:r w:rsidR="00F034A6" w:rsidRPr="00F034A6">
            <w:rPr>
              <w:rFonts w:ascii="Calibri" w:eastAsia="Calibri" w:hAnsi="Calibri" w:cs="Times New Roman"/>
              <w:color w:val="auto"/>
              <w:szCs w:val="22"/>
              <w:highlight w:val="yellow"/>
              <w:lang w:val="en-US" w:eastAsia="en-US"/>
            </w:rPr>
            <w:t xml:space="preserve"> </w:t>
          </w:r>
          <w:r w:rsidR="000C786B" w:rsidRPr="00F034A6">
            <w:rPr>
              <w:rFonts w:ascii="Calibri" w:eastAsia="Calibri" w:hAnsi="Calibri" w:cs="Times New Roman"/>
              <w:color w:val="auto"/>
              <w:szCs w:val="22"/>
              <w:highlight w:val="yellow"/>
              <w:lang w:val="en-US" w:eastAsia="en-US"/>
            </w:rPr>
            <w:t xml:space="preserve">serum creatinine &lt;115% of </w:t>
          </w:r>
          <w:r w:rsidR="000C786B" w:rsidRPr="00275DDD">
            <w:rPr>
              <w:rFonts w:ascii="Calibri" w:eastAsia="Calibri" w:hAnsi="Calibri" w:cs="Times New Roman"/>
              <w:color w:val="auto"/>
              <w:szCs w:val="22"/>
              <w:highlight w:val="yellow"/>
              <w:lang w:val="en-US" w:eastAsia="en-US"/>
            </w:rPr>
            <w:t>baseline</w:t>
          </w:r>
          <w:r w:rsidR="00F034A6" w:rsidRPr="00275DDD">
            <w:rPr>
              <w:rFonts w:ascii="Calibri" w:eastAsia="Calibri" w:hAnsi="Calibri" w:cs="Times New Roman"/>
              <w:color w:val="auto"/>
              <w:szCs w:val="22"/>
              <w:highlight w:val="yellow"/>
              <w:lang w:val="en-US" w:eastAsia="en-US"/>
            </w:rPr>
            <w:t>)</w:t>
          </w:r>
          <w:r w:rsidR="000C786B" w:rsidRPr="00275DDD">
            <w:rPr>
              <w:rFonts w:ascii="Calibri" w:eastAsia="Calibri" w:hAnsi="Calibri" w:cs="Times New Roman"/>
              <w:color w:val="auto"/>
              <w:szCs w:val="22"/>
              <w:highlight w:val="yellow"/>
              <w:lang w:val="en-US" w:eastAsia="en-US"/>
            </w:rPr>
            <w:t xml:space="preserve">; partial remission </w:t>
          </w:r>
          <w:r w:rsidR="00275DDD" w:rsidRPr="00275DDD">
            <w:rPr>
              <w:rFonts w:ascii="Calibri" w:eastAsia="Calibri" w:hAnsi="Calibri" w:cs="Times New Roman"/>
              <w:color w:val="auto"/>
              <w:szCs w:val="22"/>
              <w:highlight w:val="yellow"/>
              <w:lang w:val="en-US" w:eastAsia="en-US"/>
            </w:rPr>
            <w:t xml:space="preserve">was defined as a reduction in </w:t>
          </w:r>
          <w:r w:rsidR="000C786B" w:rsidRPr="00275DDD">
            <w:rPr>
              <w:rFonts w:ascii="Calibri" w:eastAsia="Calibri" w:hAnsi="Calibri" w:cs="Times New Roman"/>
              <w:color w:val="auto"/>
              <w:szCs w:val="22"/>
              <w:highlight w:val="yellow"/>
              <w:lang w:val="en-US" w:eastAsia="en-US"/>
            </w:rPr>
            <w:t xml:space="preserve">proteinuria </w:t>
          </w:r>
          <w:r w:rsidR="00275DDD" w:rsidRPr="00275DDD">
            <w:rPr>
              <w:rFonts w:ascii="Calibri" w:eastAsia="Calibri" w:hAnsi="Calibri" w:cs="Times New Roman"/>
              <w:color w:val="auto"/>
              <w:szCs w:val="22"/>
              <w:highlight w:val="yellow"/>
              <w:lang w:val="en-US" w:eastAsia="en-US"/>
            </w:rPr>
            <w:t xml:space="preserve">to </w:t>
          </w:r>
          <w:r w:rsidR="000C786B" w:rsidRPr="00275DDD">
            <w:rPr>
              <w:rFonts w:ascii="Calibri" w:eastAsia="Calibri" w:hAnsi="Calibri" w:cs="Times New Roman"/>
              <w:color w:val="auto"/>
              <w:szCs w:val="22"/>
              <w:highlight w:val="yellow"/>
              <w:lang w:val="en-US" w:eastAsia="en-US"/>
            </w:rPr>
            <w:t>&lt;1g/24h if initial value &lt;3h/24h</w:t>
          </w:r>
          <w:r w:rsidR="00275DDD" w:rsidRPr="00275DDD">
            <w:rPr>
              <w:rFonts w:ascii="Calibri" w:eastAsia="Calibri" w:hAnsi="Calibri" w:cs="Times New Roman"/>
              <w:color w:val="auto"/>
              <w:szCs w:val="22"/>
              <w:highlight w:val="yellow"/>
              <w:lang w:val="en-US" w:eastAsia="en-US"/>
            </w:rPr>
            <w:t xml:space="preserve"> (</w:t>
          </w:r>
          <w:r w:rsidR="000C786B" w:rsidRPr="00275DDD">
            <w:rPr>
              <w:rFonts w:ascii="Calibri" w:eastAsia="Calibri" w:hAnsi="Calibri" w:cs="Times New Roman"/>
              <w:color w:val="auto"/>
              <w:szCs w:val="22"/>
              <w:highlight w:val="yellow"/>
              <w:lang w:val="en-US" w:eastAsia="en-US"/>
            </w:rPr>
            <w:t>or reduction to &lt;3g/24h if initial value &gt;3g/24h</w:t>
          </w:r>
          <w:r w:rsidR="00275DDD" w:rsidRPr="00275DDD">
            <w:rPr>
              <w:rFonts w:ascii="Calibri" w:eastAsia="Calibri" w:hAnsi="Calibri" w:cs="Times New Roman"/>
              <w:color w:val="auto"/>
              <w:szCs w:val="22"/>
              <w:highlight w:val="yellow"/>
              <w:lang w:val="en-US" w:eastAsia="en-US"/>
            </w:rPr>
            <w:t xml:space="preserve">), inactive urinary sediment and a </w:t>
          </w:r>
          <w:r w:rsidR="00275DDD" w:rsidRPr="00275DDD">
            <w:rPr>
              <w:rFonts w:ascii="Calibri" w:eastAsia="Calibri" w:hAnsi="Calibri" w:cs="Times New Roman"/>
              <w:color w:val="auto"/>
              <w:szCs w:val="22"/>
              <w:highlight w:val="yellow"/>
              <w:lang w:val="en-US" w:eastAsia="en-US"/>
            </w:rPr>
            <w:t>serum creatinine level of &lt;115% of baseline</w:t>
          </w:r>
          <w:r w:rsidR="000C786B" w:rsidRPr="00275DDD">
            <w:rPr>
              <w:rFonts w:ascii="Calibri" w:eastAsia="Calibri" w:hAnsi="Calibri" w:cs="Times New Roman"/>
              <w:color w:val="auto"/>
              <w:szCs w:val="22"/>
              <w:highlight w:val="yellow"/>
              <w:lang w:val="en-US" w:eastAsia="en-US"/>
            </w:rPr>
            <w:t xml:space="preserve">. </w:t>
          </w:r>
          <w:r w:rsidR="00232F4A" w:rsidRPr="00275DDD">
            <w:rPr>
              <w:highlight w:val="yellow"/>
              <w:lang w:val="en-US"/>
            </w:rPr>
            <w:t>‬</w:t>
          </w:r>
          <w:r w:rsidR="00232F4A" w:rsidRPr="00275DDD">
            <w:rPr>
              <w:highlight w:val="yellow"/>
              <w:lang w:val="en-US"/>
            </w:rPr>
            <w:t>‬</w:t>
          </w:r>
          <w:r w:rsidR="009D0F40" w:rsidRPr="00275DDD">
            <w:rPr>
              <w:highlight w:val="yellow"/>
              <w:lang w:val="en-US"/>
            </w:rPr>
            <w:t>‬</w:t>
          </w:r>
          <w:r w:rsidR="009D0F40" w:rsidRPr="00275DDD">
            <w:rPr>
              <w:highlight w:val="yellow"/>
              <w:lang w:val="en-US"/>
            </w:rPr>
            <w:t>‬</w:t>
          </w:r>
          <w:r w:rsidR="0024083E" w:rsidRPr="00275DDD">
            <w:rPr>
              <w:highlight w:val="yellow"/>
              <w:lang w:val="en-US"/>
            </w:rPr>
            <w:t>‬</w:t>
          </w:r>
          <w:r w:rsidR="0024083E" w:rsidRPr="00275DDD">
            <w:rPr>
              <w:highlight w:val="yellow"/>
              <w:lang w:val="en-US"/>
            </w:rPr>
            <w:t>‬</w:t>
          </w:r>
          <w:r w:rsidR="00123B1F" w:rsidRPr="00275DDD">
            <w:rPr>
              <w:highlight w:val="yellow"/>
              <w:lang w:val="en-US"/>
            </w:rPr>
            <w:t>‬</w:t>
          </w:r>
          <w:r w:rsidR="00123B1F" w:rsidRPr="00275DDD">
            <w:rPr>
              <w:highlight w:val="yellow"/>
              <w:lang w:val="en-US"/>
            </w:rPr>
            <w:t>‬</w:t>
          </w:r>
          <w:r w:rsidR="000C403A" w:rsidRPr="00275DDD">
            <w:rPr>
              <w:highlight w:val="yellow"/>
              <w:lang w:val="en-US"/>
            </w:rPr>
            <w:t>‬</w:t>
          </w:r>
          <w:r w:rsidR="000C403A" w:rsidRPr="00275DDD">
            <w:rPr>
              <w:highlight w:val="yellow"/>
              <w:lang w:val="en-US"/>
            </w:rPr>
            <w:t>‬</w:t>
          </w:r>
          <w:r w:rsidR="00A87AE2" w:rsidRPr="00275DDD">
            <w:rPr>
              <w:highlight w:val="yellow"/>
              <w:lang w:val="en-US"/>
            </w:rPr>
            <w:t>‬</w:t>
          </w:r>
          <w:r w:rsidR="00A87AE2" w:rsidRPr="00275DDD">
            <w:rPr>
              <w:highlight w:val="yellow"/>
              <w:lang w:val="en-US"/>
            </w:rPr>
            <w:t>‬</w:t>
          </w:r>
          <w:bookmarkEnd w:id="0"/>
        </w:dir>
      </w:dir>
    </w:p>
    <w:p w:rsidR="00FD1AD1" w:rsidRPr="00F93CB1" w:rsidRDefault="00784F7A"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All renal biopsies were performed after obtaining the patient's written consent. </w:t>
      </w:r>
      <w:r w:rsidR="00FD1AD1" w:rsidRPr="00F93CB1">
        <w:rPr>
          <w:rFonts w:ascii="Calibri" w:eastAsia="Calibri" w:hAnsi="Calibri" w:cs="Times New Roman"/>
          <w:color w:val="auto"/>
          <w:szCs w:val="22"/>
          <w:lang w:val="en-US" w:eastAsia="en-US"/>
        </w:rPr>
        <w:t xml:space="preserve">Histologic optic examination was performed with hematoxylin and eosin, periodic acid–Schiff, Jones’ silver and Masson’s trichrome stains; immunofluorescence study included studies with antibodies against IgG, IgA, IgM, C3, </w:t>
      </w:r>
      <w:r w:rsidR="00945D39" w:rsidRPr="00F93CB1">
        <w:rPr>
          <w:rFonts w:ascii="Calibri" w:eastAsia="Calibri" w:hAnsi="Calibri" w:cs="Times New Roman"/>
          <w:color w:val="auto"/>
          <w:szCs w:val="22"/>
          <w:lang w:val="en-US" w:eastAsia="en-US"/>
        </w:rPr>
        <w:t xml:space="preserve">C4, </w:t>
      </w:r>
      <w:r w:rsidR="00FD1AD1" w:rsidRPr="00F93CB1">
        <w:rPr>
          <w:rFonts w:ascii="Calibri" w:eastAsia="Calibri" w:hAnsi="Calibri" w:cs="Times New Roman"/>
          <w:color w:val="auto"/>
          <w:szCs w:val="22"/>
          <w:lang w:val="en-US" w:eastAsia="en-US"/>
        </w:rPr>
        <w:t>C1q and fibrinogen.</w:t>
      </w:r>
    </w:p>
    <w:p w:rsidR="00542AE7" w:rsidRDefault="000C786B"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The studied predictors were the </w:t>
      </w:r>
      <w:r w:rsidR="00024D17" w:rsidRPr="00F93CB1">
        <w:rPr>
          <w:rFonts w:ascii="Calibri" w:eastAsia="Calibri" w:hAnsi="Calibri" w:cs="Times New Roman"/>
          <w:color w:val="auto"/>
          <w:szCs w:val="22"/>
          <w:lang w:val="en-US" w:eastAsia="en-US"/>
        </w:rPr>
        <w:t>ISN</w:t>
      </w:r>
      <w:r w:rsidRPr="00F93CB1">
        <w:rPr>
          <w:rFonts w:ascii="Calibri" w:eastAsia="Calibri" w:hAnsi="Calibri" w:cs="Times New Roman"/>
          <w:color w:val="auto"/>
          <w:szCs w:val="22"/>
          <w:lang w:val="en-US" w:eastAsia="en-US"/>
        </w:rPr>
        <w:t>/RPS LN classification and the morphological indexes described by Austin (Activity and Chronicity)</w:t>
      </w:r>
      <w:r w:rsidR="00BD4B44" w:rsidRPr="00F93CB1">
        <w:rPr>
          <w:rFonts w:ascii="Calibri" w:eastAsia="Calibri" w:hAnsi="Calibri" w:cs="Times New Roman"/>
          <w:color w:val="auto"/>
          <w:szCs w:val="22"/>
          <w:lang w:val="en-US" w:eastAsia="en-US"/>
        </w:rPr>
        <w:t xml:space="preserve"> </w:t>
      </w:r>
      <w:r w:rsidR="00BD4B44" w:rsidRPr="00F93CB1">
        <w:rPr>
          <w:rFonts w:ascii="Calibri" w:eastAsia="Calibri" w:hAnsi="Calibri" w:cs="Times New Roman"/>
          <w:color w:val="auto"/>
          <w:szCs w:val="22"/>
          <w:lang w:val="en-US" w:eastAsia="en-US"/>
        </w:rPr>
        <w:fldChar w:fldCharType="begin" w:fldLock="1"/>
      </w:r>
      <w:r w:rsidR="009E0B57" w:rsidRPr="00F93CB1">
        <w:rPr>
          <w:rFonts w:ascii="Calibri" w:eastAsia="Calibri" w:hAnsi="Calibri" w:cs="Times New Roman"/>
          <w:color w:val="auto"/>
          <w:szCs w:val="22"/>
          <w:lang w:val="en-US" w:eastAsia="en-US"/>
        </w:rPr>
        <w:instrText>ADDIN CSL_CITATION {"citationItems":[{"id":"ITEM-1","itemData":{"DOI":"10.1016/0002-9343(83)90338-8","ISBN":"0002-9343 (Print) 0002-9343 (Linking)","ISSN":"00029343","PMID":"6351607","abstract":"The predictive value of laboratory results and renal histologic data was examined in 102 patients upon entry into prospective, randomized, therapeutic trials of lupus nephritis. Three clinical features at the time of entry into the study were individually associated with increased rates of renal failure: age less than 24 years, male gender, and an elevated serum creatinine level. Subjects with diffuse proliferative or membranoproliferative glomerulonephritis were at a modest but significantly increased risk for the development of end-stage renal disease compared with patients with other classes of lupus nephritis. Semiquantitative scores of histologic features (specified by activity and chronicity indexes) identified subgroups of patients with comparatively high renal failure rates. To address the controversial issue of whether renal histologic data significantly improve the outcome predictions in patients with lupus nephritis, multivariate survival models were generated, permitting simultaneous consideration of multiple prognostic factors. Outcome predictions based on the strongest clinical predictors (age, sex, and serum creatinine level) were significantly enhanced by the addition of activity and chronicity indexes. Only age and chronicity index contributed significantly to the five-variable model and together constituted a two-variable model, the predictions of which were similar to observed outcomes. In the context of the highly significant prognostic indicators (age and chronicity index), immunosuppressive agents appeared to provide a slight therapeutic advantage over oral corticosteroids alone. © 1983.","author":[{"dropping-particle":"","family":"Austin","given":"Howard A.","non-dropping-particle":"","parse-names":false,"suffix":""},{"dropping-particle":"","family":"Muenz","given":"Larry R.","non-dropping-particle":"","parse-names":false,"suffix":""},{"dropping-particle":"","family":"Joyce","given":"Kathleen M.","non-dropping-particle":"","parse-names":false,"suffix":""},{"dropping-particle":"","family":"Antonovych","given":"Tatiana A.","non-dropping-particle":"","parse-names":false,"suffix":""},{"dropping-particle":"","family":"Kullick","given":"Margarita E.","non-dropping-particle":"","parse-names":false,"suffix":""},{"dropping-particle":"","family":"Klippel","given":"John H.","non-dropping-particle":"","parse-names":false,"suffix":""},{"dropping-particle":"","family":"Decker","given":"John L.","non-dropping-particle":"","parse-names":false,"suffix":""},{"dropping-particle":"","family":"Balow","given":"James E.","non-dropping-particle":"","parse-names":false,"suffix":""}],"container-title":"The American Journal of Medicine","id":"ITEM-1","issue":"3","issued":{"date-parts":[["1983"]]},"page":"382-391","title":"Prognostic factors in lupus nephritis. Contribution of renal histologic data","type":"article-journal","volume":"75"},"uris":["http://www.mendeley.com/documents/?uuid=a8d65d6d-c00a-44e8-b5b0-a9221eba06c2"]}],"mendeley":{"formattedCitation":"(6)","plainTextFormattedCitation":"(6)","previouslyFormattedCitation":"(6)"},"properties":{"noteIndex":0},"schema":"https://github.com/citation-style-language/schema/raw/master/csl-citation.json"}</w:instrText>
      </w:r>
      <w:r w:rsidR="00BD4B44" w:rsidRPr="00F93CB1">
        <w:rPr>
          <w:rFonts w:ascii="Calibri" w:eastAsia="Calibri" w:hAnsi="Calibri" w:cs="Times New Roman"/>
          <w:color w:val="auto"/>
          <w:szCs w:val="22"/>
          <w:lang w:val="en-US" w:eastAsia="en-US"/>
        </w:rPr>
        <w:fldChar w:fldCharType="separate"/>
      </w:r>
      <w:r w:rsidR="009E0B57" w:rsidRPr="00F93CB1">
        <w:rPr>
          <w:rFonts w:ascii="Calibri" w:eastAsia="Calibri" w:hAnsi="Calibri" w:cs="Times New Roman"/>
          <w:noProof/>
          <w:color w:val="auto"/>
          <w:szCs w:val="22"/>
          <w:lang w:val="en-US" w:eastAsia="en-US"/>
        </w:rPr>
        <w:t>(6)</w:t>
      </w:r>
      <w:r w:rsidR="00BD4B44" w:rsidRPr="00F93CB1">
        <w:rPr>
          <w:rFonts w:ascii="Calibri" w:eastAsia="Calibri" w:hAnsi="Calibri" w:cs="Times New Roman"/>
          <w:color w:val="auto"/>
          <w:szCs w:val="22"/>
          <w:lang w:val="en-US" w:eastAsia="en-US"/>
        </w:rPr>
        <w:fldChar w:fldCharType="end"/>
      </w:r>
      <w:r w:rsidRPr="00F93CB1">
        <w:rPr>
          <w:rFonts w:ascii="Calibri" w:eastAsia="Calibri" w:hAnsi="Calibri" w:cs="Times New Roman"/>
          <w:color w:val="auto"/>
          <w:szCs w:val="22"/>
          <w:lang w:val="en-US" w:eastAsia="en-US"/>
        </w:rPr>
        <w:t xml:space="preserve"> and Hill</w:t>
      </w:r>
      <w:r w:rsidR="0026574C" w:rsidRPr="00F93CB1">
        <w:rPr>
          <w:rFonts w:ascii="Calibri" w:eastAsia="Calibri" w:hAnsi="Calibri" w:cs="Times New Roman"/>
          <w:color w:val="auto"/>
          <w:szCs w:val="22"/>
          <w:lang w:val="en-US" w:eastAsia="en-US"/>
        </w:rPr>
        <w:t xml:space="preserve"> </w:t>
      </w:r>
      <w:r w:rsidR="00BD4B44" w:rsidRPr="00F93CB1">
        <w:rPr>
          <w:rFonts w:ascii="Calibri" w:eastAsia="Calibri" w:hAnsi="Calibri" w:cs="Times New Roman"/>
          <w:color w:val="auto"/>
          <w:szCs w:val="22"/>
          <w:lang w:val="en-US" w:eastAsia="en-US"/>
        </w:rPr>
        <w:fldChar w:fldCharType="begin" w:fldLock="1"/>
      </w:r>
      <w:r w:rsidR="009E0B57" w:rsidRPr="00F93CB1">
        <w:rPr>
          <w:rFonts w:ascii="Calibri" w:eastAsia="Calibri" w:hAnsi="Calibri" w:cs="Times New Roman"/>
          <w:color w:val="auto"/>
          <w:szCs w:val="22"/>
          <w:lang w:val="en-US" w:eastAsia="en-US"/>
        </w:rPr>
        <w:instrText>ADDIN CSL_CITATION {"citationItems":[{"id":"ITEM-1","itemData":{"DOI":"10.1046/j.1523-1755.2000.00272.x","ISBN":"0085-2538","ISSN":"00852538","PMID":"10972679","abstract":"BACKGROUND: Various morphologic indices for the evaluation of renal biopsies in lupus nephritis have been developed, of which the most successful have been the NIH Activity Index (AI) and Chronicity Index (CI). We wished to develop a biopsy index from standard light and immunofluorescence (IF) material that would correlate yet more closely with clinical and outcome parameters than the current indices, and be applicable to both treated and untreated cases. METHODS: A cohort of 71 patients with lupus nephritis who had initial renal biopsies (Bx1) with systematic second biopsies (Bx2) at six months after induction therapy was studied, with a large number of light microscopic and IF variables evaluated. These were examined statistically to choose the combinations of variables with the highest overall correlations with clinical and outcome parameters. RESULTS: The adopted biopsy index comprised four elements: Glomerular Activity Index (GAI), a modification of the standard AI with the addition of glomerular monocytes and elimination of interstitial inflammation; Tubulointerstitial Activity Index (TIAI), evaluating several tubular epithelial and inflammatory components, including interstitial inflammation, but excluding tubular atrophy; Chronic Lesions Index, a modification of the standard CI, with the addition of glomerular scars; IF Index (IFI), a semiquantitative index of IF staining for six standard antisera for glomerular capillary, mesangial, tubulointerstitial, and vascular elements. The Biopsy Index showed a statistically higher correlation with clinical and outcome parameters than the NIH AI (P = 0.0170), the NIH CI (P = 0.0009), or their combination (P = 0.0444). At Bx1, comparisons between correlation coefficients for the appropriate AI or CI value and for the Biopsy Index, were: anti-DNA antibodies (0.30 vs. 045), serum creatinine (SCr; 0.33 vs. 0.48), proteinuria (0.22 vs. 0.36), hemoglobin (-0.21 vs. -0.45), and final renal function (0.22 vs. 0.40). Spearman rank correlations showed similar superiority for outcome parameters: doubling of SCr (0.1810 vs. 0.3018) and end-stage renal disease (0.0529 vs. 0.1925). The same improvement of correlations was seen at Bx2 for most parameters, particularly doubling of SCr (0.2716 vs. 0.4753). CONCLUSIONS: The Biopsy Index and/or its components show better correlations with clinical and outcome parameters than the standard AI and CI and other similar indices.","author":[{"dropping-particle":"","family":"Hill","given":"G. S.","non-dropping-particle":"","parse-names":false,"suffix":""},{"dropping-particle":"","family":"Delahousse","given":"M.","non-dropping-particle":"","parse-names":false,"suffix":""},{"dropping-particle":"","family":"Nochy","given":"D.","non-dropping-particle":"","parse-names":false,"suffix":""},{"dropping-particle":"","family":"Tomkiewicz","given":"E.","non-dropping-particle":"","parse-names":false,"suffix":""},{"dropping-particle":"","family":"Remy","given":"P.","non-dropping-particle":"","parse-names":false,"suffix":""},{"dropping-particle":"","family":"Mignon","given":"F.","non-dropping-particle":"","parse-names":false,"suffix":""},{"dropping-particle":"","family":"Mery","given":"J. P.","non-dropping-particle":"","parse-names":false,"suffix":""}],"container-title":"Kidney International","id":"ITEM-1","issue":"3","issued":{"date-parts":[["2000"]]},"page":"1160-1173","title":"A new morphologic index for the evaluation of renal biopsies in lupus nephritis","type":"article-journal","volume":"58"},"uris":["http://www.mendeley.com/documents/?uuid=2431aace-344b-4235-8cf6-41c29aa65365"]}],"mendeley":{"formattedCitation":"(7)","plainTextFormattedCitation":"(7)","previouslyFormattedCitation":"(7)"},"properties":{"noteIndex":0},"schema":"https://github.com/citation-style-language/schema/raw/master/csl-citation.json"}</w:instrText>
      </w:r>
      <w:r w:rsidR="00BD4B44" w:rsidRPr="00F93CB1">
        <w:rPr>
          <w:rFonts w:ascii="Calibri" w:eastAsia="Calibri" w:hAnsi="Calibri" w:cs="Times New Roman"/>
          <w:color w:val="auto"/>
          <w:szCs w:val="22"/>
          <w:lang w:val="en-US" w:eastAsia="en-US"/>
        </w:rPr>
        <w:fldChar w:fldCharType="separate"/>
      </w:r>
      <w:r w:rsidR="009E0B57" w:rsidRPr="00F93CB1">
        <w:rPr>
          <w:rFonts w:ascii="Calibri" w:eastAsia="Calibri" w:hAnsi="Calibri" w:cs="Times New Roman"/>
          <w:noProof/>
          <w:color w:val="auto"/>
          <w:szCs w:val="22"/>
          <w:lang w:val="en-US" w:eastAsia="en-US"/>
        </w:rPr>
        <w:t>(7)</w:t>
      </w:r>
      <w:r w:rsidR="00BD4B44" w:rsidRPr="00F93CB1">
        <w:rPr>
          <w:rFonts w:ascii="Calibri" w:eastAsia="Calibri" w:hAnsi="Calibri" w:cs="Times New Roman"/>
          <w:color w:val="auto"/>
          <w:szCs w:val="22"/>
          <w:lang w:val="en-US" w:eastAsia="en-US"/>
        </w:rPr>
        <w:fldChar w:fldCharType="end"/>
      </w:r>
      <w:r w:rsidRPr="00F93CB1">
        <w:rPr>
          <w:rFonts w:ascii="Calibri" w:eastAsia="Calibri" w:hAnsi="Calibri" w:cs="Times New Roman"/>
          <w:color w:val="auto"/>
          <w:szCs w:val="22"/>
          <w:lang w:val="en-US" w:eastAsia="en-US"/>
        </w:rPr>
        <w:t xml:space="preserve">, obtained after histomorphological review of renal biopsies. </w:t>
      </w:r>
      <w:r w:rsidR="007C60E4" w:rsidRPr="00F93CB1">
        <w:rPr>
          <w:rFonts w:ascii="Calibri" w:eastAsia="Calibri" w:hAnsi="Calibri" w:cs="Times New Roman"/>
          <w:color w:val="auto"/>
          <w:szCs w:val="22"/>
          <w:lang w:val="en-US" w:eastAsia="en-US"/>
        </w:rPr>
        <w:t xml:space="preserve">Both scores </w:t>
      </w:r>
      <w:r w:rsidR="005F1DC6" w:rsidRPr="00F93CB1">
        <w:rPr>
          <w:rFonts w:ascii="Calibri" w:eastAsia="Calibri" w:hAnsi="Calibri" w:cs="Times New Roman"/>
          <w:color w:val="auto"/>
          <w:szCs w:val="22"/>
          <w:lang w:val="en-US" w:eastAsia="en-US"/>
        </w:rPr>
        <w:t xml:space="preserve">describe findings in a </w:t>
      </w:r>
      <w:r w:rsidR="007C60E4" w:rsidRPr="00F93CB1">
        <w:rPr>
          <w:rFonts w:ascii="Calibri" w:eastAsia="Calibri" w:hAnsi="Calibri" w:cs="Times New Roman"/>
          <w:color w:val="auto"/>
          <w:szCs w:val="22"/>
          <w:lang w:val="en-US" w:eastAsia="en-US"/>
        </w:rPr>
        <w:t xml:space="preserve">quantitative </w:t>
      </w:r>
      <w:r w:rsidR="005F1DC6" w:rsidRPr="00F93CB1">
        <w:rPr>
          <w:rFonts w:ascii="Calibri" w:eastAsia="Calibri" w:hAnsi="Calibri" w:cs="Times New Roman"/>
          <w:color w:val="auto"/>
          <w:szCs w:val="22"/>
          <w:lang w:val="en-US" w:eastAsia="en-US"/>
        </w:rPr>
        <w:t xml:space="preserve">fashion </w:t>
      </w:r>
      <w:r w:rsidR="007C60E4" w:rsidRPr="00F93CB1">
        <w:rPr>
          <w:rFonts w:ascii="Calibri" w:eastAsia="Calibri" w:hAnsi="Calibri" w:cs="Times New Roman"/>
          <w:color w:val="auto"/>
          <w:szCs w:val="22"/>
          <w:lang w:val="en-US" w:eastAsia="en-US"/>
        </w:rPr>
        <w:t>(zero to 3+)</w:t>
      </w:r>
      <w:r w:rsidR="007E45F7" w:rsidRPr="00F93CB1">
        <w:rPr>
          <w:rFonts w:ascii="Calibri" w:eastAsia="Calibri" w:hAnsi="Calibri" w:cs="Times New Roman"/>
          <w:color w:val="auto"/>
          <w:szCs w:val="22"/>
          <w:lang w:val="en-US" w:eastAsia="en-US"/>
        </w:rPr>
        <w:t>. Austin’s Activity score measures active LN findings of glomerular proliferation, leucocyte exudation</w:t>
      </w:r>
      <w:r w:rsidR="00C31DE7">
        <w:rPr>
          <w:rFonts w:ascii="Calibri" w:eastAsia="Calibri" w:hAnsi="Calibri" w:cs="Times New Roman"/>
          <w:color w:val="auto"/>
          <w:szCs w:val="22"/>
          <w:lang w:val="en-US" w:eastAsia="en-US"/>
        </w:rPr>
        <w:t>/</w:t>
      </w:r>
      <w:r w:rsidR="007E45F7" w:rsidRPr="00F93CB1">
        <w:rPr>
          <w:rFonts w:ascii="Calibri" w:eastAsia="Calibri" w:hAnsi="Calibri" w:cs="Times New Roman"/>
          <w:color w:val="auto"/>
          <w:szCs w:val="22"/>
          <w:lang w:val="en-US" w:eastAsia="en-US"/>
        </w:rPr>
        <w:t>karyorrhexis</w:t>
      </w:r>
      <w:r w:rsidR="00C31DE7">
        <w:rPr>
          <w:rFonts w:ascii="Calibri" w:eastAsia="Calibri" w:hAnsi="Calibri" w:cs="Times New Roman"/>
          <w:color w:val="auto"/>
          <w:szCs w:val="22"/>
          <w:lang w:val="en-US" w:eastAsia="en-US"/>
        </w:rPr>
        <w:t xml:space="preserve">, </w:t>
      </w:r>
      <w:r w:rsidR="007E45F7" w:rsidRPr="00F93CB1">
        <w:rPr>
          <w:rFonts w:ascii="Calibri" w:eastAsia="Calibri" w:hAnsi="Calibri" w:cs="Times New Roman"/>
          <w:color w:val="auto"/>
          <w:szCs w:val="22"/>
          <w:lang w:val="en-US" w:eastAsia="en-US"/>
        </w:rPr>
        <w:t xml:space="preserve">fibrinoid necrosis, cellular crescents, hyaline deposits and interstitial inflammation; Austin’s Chronicity score </w:t>
      </w:r>
      <w:r w:rsidR="00F679EF" w:rsidRPr="00F93CB1">
        <w:rPr>
          <w:rFonts w:ascii="Calibri" w:eastAsia="Calibri" w:hAnsi="Calibri" w:cs="Times New Roman"/>
          <w:color w:val="auto"/>
          <w:szCs w:val="22"/>
          <w:lang w:val="en-US" w:eastAsia="en-US"/>
        </w:rPr>
        <w:t>contains</w:t>
      </w:r>
      <w:r w:rsidR="007E45F7" w:rsidRPr="00F93CB1">
        <w:rPr>
          <w:rFonts w:ascii="Calibri" w:eastAsia="Calibri" w:hAnsi="Calibri" w:cs="Times New Roman"/>
          <w:color w:val="auto"/>
          <w:szCs w:val="22"/>
          <w:lang w:val="en-US" w:eastAsia="en-US"/>
        </w:rPr>
        <w:t xml:space="preserve"> chronic irreversible LN </w:t>
      </w:r>
      <w:r w:rsidR="00F679EF" w:rsidRPr="00F93CB1">
        <w:rPr>
          <w:rFonts w:ascii="Calibri" w:eastAsia="Calibri" w:hAnsi="Calibri" w:cs="Times New Roman"/>
          <w:color w:val="auto"/>
          <w:szCs w:val="22"/>
          <w:lang w:val="en-US" w:eastAsia="en-US"/>
        </w:rPr>
        <w:t xml:space="preserve">findings: </w:t>
      </w:r>
      <w:r w:rsidR="007E45F7" w:rsidRPr="00F93CB1">
        <w:rPr>
          <w:rFonts w:ascii="Calibri" w:eastAsia="Calibri" w:hAnsi="Calibri" w:cs="Times New Roman"/>
          <w:color w:val="auto"/>
          <w:szCs w:val="22"/>
          <w:lang w:val="en-US" w:eastAsia="en-US"/>
        </w:rPr>
        <w:t>glomerular sclerosis, fibrous crescents, tubular atr</w:t>
      </w:r>
      <w:r w:rsidR="005F1DC6" w:rsidRPr="00F93CB1">
        <w:rPr>
          <w:rFonts w:ascii="Calibri" w:eastAsia="Calibri" w:hAnsi="Calibri" w:cs="Times New Roman"/>
          <w:color w:val="auto"/>
          <w:szCs w:val="22"/>
          <w:lang w:val="en-US" w:eastAsia="en-US"/>
        </w:rPr>
        <w:t>ophy and interstitial fibrosis.</w:t>
      </w:r>
    </w:p>
    <w:p w:rsidR="005F1DC6" w:rsidRPr="00F93CB1" w:rsidRDefault="007E45F7"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Hill’s biopsy index slightly adapted Austin’s Activity and Chronicity </w:t>
      </w:r>
      <w:r w:rsidR="00574B6A" w:rsidRPr="00F93CB1">
        <w:rPr>
          <w:rFonts w:ascii="Calibri" w:eastAsia="Calibri" w:hAnsi="Calibri" w:cs="Times New Roman"/>
          <w:color w:val="auto"/>
          <w:szCs w:val="22"/>
          <w:lang w:val="en-US" w:eastAsia="en-US"/>
        </w:rPr>
        <w:t>scores and</w:t>
      </w:r>
      <w:r w:rsidR="005F1DC6" w:rsidRPr="00F93CB1">
        <w:rPr>
          <w:rFonts w:ascii="Calibri" w:eastAsia="Calibri" w:hAnsi="Calibri" w:cs="Times New Roman"/>
          <w:color w:val="auto"/>
          <w:szCs w:val="22"/>
          <w:lang w:val="en-US" w:eastAsia="en-US"/>
        </w:rPr>
        <w:t xml:space="preserve"> added </w:t>
      </w:r>
      <w:r w:rsidR="00F679EF" w:rsidRPr="00F93CB1">
        <w:rPr>
          <w:rFonts w:ascii="Calibri" w:eastAsia="Calibri" w:hAnsi="Calibri" w:cs="Times New Roman"/>
          <w:color w:val="auto"/>
          <w:szCs w:val="22"/>
          <w:lang w:val="en-US" w:eastAsia="en-US"/>
        </w:rPr>
        <w:t>histological signs of tubulointerstitial activity</w:t>
      </w:r>
      <w:r w:rsidR="00560DC0" w:rsidRPr="00F93CB1">
        <w:rPr>
          <w:rFonts w:ascii="Calibri" w:eastAsia="Calibri" w:hAnsi="Calibri" w:cs="Times New Roman"/>
          <w:color w:val="auto"/>
          <w:szCs w:val="22"/>
          <w:lang w:val="en-US" w:eastAsia="en-US"/>
        </w:rPr>
        <w:t xml:space="preserve"> (</w:t>
      </w:r>
      <w:r w:rsidR="00EF7A73" w:rsidRPr="00F93CB1">
        <w:rPr>
          <w:rFonts w:ascii="Calibri" w:eastAsia="Calibri" w:hAnsi="Calibri" w:cs="Times New Roman"/>
          <w:color w:val="auto"/>
          <w:szCs w:val="22"/>
          <w:lang w:val="en-US" w:eastAsia="en-US"/>
        </w:rPr>
        <w:t xml:space="preserve">including tubular cell necrosis and flattening and the presence of macrophages or epithelial cells in tubular lumens) </w:t>
      </w:r>
      <w:r w:rsidR="00F679EF" w:rsidRPr="00F93CB1">
        <w:rPr>
          <w:rFonts w:ascii="Calibri" w:eastAsia="Calibri" w:hAnsi="Calibri" w:cs="Times New Roman"/>
          <w:color w:val="auto"/>
          <w:szCs w:val="22"/>
          <w:lang w:val="en-US" w:eastAsia="en-US"/>
        </w:rPr>
        <w:t xml:space="preserve">and immunofluorescence </w:t>
      </w:r>
      <w:r w:rsidR="00EF7A73" w:rsidRPr="00F93CB1">
        <w:rPr>
          <w:rFonts w:ascii="Calibri" w:eastAsia="Calibri" w:hAnsi="Calibri" w:cs="Times New Roman"/>
          <w:color w:val="auto"/>
          <w:szCs w:val="22"/>
          <w:lang w:val="en-US" w:eastAsia="en-US"/>
        </w:rPr>
        <w:t xml:space="preserve">findings </w:t>
      </w:r>
      <w:r w:rsidR="00560DC0" w:rsidRPr="00F93CB1">
        <w:rPr>
          <w:rFonts w:ascii="Calibri" w:eastAsia="Calibri" w:hAnsi="Calibri" w:cs="Times New Roman"/>
          <w:color w:val="auto"/>
          <w:szCs w:val="22"/>
          <w:lang w:val="en-US" w:eastAsia="en-US"/>
        </w:rPr>
        <w:t>(</w:t>
      </w:r>
      <w:r w:rsidR="00EF7A73" w:rsidRPr="00F93CB1">
        <w:rPr>
          <w:rFonts w:ascii="Calibri" w:eastAsia="Calibri" w:hAnsi="Calibri" w:cs="Times New Roman"/>
          <w:color w:val="auto"/>
          <w:szCs w:val="22"/>
          <w:lang w:val="en-US" w:eastAsia="en-US"/>
        </w:rPr>
        <w:t>including glomerular, tubulointerstitial and vascular deposition</w:t>
      </w:r>
      <w:r w:rsidR="00560DC0" w:rsidRPr="00F93CB1">
        <w:rPr>
          <w:rFonts w:ascii="Calibri" w:eastAsia="Calibri" w:hAnsi="Calibri" w:cs="Times New Roman"/>
          <w:color w:val="auto"/>
          <w:szCs w:val="22"/>
          <w:lang w:val="en-US" w:eastAsia="en-US"/>
        </w:rPr>
        <w:t>)</w:t>
      </w:r>
      <w:r w:rsidR="00F679EF" w:rsidRPr="00F93CB1">
        <w:rPr>
          <w:rFonts w:ascii="Calibri" w:eastAsia="Calibri" w:hAnsi="Calibri" w:cs="Times New Roman"/>
          <w:color w:val="auto"/>
          <w:szCs w:val="22"/>
          <w:lang w:val="en-US" w:eastAsia="en-US"/>
        </w:rPr>
        <w:t xml:space="preserve">. Regarding the latter, </w:t>
      </w:r>
      <w:r w:rsidR="00EF7A73" w:rsidRPr="00F93CB1">
        <w:rPr>
          <w:rFonts w:ascii="Calibri" w:eastAsia="Calibri" w:hAnsi="Calibri" w:cs="Times New Roman"/>
          <w:color w:val="auto"/>
          <w:szCs w:val="22"/>
          <w:lang w:val="en-US" w:eastAsia="en-US"/>
        </w:rPr>
        <w:t>in</w:t>
      </w:r>
      <w:r w:rsidR="00F679EF" w:rsidRPr="00F93CB1">
        <w:rPr>
          <w:rFonts w:ascii="Calibri" w:eastAsia="Calibri" w:hAnsi="Calibri" w:cs="Times New Roman"/>
          <w:color w:val="auto"/>
          <w:szCs w:val="22"/>
          <w:lang w:val="en-US" w:eastAsia="en-US"/>
        </w:rPr>
        <w:t xml:space="preserve"> </w:t>
      </w:r>
      <w:r w:rsidR="00EF7A73" w:rsidRPr="00F93CB1">
        <w:rPr>
          <w:rFonts w:ascii="Calibri" w:eastAsia="Calibri" w:hAnsi="Calibri" w:cs="Times New Roman"/>
          <w:color w:val="auto"/>
          <w:szCs w:val="22"/>
          <w:lang w:val="en-US" w:eastAsia="en-US"/>
        </w:rPr>
        <w:t>the</w:t>
      </w:r>
      <w:r w:rsidR="00F679EF" w:rsidRPr="00F93CB1">
        <w:rPr>
          <w:rFonts w:ascii="Calibri" w:eastAsia="Calibri" w:hAnsi="Calibri" w:cs="Times New Roman"/>
          <w:color w:val="auto"/>
          <w:szCs w:val="22"/>
          <w:lang w:val="en-US" w:eastAsia="en-US"/>
        </w:rPr>
        <w:t xml:space="preserve"> review of </w:t>
      </w:r>
      <w:r w:rsidR="00EF7A73" w:rsidRPr="00F93CB1">
        <w:rPr>
          <w:rFonts w:ascii="Calibri" w:eastAsia="Calibri" w:hAnsi="Calibri" w:cs="Times New Roman"/>
          <w:color w:val="auto"/>
          <w:szCs w:val="22"/>
          <w:lang w:val="en-US" w:eastAsia="en-US"/>
        </w:rPr>
        <w:t xml:space="preserve">our </w:t>
      </w:r>
      <w:r w:rsidR="00F679EF" w:rsidRPr="00F93CB1">
        <w:rPr>
          <w:rFonts w:ascii="Calibri" w:eastAsia="Calibri" w:hAnsi="Calibri" w:cs="Times New Roman"/>
          <w:color w:val="auto"/>
          <w:szCs w:val="22"/>
          <w:lang w:val="en-US" w:eastAsia="en-US"/>
        </w:rPr>
        <w:t xml:space="preserve">samples, we did not </w:t>
      </w:r>
      <w:r w:rsidR="00B26654" w:rsidRPr="00F93CB1">
        <w:rPr>
          <w:rFonts w:ascii="Calibri" w:eastAsia="Calibri" w:hAnsi="Calibri" w:cs="Times New Roman"/>
          <w:color w:val="auto"/>
          <w:szCs w:val="22"/>
          <w:lang w:val="en-US" w:eastAsia="en-US"/>
        </w:rPr>
        <w:t>re-</w:t>
      </w:r>
      <w:r w:rsidR="00F679EF" w:rsidRPr="00F93CB1">
        <w:rPr>
          <w:rFonts w:ascii="Calibri" w:eastAsia="Calibri" w:hAnsi="Calibri" w:cs="Times New Roman"/>
          <w:color w:val="auto"/>
          <w:szCs w:val="22"/>
          <w:lang w:val="en-US" w:eastAsia="en-US"/>
        </w:rPr>
        <w:t>perform immunofluorescence, and instead used the findings described in our original report.</w:t>
      </w:r>
      <w:r w:rsidR="00A60AD1">
        <w:rPr>
          <w:rFonts w:ascii="Calibri" w:eastAsia="Calibri" w:hAnsi="Calibri" w:cs="Times New Roman"/>
          <w:color w:val="auto"/>
          <w:szCs w:val="22"/>
          <w:lang w:val="en-US" w:eastAsia="en-US"/>
        </w:rPr>
        <w:t xml:space="preserve"> </w:t>
      </w:r>
      <w:r w:rsidR="00A60AD1" w:rsidRPr="00A60AD1">
        <w:rPr>
          <w:rFonts w:ascii="Calibri" w:eastAsia="Calibri" w:hAnsi="Calibri" w:cs="Times New Roman"/>
          <w:color w:val="auto"/>
          <w:szCs w:val="22"/>
          <w:highlight w:val="yellow"/>
          <w:lang w:val="en-US" w:eastAsia="en-US"/>
        </w:rPr>
        <w:t>Table 2 summarizes both indexes.</w:t>
      </w:r>
    </w:p>
    <w:p w:rsidR="003630E7" w:rsidRPr="00F93CB1" w:rsidRDefault="007C60E4"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Renal function was monitored by serum creatinine and e</w:t>
      </w:r>
      <w:r w:rsidR="00060A57" w:rsidRPr="00F93CB1">
        <w:rPr>
          <w:rFonts w:ascii="Calibri" w:eastAsia="Calibri" w:hAnsi="Calibri" w:cs="Times New Roman"/>
          <w:color w:val="auto"/>
          <w:szCs w:val="22"/>
          <w:lang w:val="en-US" w:eastAsia="en-US"/>
        </w:rPr>
        <w:t>stimated glomerular filtration rate (e</w:t>
      </w:r>
      <w:r w:rsidRPr="00F93CB1">
        <w:rPr>
          <w:rFonts w:ascii="Calibri" w:eastAsia="Calibri" w:hAnsi="Calibri" w:cs="Times New Roman"/>
          <w:color w:val="auto"/>
          <w:szCs w:val="22"/>
          <w:lang w:val="en-US" w:eastAsia="en-US"/>
        </w:rPr>
        <w:t>GFR</w:t>
      </w:r>
      <w:r w:rsidR="00060A57" w:rsidRPr="00F93CB1">
        <w:rPr>
          <w:rFonts w:ascii="Calibri" w:eastAsia="Calibri" w:hAnsi="Calibri" w:cs="Times New Roman"/>
          <w:color w:val="auto"/>
          <w:szCs w:val="22"/>
          <w:lang w:val="en-US" w:eastAsia="en-US"/>
        </w:rPr>
        <w:t>)</w:t>
      </w:r>
      <w:r w:rsidR="00C5358B" w:rsidRPr="00F93CB1">
        <w:rPr>
          <w:rFonts w:ascii="Calibri" w:eastAsia="Calibri" w:hAnsi="Calibri" w:cs="Times New Roman"/>
          <w:color w:val="auto"/>
          <w:szCs w:val="22"/>
          <w:lang w:val="en-US" w:eastAsia="en-US"/>
        </w:rPr>
        <w:t xml:space="preserve"> using the </w:t>
      </w:r>
      <w:r w:rsidR="00B21E67" w:rsidRPr="00F93CB1">
        <w:rPr>
          <w:rFonts w:ascii="Calibri" w:eastAsia="Calibri" w:hAnsi="Calibri" w:cs="Times New Roman"/>
          <w:color w:val="auto"/>
          <w:szCs w:val="22"/>
          <w:lang w:val="en-US" w:eastAsia="en-US"/>
        </w:rPr>
        <w:t>Chronic Kidney Disease Epidemiology Collaboration (</w:t>
      </w:r>
      <w:r w:rsidR="00C5358B" w:rsidRPr="00F93CB1">
        <w:rPr>
          <w:rFonts w:ascii="Calibri" w:eastAsia="Calibri" w:hAnsi="Calibri" w:cs="Times New Roman"/>
          <w:color w:val="auto"/>
          <w:szCs w:val="22"/>
          <w:lang w:val="en-US" w:eastAsia="en-US"/>
        </w:rPr>
        <w:t>CKD-EPI</w:t>
      </w:r>
      <w:r w:rsidR="00B21E67" w:rsidRPr="00F93CB1">
        <w:rPr>
          <w:rFonts w:ascii="Calibri" w:eastAsia="Calibri" w:hAnsi="Calibri" w:cs="Times New Roman"/>
          <w:color w:val="auto"/>
          <w:szCs w:val="22"/>
          <w:lang w:val="en-US" w:eastAsia="en-US"/>
        </w:rPr>
        <w:t>)</w:t>
      </w:r>
      <w:r w:rsidR="00C5358B" w:rsidRPr="00F93CB1">
        <w:rPr>
          <w:rFonts w:ascii="Calibri" w:eastAsia="Calibri" w:hAnsi="Calibri" w:cs="Times New Roman"/>
          <w:color w:val="auto"/>
          <w:szCs w:val="22"/>
          <w:lang w:val="en-US" w:eastAsia="en-US"/>
        </w:rPr>
        <w:t xml:space="preserve"> equation.</w:t>
      </w:r>
    </w:p>
    <w:p w:rsidR="0031755D" w:rsidRPr="00F93CB1" w:rsidRDefault="00F27785"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Data are presented as frequencies for categorical variables; continuous variables are presented as median </w:t>
      </w:r>
      <w:r w:rsidR="00C5358B" w:rsidRPr="00F93CB1">
        <w:rPr>
          <w:rFonts w:ascii="Calibri" w:eastAsia="Calibri" w:hAnsi="Calibri" w:cs="Times New Roman"/>
          <w:color w:val="auto"/>
          <w:szCs w:val="22"/>
          <w:lang w:val="en-US" w:eastAsia="en-US"/>
        </w:rPr>
        <w:t>(</w:t>
      </w:r>
      <w:r w:rsidRPr="00F93CB1">
        <w:rPr>
          <w:rFonts w:ascii="Calibri" w:eastAsia="Calibri" w:hAnsi="Calibri" w:cs="Times New Roman"/>
          <w:color w:val="auto"/>
          <w:szCs w:val="22"/>
          <w:lang w:val="en-US" w:eastAsia="en-US"/>
        </w:rPr>
        <w:t>interquartile range).</w:t>
      </w:r>
    </w:p>
    <w:p w:rsidR="0031755D" w:rsidRPr="00F93CB1" w:rsidRDefault="001B42C6"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One-way ANOVA was used for c</w:t>
      </w:r>
      <w:r w:rsidR="0031755D" w:rsidRPr="00F93CB1">
        <w:rPr>
          <w:rFonts w:ascii="Calibri" w:eastAsia="Calibri" w:hAnsi="Calibri" w:cs="Times New Roman"/>
          <w:color w:val="auto"/>
          <w:szCs w:val="22"/>
          <w:lang w:val="en-US" w:eastAsia="en-US"/>
        </w:rPr>
        <w:t xml:space="preserve">omparisons between the different </w:t>
      </w:r>
      <w:r w:rsidRPr="00F93CB1">
        <w:rPr>
          <w:rFonts w:ascii="Calibri" w:eastAsia="Calibri" w:hAnsi="Calibri" w:cs="Times New Roman"/>
          <w:color w:val="auto"/>
          <w:szCs w:val="22"/>
          <w:lang w:val="en-US" w:eastAsia="en-US"/>
        </w:rPr>
        <w:t xml:space="preserve">indications for kidney biopsy, </w:t>
      </w:r>
      <w:r w:rsidR="0031755D" w:rsidRPr="00F93CB1">
        <w:rPr>
          <w:rFonts w:ascii="Calibri" w:eastAsia="Calibri" w:hAnsi="Calibri" w:cs="Times New Roman"/>
          <w:color w:val="auto"/>
          <w:szCs w:val="22"/>
          <w:lang w:val="en-US" w:eastAsia="en-US"/>
        </w:rPr>
        <w:t>the laboratory data</w:t>
      </w:r>
      <w:r w:rsidRPr="00F93CB1">
        <w:rPr>
          <w:rFonts w:ascii="Calibri" w:eastAsia="Calibri" w:hAnsi="Calibri" w:cs="Times New Roman"/>
          <w:color w:val="auto"/>
          <w:szCs w:val="22"/>
          <w:lang w:val="en-US" w:eastAsia="en-US"/>
        </w:rPr>
        <w:t xml:space="preserve"> and</w:t>
      </w:r>
      <w:r w:rsidR="0031755D" w:rsidRPr="00F93CB1">
        <w:rPr>
          <w:rFonts w:ascii="Calibri" w:eastAsia="Calibri" w:hAnsi="Calibri" w:cs="Times New Roman"/>
          <w:color w:val="auto"/>
          <w:szCs w:val="22"/>
          <w:lang w:val="en-US" w:eastAsia="en-US"/>
        </w:rPr>
        <w:t xml:space="preserve"> the morphologic data </w:t>
      </w:r>
      <w:r w:rsidRPr="00F93CB1">
        <w:rPr>
          <w:rFonts w:ascii="Calibri" w:eastAsia="Calibri" w:hAnsi="Calibri" w:cs="Times New Roman"/>
          <w:color w:val="auto"/>
          <w:szCs w:val="22"/>
          <w:lang w:val="en-US" w:eastAsia="en-US"/>
        </w:rPr>
        <w:t xml:space="preserve">obtained after the application of </w:t>
      </w:r>
      <w:r w:rsidR="0031755D" w:rsidRPr="00F93CB1">
        <w:rPr>
          <w:rFonts w:ascii="Calibri" w:eastAsia="Calibri" w:hAnsi="Calibri" w:cs="Times New Roman"/>
          <w:color w:val="auto"/>
          <w:szCs w:val="22"/>
          <w:lang w:val="en-US" w:eastAsia="en-US"/>
        </w:rPr>
        <w:t xml:space="preserve">the different </w:t>
      </w:r>
      <w:r w:rsidRPr="00F93CB1">
        <w:rPr>
          <w:rFonts w:ascii="Calibri" w:eastAsia="Calibri" w:hAnsi="Calibri" w:cs="Times New Roman"/>
          <w:color w:val="auto"/>
          <w:szCs w:val="22"/>
          <w:lang w:val="en-US" w:eastAsia="en-US"/>
        </w:rPr>
        <w:t xml:space="preserve">morphological </w:t>
      </w:r>
      <w:r w:rsidR="0031755D" w:rsidRPr="00F93CB1">
        <w:rPr>
          <w:rFonts w:ascii="Calibri" w:eastAsia="Calibri" w:hAnsi="Calibri" w:cs="Times New Roman"/>
          <w:color w:val="auto"/>
          <w:szCs w:val="22"/>
          <w:lang w:val="en-US" w:eastAsia="en-US"/>
        </w:rPr>
        <w:t>indexes</w:t>
      </w:r>
      <w:r w:rsidRPr="00F93CB1">
        <w:rPr>
          <w:rFonts w:ascii="Calibri" w:eastAsia="Calibri" w:hAnsi="Calibri" w:cs="Times New Roman"/>
          <w:color w:val="auto"/>
          <w:szCs w:val="22"/>
          <w:lang w:val="en-US" w:eastAsia="en-US"/>
        </w:rPr>
        <w:t>;</w:t>
      </w:r>
      <w:r w:rsidR="0031755D" w:rsidRPr="00F93CB1">
        <w:rPr>
          <w:rFonts w:ascii="Calibri" w:eastAsia="Calibri" w:hAnsi="Calibri" w:cs="Times New Roman"/>
          <w:color w:val="auto"/>
          <w:szCs w:val="22"/>
          <w:lang w:val="en-US" w:eastAsia="en-US"/>
        </w:rPr>
        <w:t xml:space="preserve"> </w:t>
      </w:r>
      <w:r w:rsidRPr="00F93CB1">
        <w:rPr>
          <w:rFonts w:ascii="Calibri" w:eastAsia="Calibri" w:hAnsi="Calibri" w:cs="Times New Roman"/>
          <w:color w:val="auto"/>
          <w:szCs w:val="22"/>
          <w:lang w:val="en-US" w:eastAsia="en-US"/>
        </w:rPr>
        <w:t>chi-square test of independence</w:t>
      </w:r>
      <w:r w:rsidR="007B483A" w:rsidRPr="00F93CB1">
        <w:rPr>
          <w:rFonts w:ascii="Calibri" w:eastAsia="Calibri" w:hAnsi="Calibri" w:cs="Times New Roman"/>
          <w:color w:val="auto"/>
          <w:szCs w:val="22"/>
          <w:lang w:val="en-US" w:eastAsia="en-US"/>
        </w:rPr>
        <w:t>/Fisher’s exact test</w:t>
      </w:r>
      <w:r w:rsidRPr="00F93CB1">
        <w:rPr>
          <w:rFonts w:ascii="Calibri" w:eastAsia="Calibri" w:hAnsi="Calibri" w:cs="Times New Roman"/>
          <w:color w:val="auto"/>
          <w:szCs w:val="22"/>
          <w:lang w:val="en-US" w:eastAsia="en-US"/>
        </w:rPr>
        <w:t xml:space="preserve"> was performed when comparing </w:t>
      </w:r>
      <w:r w:rsidR="0031755D" w:rsidRPr="00F93CB1">
        <w:rPr>
          <w:rFonts w:ascii="Calibri" w:eastAsia="Calibri" w:hAnsi="Calibri" w:cs="Times New Roman"/>
          <w:color w:val="auto"/>
          <w:szCs w:val="22"/>
          <w:lang w:val="en-US" w:eastAsia="en-US"/>
        </w:rPr>
        <w:t xml:space="preserve">the different </w:t>
      </w:r>
      <w:r w:rsidRPr="00F93CB1">
        <w:rPr>
          <w:rFonts w:ascii="Calibri" w:eastAsia="Calibri" w:hAnsi="Calibri" w:cs="Times New Roman"/>
          <w:color w:val="auto"/>
          <w:szCs w:val="22"/>
          <w:lang w:val="en-US" w:eastAsia="en-US"/>
        </w:rPr>
        <w:lastRenderedPageBreak/>
        <w:t>indications</w:t>
      </w:r>
      <w:r w:rsidR="0031755D" w:rsidRPr="00F93CB1">
        <w:rPr>
          <w:rFonts w:ascii="Calibri" w:eastAsia="Calibri" w:hAnsi="Calibri" w:cs="Times New Roman"/>
          <w:color w:val="auto"/>
          <w:szCs w:val="22"/>
          <w:lang w:val="en-US" w:eastAsia="en-US"/>
        </w:rPr>
        <w:t xml:space="preserve"> for kidney biopsy and the </w:t>
      </w:r>
      <w:r w:rsidRPr="00F93CB1">
        <w:rPr>
          <w:rFonts w:ascii="Calibri" w:eastAsia="Calibri" w:hAnsi="Calibri" w:cs="Times New Roman"/>
          <w:color w:val="auto"/>
          <w:szCs w:val="22"/>
          <w:lang w:val="en-US" w:eastAsia="en-US"/>
        </w:rPr>
        <w:t xml:space="preserve">ISN/RPS </w:t>
      </w:r>
      <w:r w:rsidR="0031755D" w:rsidRPr="00F93CB1">
        <w:rPr>
          <w:rFonts w:ascii="Calibri" w:eastAsia="Calibri" w:hAnsi="Calibri" w:cs="Times New Roman"/>
          <w:color w:val="auto"/>
          <w:szCs w:val="22"/>
          <w:lang w:val="en-US" w:eastAsia="en-US"/>
        </w:rPr>
        <w:t>LN classes.</w:t>
      </w:r>
      <w:r w:rsidRPr="00F93CB1">
        <w:rPr>
          <w:rFonts w:ascii="Calibri" w:eastAsia="Calibri" w:hAnsi="Calibri" w:cs="Times New Roman"/>
          <w:color w:val="auto"/>
          <w:szCs w:val="22"/>
          <w:lang w:val="en-US" w:eastAsia="en-US"/>
        </w:rPr>
        <w:t xml:space="preserve"> </w:t>
      </w:r>
      <w:r w:rsidR="00945D39" w:rsidRPr="00F93CB1">
        <w:rPr>
          <w:rFonts w:ascii="Calibri" w:eastAsia="Calibri" w:hAnsi="Calibri" w:cs="Times New Roman"/>
          <w:color w:val="auto"/>
          <w:szCs w:val="22"/>
          <w:lang w:val="en-US" w:eastAsia="en-US"/>
        </w:rPr>
        <w:t xml:space="preserve">Associations between the different LN classes and clinical and laboratory variables were </w:t>
      </w:r>
      <w:r w:rsidR="00F93CB1" w:rsidRPr="00F93CB1">
        <w:rPr>
          <w:rFonts w:ascii="Calibri" w:eastAsia="Calibri" w:hAnsi="Calibri" w:cs="Times New Roman"/>
          <w:color w:val="auto"/>
          <w:szCs w:val="22"/>
          <w:highlight w:val="yellow"/>
          <w:lang w:val="en-US" w:eastAsia="en-US"/>
        </w:rPr>
        <w:t>investigated</w:t>
      </w:r>
      <w:r w:rsidR="00945D39" w:rsidRPr="00F93CB1">
        <w:rPr>
          <w:rFonts w:ascii="Calibri" w:eastAsia="Calibri" w:hAnsi="Calibri" w:cs="Times New Roman"/>
          <w:color w:val="auto"/>
          <w:szCs w:val="22"/>
          <w:lang w:val="en-US" w:eastAsia="en-US"/>
        </w:rPr>
        <w:t xml:space="preserve"> using Fisher’s exact test and Wilcoxon. Associations between Austin and Hill indexes</w:t>
      </w:r>
      <w:r w:rsidR="0031755D" w:rsidRPr="00F93CB1">
        <w:rPr>
          <w:rFonts w:ascii="Calibri" w:eastAsia="Calibri" w:hAnsi="Calibri" w:cs="Times New Roman"/>
          <w:color w:val="auto"/>
          <w:szCs w:val="22"/>
          <w:lang w:val="en-US" w:eastAsia="en-US"/>
        </w:rPr>
        <w:t xml:space="preserve"> </w:t>
      </w:r>
      <w:r w:rsidR="00945D39" w:rsidRPr="00F93CB1">
        <w:rPr>
          <w:rFonts w:ascii="Calibri" w:eastAsia="Calibri" w:hAnsi="Calibri" w:cs="Times New Roman"/>
          <w:color w:val="auto"/>
          <w:szCs w:val="22"/>
          <w:lang w:val="en-US" w:eastAsia="en-US"/>
        </w:rPr>
        <w:t xml:space="preserve">and </w:t>
      </w:r>
      <w:r w:rsidR="00DC0A07" w:rsidRPr="00F93CB1">
        <w:rPr>
          <w:rFonts w:ascii="Calibri" w:eastAsia="Calibri" w:hAnsi="Calibri" w:cs="Times New Roman"/>
          <w:color w:val="auto"/>
          <w:szCs w:val="22"/>
          <w:lang w:val="en-US" w:eastAsia="en-US"/>
        </w:rPr>
        <w:t xml:space="preserve">laboratory variables were </w:t>
      </w:r>
      <w:r w:rsidR="00F93CB1" w:rsidRPr="00F93CB1">
        <w:rPr>
          <w:rFonts w:ascii="Calibri" w:eastAsia="Calibri" w:hAnsi="Calibri" w:cs="Times New Roman"/>
          <w:color w:val="auto"/>
          <w:szCs w:val="22"/>
          <w:highlight w:val="yellow"/>
          <w:lang w:val="en-US" w:eastAsia="en-US"/>
        </w:rPr>
        <w:t>investigated</w:t>
      </w:r>
      <w:r w:rsidR="00DC0A07" w:rsidRPr="00F93CB1">
        <w:rPr>
          <w:rFonts w:ascii="Calibri" w:eastAsia="Calibri" w:hAnsi="Calibri" w:cs="Times New Roman"/>
          <w:color w:val="auto"/>
          <w:szCs w:val="22"/>
          <w:lang w:val="en-US" w:eastAsia="en-US"/>
        </w:rPr>
        <w:t xml:space="preserve"> using Spe</w:t>
      </w:r>
      <w:r w:rsidR="008E590D" w:rsidRPr="00F93CB1">
        <w:rPr>
          <w:rFonts w:ascii="Calibri" w:eastAsia="Calibri" w:hAnsi="Calibri" w:cs="Times New Roman"/>
          <w:color w:val="auto"/>
          <w:szCs w:val="22"/>
          <w:lang w:val="en-US" w:eastAsia="en-US"/>
        </w:rPr>
        <w:t>a</w:t>
      </w:r>
      <w:r w:rsidR="00DC0A07" w:rsidRPr="00F93CB1">
        <w:rPr>
          <w:rFonts w:ascii="Calibri" w:eastAsia="Calibri" w:hAnsi="Calibri" w:cs="Times New Roman"/>
          <w:color w:val="auto"/>
          <w:szCs w:val="22"/>
          <w:lang w:val="en-US" w:eastAsia="en-US"/>
        </w:rPr>
        <w:t>rman test</w:t>
      </w:r>
      <w:r w:rsidR="00574B6A" w:rsidRPr="00F93CB1">
        <w:rPr>
          <w:rFonts w:ascii="Calibri" w:eastAsia="Calibri" w:hAnsi="Calibri" w:cs="Times New Roman"/>
          <w:color w:val="auto"/>
          <w:szCs w:val="22"/>
          <w:lang w:val="en-US" w:eastAsia="en-US"/>
        </w:rPr>
        <w:t>.</w:t>
      </w:r>
    </w:p>
    <w:p w:rsidR="00EF5B51" w:rsidRPr="00F93CB1" w:rsidRDefault="00F93CB1" w:rsidP="00F93CB1">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After this</w:t>
      </w:r>
      <w:r>
        <w:rPr>
          <w:rFonts w:ascii="Calibri" w:eastAsia="Calibri" w:hAnsi="Calibri" w:cs="Times New Roman"/>
          <w:color w:val="auto"/>
          <w:szCs w:val="22"/>
          <w:lang w:val="en-US" w:eastAsia="en-US"/>
        </w:rPr>
        <w:t xml:space="preserve"> </w:t>
      </w:r>
      <w:r w:rsidRPr="00F93CB1">
        <w:rPr>
          <w:rFonts w:ascii="Calibri" w:eastAsia="Calibri" w:hAnsi="Calibri" w:cs="Times New Roman"/>
          <w:color w:val="auto"/>
          <w:szCs w:val="22"/>
          <w:lang w:val="en-US" w:eastAsia="en-US"/>
        </w:rPr>
        <w:t xml:space="preserve">first analysis, we </w:t>
      </w:r>
      <w:r w:rsidRPr="00F93CB1">
        <w:rPr>
          <w:rFonts w:ascii="Calibri" w:eastAsia="Calibri" w:hAnsi="Calibri" w:cs="Times New Roman"/>
          <w:color w:val="auto"/>
          <w:szCs w:val="22"/>
          <w:highlight w:val="yellow"/>
          <w:lang w:val="en-US" w:eastAsia="en-US"/>
        </w:rPr>
        <w:t>fitted</w:t>
      </w:r>
      <w:r w:rsidRPr="00F93CB1">
        <w:rPr>
          <w:rFonts w:ascii="Calibri" w:eastAsia="Calibri" w:hAnsi="Calibri" w:cs="Times New Roman"/>
          <w:color w:val="auto"/>
          <w:szCs w:val="22"/>
          <w:lang w:val="en-US" w:eastAsia="en-US"/>
        </w:rPr>
        <w:t xml:space="preserve"> a model of multivariate analysis using all</w:t>
      </w:r>
      <w:r>
        <w:rPr>
          <w:rFonts w:ascii="Calibri" w:eastAsia="Calibri" w:hAnsi="Calibri" w:cs="Times New Roman"/>
          <w:color w:val="auto"/>
          <w:szCs w:val="22"/>
          <w:lang w:val="en-US" w:eastAsia="en-US"/>
        </w:rPr>
        <w:t xml:space="preserve"> </w:t>
      </w:r>
      <w:r w:rsidRPr="00F93CB1">
        <w:rPr>
          <w:rFonts w:ascii="Calibri" w:eastAsia="Calibri" w:hAnsi="Calibri" w:cs="Times New Roman"/>
          <w:color w:val="auto"/>
          <w:szCs w:val="22"/>
          <w:lang w:val="en-US" w:eastAsia="en-US"/>
        </w:rPr>
        <w:t>subjects and defining the chronicity indexes as our main predictors and eGFR</w:t>
      </w:r>
      <w:r>
        <w:rPr>
          <w:rFonts w:ascii="Calibri" w:eastAsia="Calibri" w:hAnsi="Calibri" w:cs="Times New Roman"/>
          <w:color w:val="auto"/>
          <w:szCs w:val="22"/>
          <w:lang w:val="en-US" w:eastAsia="en-US"/>
        </w:rPr>
        <w:t xml:space="preserve"> </w:t>
      </w:r>
      <w:r w:rsidR="009F1DE2" w:rsidRPr="009F1DE2">
        <w:rPr>
          <w:rFonts w:ascii="Calibri" w:eastAsia="Calibri" w:hAnsi="Calibri" w:cs="Times New Roman"/>
          <w:color w:val="auto"/>
          <w:szCs w:val="22"/>
          <w:highlight w:val="yellow"/>
          <w:lang w:val="en-US" w:eastAsia="en-US"/>
        </w:rPr>
        <w:t>at the end of follow-up</w:t>
      </w:r>
      <w:r w:rsidR="009F1DE2">
        <w:rPr>
          <w:rFonts w:ascii="Calibri" w:eastAsia="Calibri" w:hAnsi="Calibri" w:cs="Times New Roman"/>
          <w:color w:val="auto"/>
          <w:szCs w:val="22"/>
          <w:lang w:val="en-US" w:eastAsia="en-US"/>
        </w:rPr>
        <w:t xml:space="preserve"> </w:t>
      </w:r>
      <w:r w:rsidRPr="00F93CB1">
        <w:rPr>
          <w:rFonts w:ascii="Calibri" w:eastAsia="Calibri" w:hAnsi="Calibri" w:cs="Times New Roman"/>
          <w:color w:val="auto"/>
          <w:szCs w:val="22"/>
          <w:lang w:val="en-US" w:eastAsia="en-US"/>
        </w:rPr>
        <w:t>as our main outcome</w:t>
      </w:r>
      <w:r w:rsidR="009F1DE2">
        <w:rPr>
          <w:rFonts w:ascii="Calibri" w:eastAsia="Calibri" w:hAnsi="Calibri" w:cs="Times New Roman"/>
          <w:color w:val="auto"/>
          <w:szCs w:val="22"/>
          <w:lang w:val="en-US" w:eastAsia="en-US"/>
        </w:rPr>
        <w:t xml:space="preserve">. </w:t>
      </w:r>
      <w:r w:rsidR="009F1DE2" w:rsidRPr="009F1DE2">
        <w:rPr>
          <w:rFonts w:asciiTheme="minorHAnsi" w:eastAsia="Calibri" w:hAnsiTheme="minorHAnsi" w:cstheme="minorHAnsi"/>
          <w:color w:val="auto"/>
          <w:szCs w:val="22"/>
          <w:highlight w:val="yellow"/>
          <w:lang w:val="en-US" w:eastAsia="en-US"/>
        </w:rPr>
        <w:t>A</w:t>
      </w:r>
      <w:r w:rsidR="009F1DE2" w:rsidRPr="009F1DE2">
        <w:rPr>
          <w:rFonts w:asciiTheme="minorHAnsi" w:hAnsiTheme="minorHAnsi" w:cstheme="minorHAnsi"/>
          <w:color w:val="auto"/>
          <w:szCs w:val="22"/>
          <w:highlight w:val="yellow"/>
          <w:shd w:val="clear" w:color="auto" w:fill="FFFFFF"/>
          <w:lang w:val="en-US"/>
        </w:rPr>
        <w:t>ge, gender</w:t>
      </w:r>
      <w:r w:rsidR="009F1DE2" w:rsidRPr="009F1DE2">
        <w:rPr>
          <w:rFonts w:asciiTheme="minorHAnsi" w:hAnsiTheme="minorHAnsi" w:cstheme="minorHAnsi"/>
          <w:color w:val="auto"/>
          <w:szCs w:val="22"/>
          <w:highlight w:val="yellow"/>
          <w:shd w:val="clear" w:color="auto" w:fill="FFFFFF"/>
          <w:lang w:val="en-US"/>
        </w:rPr>
        <w:t xml:space="preserve"> and </w:t>
      </w:r>
      <w:r w:rsidR="009F1DE2" w:rsidRPr="009F1DE2">
        <w:rPr>
          <w:rFonts w:asciiTheme="minorHAnsi" w:hAnsiTheme="minorHAnsi" w:cstheme="minorHAnsi"/>
          <w:color w:val="auto"/>
          <w:szCs w:val="22"/>
          <w:highlight w:val="yellow"/>
          <w:shd w:val="clear" w:color="auto" w:fill="FFFFFF"/>
          <w:lang w:val="en-US"/>
        </w:rPr>
        <w:t>proteinuria were</w:t>
      </w:r>
      <w:r w:rsidR="009F1DE2" w:rsidRPr="009F1DE2">
        <w:rPr>
          <w:rFonts w:asciiTheme="minorHAnsi" w:hAnsiTheme="minorHAnsi" w:cstheme="minorHAnsi"/>
          <w:color w:val="auto"/>
          <w:szCs w:val="22"/>
          <w:highlight w:val="yellow"/>
          <w:shd w:val="clear" w:color="auto" w:fill="FFFFFF"/>
          <w:lang w:val="en-US"/>
        </w:rPr>
        <w:t xml:space="preserve"> </w:t>
      </w:r>
      <w:r w:rsidR="009F1DE2" w:rsidRPr="009F1DE2">
        <w:rPr>
          <w:rFonts w:asciiTheme="minorHAnsi" w:hAnsiTheme="minorHAnsi" w:cstheme="minorHAnsi"/>
          <w:color w:val="auto"/>
          <w:szCs w:val="22"/>
          <w:highlight w:val="yellow"/>
          <w:shd w:val="clear" w:color="auto" w:fill="FFFFFF"/>
          <w:lang w:val="en-US"/>
        </w:rPr>
        <w:t xml:space="preserve">the </w:t>
      </w:r>
      <w:r w:rsidR="009F1DE2" w:rsidRPr="009F1DE2">
        <w:rPr>
          <w:rFonts w:asciiTheme="minorHAnsi" w:hAnsiTheme="minorHAnsi" w:cstheme="minorHAnsi"/>
          <w:color w:val="auto"/>
          <w:szCs w:val="22"/>
          <w:highlight w:val="yellow"/>
          <w:shd w:val="clear" w:color="auto" w:fill="FFFFFF"/>
          <w:lang w:val="en-US"/>
        </w:rPr>
        <w:t xml:space="preserve">variables </w:t>
      </w:r>
      <w:r w:rsidR="009F1DE2" w:rsidRPr="009F1DE2">
        <w:rPr>
          <w:rFonts w:asciiTheme="minorHAnsi" w:hAnsiTheme="minorHAnsi" w:cstheme="minorHAnsi"/>
          <w:color w:val="auto"/>
          <w:szCs w:val="22"/>
          <w:highlight w:val="yellow"/>
          <w:shd w:val="clear" w:color="auto" w:fill="FFFFFF"/>
          <w:lang w:val="en-US"/>
        </w:rPr>
        <w:t xml:space="preserve">used </w:t>
      </w:r>
      <w:r w:rsidR="009F1DE2" w:rsidRPr="009F1DE2">
        <w:rPr>
          <w:rFonts w:asciiTheme="minorHAnsi" w:hAnsiTheme="minorHAnsi" w:cstheme="minorHAnsi"/>
          <w:color w:val="auto"/>
          <w:szCs w:val="22"/>
          <w:highlight w:val="yellow"/>
          <w:shd w:val="clear" w:color="auto" w:fill="FFFFFF"/>
          <w:lang w:val="en-US"/>
        </w:rPr>
        <w:t>as potential confounders</w:t>
      </w:r>
      <w:r w:rsidR="009F1DE2" w:rsidRPr="009F1DE2">
        <w:rPr>
          <w:rFonts w:asciiTheme="minorHAnsi" w:hAnsiTheme="minorHAnsi" w:cstheme="minorHAnsi"/>
          <w:color w:val="auto"/>
          <w:szCs w:val="22"/>
          <w:highlight w:val="yellow"/>
          <w:shd w:val="clear" w:color="auto" w:fill="FFFFFF"/>
          <w:lang w:val="en-US"/>
        </w:rPr>
        <w:t xml:space="preserve"> </w:t>
      </w:r>
      <w:r w:rsidR="009F1DE2" w:rsidRPr="009F1DE2">
        <w:rPr>
          <w:rFonts w:asciiTheme="minorHAnsi" w:hAnsiTheme="minorHAnsi" w:cstheme="minorHAnsi"/>
          <w:color w:val="auto"/>
          <w:szCs w:val="22"/>
          <w:highlight w:val="yellow"/>
          <w:shd w:val="clear" w:color="auto" w:fill="FFFFFF"/>
          <w:lang w:val="en-US"/>
        </w:rPr>
        <w:t>(older patients may have less renal function, women tend to have lower GFR and proteinuria is associated with rapid decline of renal function).</w:t>
      </w:r>
      <w:r w:rsidR="009F1DE2" w:rsidRPr="009F1DE2">
        <w:rPr>
          <w:rFonts w:asciiTheme="minorHAnsi" w:hAnsiTheme="minorHAnsi" w:cstheme="minorHAnsi"/>
          <w:color w:val="auto"/>
          <w:szCs w:val="22"/>
          <w:shd w:val="clear" w:color="auto" w:fill="FFFFFF"/>
          <w:lang w:val="en-US"/>
        </w:rPr>
        <w:t xml:space="preserve"> </w:t>
      </w:r>
      <w:r w:rsidRPr="009F1DE2">
        <w:rPr>
          <w:rFonts w:asciiTheme="minorHAnsi" w:eastAsia="Calibri" w:hAnsiTheme="minorHAnsi" w:cstheme="minorHAnsi"/>
          <w:color w:val="auto"/>
          <w:szCs w:val="22"/>
          <w:lang w:val="en-US" w:eastAsia="en-US"/>
        </w:rPr>
        <w:t>All tests were performed using STATA software version</w:t>
      </w:r>
      <w:r w:rsidRPr="009F1DE2">
        <w:rPr>
          <w:rFonts w:asciiTheme="minorHAnsi" w:eastAsia="Calibri" w:hAnsiTheme="minorHAnsi" w:cstheme="minorHAnsi"/>
          <w:color w:val="auto"/>
          <w:szCs w:val="22"/>
          <w:lang w:val="en-US" w:eastAsia="en-US"/>
        </w:rPr>
        <w:t xml:space="preserve"> </w:t>
      </w:r>
      <w:r w:rsidRPr="009F1DE2">
        <w:rPr>
          <w:rFonts w:asciiTheme="minorHAnsi" w:eastAsia="Calibri" w:hAnsiTheme="minorHAnsi" w:cstheme="minorHAnsi"/>
          <w:color w:val="auto"/>
          <w:szCs w:val="22"/>
          <w:lang w:val="en-US" w:eastAsia="en-US"/>
        </w:rPr>
        <w:t>13, and a p-value</w:t>
      </w:r>
      <w:r w:rsidRPr="009F1DE2">
        <w:rPr>
          <w:rFonts w:ascii="Calibri" w:eastAsia="Calibri" w:hAnsi="Calibri" w:cs="Times New Roman"/>
          <w:color w:val="auto"/>
          <w:szCs w:val="22"/>
          <w:lang w:val="en-US" w:eastAsia="en-US"/>
        </w:rPr>
        <w:t xml:space="preserve"> </w:t>
      </w:r>
      <w:r w:rsidRPr="00F93CB1">
        <w:rPr>
          <w:rFonts w:ascii="Calibri" w:eastAsia="Calibri" w:hAnsi="Calibri" w:cs="Times New Roman"/>
          <w:color w:val="auto"/>
          <w:szCs w:val="22"/>
          <w:lang w:val="en-US" w:eastAsia="en-US"/>
        </w:rPr>
        <w:t>&lt;0.05 was considered statistically significant</w:t>
      </w:r>
    </w:p>
    <w:p w:rsidR="00F27785" w:rsidRPr="00F93CB1" w:rsidRDefault="00F27785" w:rsidP="002447C6">
      <w:pPr>
        <w:pStyle w:val="Normal1"/>
        <w:spacing w:line="360" w:lineRule="auto"/>
        <w:jc w:val="both"/>
        <w:rPr>
          <w:b/>
          <w:lang w:val="en-US"/>
        </w:rPr>
      </w:pPr>
      <w:r w:rsidRPr="00F93CB1">
        <w:rPr>
          <w:b/>
          <w:szCs w:val="22"/>
          <w:lang w:val="en-US"/>
        </w:rPr>
        <w:t>RESULTS</w:t>
      </w:r>
    </w:p>
    <w:p w:rsidR="00845354" w:rsidRPr="00F93CB1" w:rsidRDefault="00F27785"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From 20</w:t>
      </w:r>
      <w:r w:rsidR="00646EE0" w:rsidRPr="00F93CB1">
        <w:rPr>
          <w:rFonts w:ascii="Calibri" w:eastAsia="Calibri" w:hAnsi="Calibri" w:cs="Times New Roman"/>
          <w:color w:val="auto"/>
          <w:szCs w:val="22"/>
          <w:lang w:val="en-US" w:eastAsia="en-US"/>
        </w:rPr>
        <w:t>10 to 2016</w:t>
      </w:r>
      <w:r w:rsidRPr="00F93CB1">
        <w:rPr>
          <w:rFonts w:ascii="Calibri" w:eastAsia="Calibri" w:hAnsi="Calibri" w:cs="Times New Roman"/>
          <w:color w:val="auto"/>
          <w:szCs w:val="22"/>
          <w:lang w:val="en-US" w:eastAsia="en-US"/>
        </w:rPr>
        <w:t xml:space="preserve">, </w:t>
      </w:r>
      <w:r w:rsidR="00646EE0" w:rsidRPr="00F93CB1">
        <w:rPr>
          <w:rFonts w:ascii="Calibri" w:eastAsia="Calibri" w:hAnsi="Calibri" w:cs="Times New Roman"/>
          <w:color w:val="auto"/>
          <w:szCs w:val="22"/>
          <w:lang w:val="en-US" w:eastAsia="en-US"/>
        </w:rPr>
        <w:t xml:space="preserve">we found 46 biopsy-proven LN </w:t>
      </w:r>
      <w:r w:rsidR="00EB6A85" w:rsidRPr="00F93CB1">
        <w:rPr>
          <w:rFonts w:ascii="Calibri" w:eastAsia="Calibri" w:hAnsi="Calibri" w:cs="Times New Roman"/>
          <w:color w:val="auto"/>
          <w:szCs w:val="22"/>
          <w:lang w:val="en-US" w:eastAsia="en-US"/>
        </w:rPr>
        <w:t xml:space="preserve">cases </w:t>
      </w:r>
      <w:r w:rsidR="00646EE0" w:rsidRPr="00F93CB1">
        <w:rPr>
          <w:rFonts w:ascii="Calibri" w:eastAsia="Calibri" w:hAnsi="Calibri" w:cs="Times New Roman"/>
          <w:color w:val="auto"/>
          <w:szCs w:val="22"/>
          <w:lang w:val="en-US" w:eastAsia="en-US"/>
        </w:rPr>
        <w:t xml:space="preserve">in our </w:t>
      </w:r>
      <w:r w:rsidR="00EE25D8" w:rsidRPr="00F93CB1">
        <w:rPr>
          <w:rFonts w:ascii="Calibri" w:eastAsia="Calibri" w:hAnsi="Calibri" w:cs="Times New Roman"/>
          <w:color w:val="auto"/>
          <w:szCs w:val="22"/>
          <w:lang w:val="en-US" w:eastAsia="en-US"/>
        </w:rPr>
        <w:t xml:space="preserve">unit. The patients’ </w:t>
      </w:r>
      <w:r w:rsidR="00B47768" w:rsidRPr="00F93CB1">
        <w:rPr>
          <w:rFonts w:ascii="Calibri" w:eastAsia="Calibri" w:hAnsi="Calibri" w:cs="Times New Roman"/>
          <w:color w:val="auto"/>
          <w:szCs w:val="22"/>
          <w:lang w:val="en-US" w:eastAsia="en-US"/>
        </w:rPr>
        <w:t>median age was 35 years (27-42</w:t>
      </w:r>
      <w:r w:rsidR="00EE25D8" w:rsidRPr="00F93CB1">
        <w:rPr>
          <w:rFonts w:ascii="Calibri" w:eastAsia="Calibri" w:hAnsi="Calibri" w:cs="Times New Roman"/>
          <w:color w:val="auto"/>
          <w:szCs w:val="22"/>
          <w:lang w:val="en-US" w:eastAsia="en-US"/>
        </w:rPr>
        <w:t>), and 84.8% (n=39) were women, in a mostly Caucasian population (56.5%; n=26).</w:t>
      </w:r>
      <w:r w:rsidR="000E43B1" w:rsidRPr="00F93CB1">
        <w:rPr>
          <w:rFonts w:ascii="Calibri" w:eastAsia="Calibri" w:hAnsi="Calibri" w:cs="Times New Roman"/>
          <w:color w:val="auto"/>
          <w:szCs w:val="22"/>
          <w:lang w:val="en-US" w:eastAsia="en-US"/>
        </w:rPr>
        <w:t xml:space="preserve"> In seven patients, SLE diagnosis was previously unknown, while the remaining 39 patients</w:t>
      </w:r>
      <w:r w:rsidR="00EB6A85" w:rsidRPr="00F93CB1">
        <w:rPr>
          <w:rFonts w:ascii="Calibri" w:eastAsia="Calibri" w:hAnsi="Calibri" w:cs="Times New Roman"/>
          <w:color w:val="auto"/>
          <w:szCs w:val="22"/>
          <w:lang w:val="en-US" w:eastAsia="en-US"/>
        </w:rPr>
        <w:t xml:space="preserve"> had</w:t>
      </w:r>
      <w:r w:rsidR="000E43B1" w:rsidRPr="00F93CB1">
        <w:rPr>
          <w:rFonts w:ascii="Calibri" w:eastAsia="Calibri" w:hAnsi="Calibri" w:cs="Times New Roman"/>
          <w:color w:val="auto"/>
          <w:szCs w:val="22"/>
          <w:lang w:val="en-US" w:eastAsia="en-US"/>
        </w:rPr>
        <w:t xml:space="preserve"> SLE for</w:t>
      </w:r>
      <w:r w:rsidR="00986982" w:rsidRPr="00F93CB1">
        <w:rPr>
          <w:rFonts w:ascii="Calibri" w:eastAsia="Calibri" w:hAnsi="Calibri" w:cs="Times New Roman"/>
          <w:color w:val="auto"/>
          <w:szCs w:val="22"/>
          <w:lang w:val="en-US" w:eastAsia="en-US"/>
        </w:rPr>
        <w:t xml:space="preserve"> a median of</w:t>
      </w:r>
      <w:r w:rsidR="000E43B1" w:rsidRPr="00F93CB1">
        <w:rPr>
          <w:rFonts w:ascii="Calibri" w:eastAsia="Calibri" w:hAnsi="Calibri" w:cs="Times New Roman"/>
          <w:color w:val="auto"/>
          <w:szCs w:val="22"/>
          <w:lang w:val="en-US" w:eastAsia="en-US"/>
        </w:rPr>
        <w:t xml:space="preserve"> </w:t>
      </w:r>
      <w:r w:rsidR="00070175" w:rsidRPr="00F93CB1">
        <w:rPr>
          <w:rFonts w:ascii="Calibri" w:eastAsia="Calibri" w:hAnsi="Calibri" w:cs="Times New Roman"/>
          <w:color w:val="auto"/>
          <w:szCs w:val="22"/>
          <w:lang w:val="en-US" w:eastAsia="en-US"/>
        </w:rPr>
        <w:t>3.96</w:t>
      </w:r>
      <w:r w:rsidR="000E43B1" w:rsidRPr="00F93CB1">
        <w:rPr>
          <w:rFonts w:ascii="Calibri" w:eastAsia="Calibri" w:hAnsi="Calibri" w:cs="Times New Roman"/>
          <w:color w:val="auto"/>
          <w:szCs w:val="22"/>
          <w:lang w:val="en-US" w:eastAsia="en-US"/>
        </w:rPr>
        <w:t xml:space="preserve"> (</w:t>
      </w:r>
      <w:r w:rsidR="00070175" w:rsidRPr="00F93CB1">
        <w:rPr>
          <w:rFonts w:ascii="Calibri" w:eastAsia="Calibri" w:hAnsi="Calibri" w:cs="Times New Roman"/>
          <w:color w:val="auto"/>
          <w:szCs w:val="22"/>
          <w:lang w:val="en-US" w:eastAsia="en-US"/>
        </w:rPr>
        <w:t>1.1-11.9</w:t>
      </w:r>
      <w:r w:rsidR="000E43B1" w:rsidRPr="00F93CB1">
        <w:rPr>
          <w:rFonts w:ascii="Calibri" w:eastAsia="Calibri" w:hAnsi="Calibri" w:cs="Times New Roman"/>
          <w:color w:val="auto"/>
          <w:szCs w:val="22"/>
          <w:lang w:val="en-US" w:eastAsia="en-US"/>
        </w:rPr>
        <w:t xml:space="preserve">) years, resulting in treatment with hydroxychloroquine in </w:t>
      </w:r>
      <w:r w:rsidR="00EB6A85" w:rsidRPr="00F93CB1">
        <w:rPr>
          <w:rFonts w:ascii="Calibri" w:eastAsia="Calibri" w:hAnsi="Calibri" w:cs="Times New Roman"/>
          <w:color w:val="auto"/>
          <w:szCs w:val="22"/>
          <w:lang w:val="en-US" w:eastAsia="en-US"/>
        </w:rPr>
        <w:t>46.1</w:t>
      </w:r>
      <w:r w:rsidR="000E43B1" w:rsidRPr="00F93CB1">
        <w:rPr>
          <w:rFonts w:ascii="Calibri" w:eastAsia="Calibri" w:hAnsi="Calibri" w:cs="Times New Roman"/>
          <w:color w:val="auto"/>
          <w:szCs w:val="22"/>
          <w:lang w:val="en-US" w:eastAsia="en-US"/>
        </w:rPr>
        <w:t xml:space="preserve">% and additional immunomodulation in </w:t>
      </w:r>
      <w:r w:rsidR="00EB6A85" w:rsidRPr="00F93CB1">
        <w:rPr>
          <w:rFonts w:ascii="Calibri" w:eastAsia="Calibri" w:hAnsi="Calibri" w:cs="Times New Roman"/>
          <w:color w:val="auto"/>
          <w:szCs w:val="22"/>
          <w:lang w:val="en-US" w:eastAsia="en-US"/>
        </w:rPr>
        <w:t>76.9</w:t>
      </w:r>
      <w:r w:rsidR="000E43B1" w:rsidRPr="00F93CB1">
        <w:rPr>
          <w:rFonts w:ascii="Calibri" w:eastAsia="Calibri" w:hAnsi="Calibri" w:cs="Times New Roman"/>
          <w:color w:val="auto"/>
          <w:szCs w:val="22"/>
          <w:lang w:val="en-US" w:eastAsia="en-US"/>
        </w:rPr>
        <w:t>% of cases.</w:t>
      </w:r>
      <w:r w:rsidR="002E54C8" w:rsidRPr="00F93CB1">
        <w:rPr>
          <w:rFonts w:ascii="Calibri" w:eastAsia="Calibri" w:hAnsi="Calibri" w:cs="Times New Roman"/>
          <w:color w:val="auto"/>
          <w:szCs w:val="22"/>
          <w:lang w:val="en-US" w:eastAsia="en-US"/>
        </w:rPr>
        <w:t xml:space="preserve"> </w:t>
      </w:r>
      <w:r w:rsidR="00070175" w:rsidRPr="00F93CB1">
        <w:rPr>
          <w:rFonts w:ascii="Calibri" w:eastAsia="Calibri" w:hAnsi="Calibri" w:cs="Times New Roman"/>
          <w:color w:val="auto"/>
          <w:szCs w:val="22"/>
          <w:lang w:val="en-US" w:eastAsia="en-US"/>
        </w:rPr>
        <w:t>At presentation, median creatinine was 0.8 (0.6-1.4) mg/dl, corresponding to a</w:t>
      </w:r>
      <w:r w:rsidR="00986982" w:rsidRPr="00F93CB1">
        <w:rPr>
          <w:rFonts w:ascii="Calibri" w:eastAsia="Calibri" w:hAnsi="Calibri" w:cs="Times New Roman"/>
          <w:color w:val="auto"/>
          <w:szCs w:val="22"/>
          <w:lang w:val="en-US" w:eastAsia="en-US"/>
        </w:rPr>
        <w:t xml:space="preserve"> median</w:t>
      </w:r>
      <w:r w:rsidR="00070175" w:rsidRPr="00F93CB1">
        <w:rPr>
          <w:rFonts w:ascii="Calibri" w:eastAsia="Calibri" w:hAnsi="Calibri" w:cs="Times New Roman"/>
          <w:color w:val="auto"/>
          <w:szCs w:val="22"/>
          <w:lang w:val="en-US" w:eastAsia="en-US"/>
        </w:rPr>
        <w:t xml:space="preserve"> eGFR of 89 (46.9-117) ml/min; </w:t>
      </w:r>
      <w:r w:rsidR="00986982" w:rsidRPr="00F93CB1">
        <w:rPr>
          <w:rFonts w:ascii="Calibri" w:eastAsia="Calibri" w:hAnsi="Calibri" w:cs="Times New Roman"/>
          <w:color w:val="auto"/>
          <w:szCs w:val="22"/>
          <w:lang w:val="en-US" w:eastAsia="en-US"/>
        </w:rPr>
        <w:t xml:space="preserve">median level of </w:t>
      </w:r>
      <w:r w:rsidR="00070175" w:rsidRPr="00F93CB1">
        <w:rPr>
          <w:rFonts w:ascii="Calibri" w:eastAsia="Calibri" w:hAnsi="Calibri" w:cs="Times New Roman"/>
          <w:color w:val="auto"/>
          <w:szCs w:val="22"/>
          <w:lang w:val="en-US" w:eastAsia="en-US"/>
        </w:rPr>
        <w:t xml:space="preserve">proteinuria was 2.45 (1-4.4) g/day; 34.7% (n=16) patients were hypertensive and 58.7% (n=27) had haematuria at presentation. </w:t>
      </w:r>
      <w:r w:rsidR="002E54C8" w:rsidRPr="00F93CB1">
        <w:rPr>
          <w:rFonts w:ascii="Calibri" w:eastAsia="Calibri" w:hAnsi="Calibri" w:cs="Times New Roman"/>
          <w:color w:val="auto"/>
          <w:szCs w:val="22"/>
          <w:lang w:val="en-US" w:eastAsia="en-US"/>
        </w:rPr>
        <w:t>We classified our patients according to the indication fo</w:t>
      </w:r>
      <w:r w:rsidR="001B42C6" w:rsidRPr="00F93CB1">
        <w:rPr>
          <w:rFonts w:ascii="Calibri" w:eastAsia="Calibri" w:hAnsi="Calibri" w:cs="Times New Roman"/>
          <w:color w:val="auto"/>
          <w:szCs w:val="22"/>
          <w:lang w:val="en-US" w:eastAsia="en-US"/>
        </w:rPr>
        <w:t>r renal biopsy: 18 had asymptomatic urinary abnormalities, 1</w:t>
      </w:r>
      <w:r w:rsidR="00EE4159" w:rsidRPr="00F93CB1">
        <w:rPr>
          <w:rFonts w:ascii="Calibri" w:eastAsia="Calibri" w:hAnsi="Calibri" w:cs="Times New Roman"/>
          <w:color w:val="auto"/>
          <w:szCs w:val="22"/>
          <w:lang w:val="en-US" w:eastAsia="en-US"/>
        </w:rPr>
        <w:t xml:space="preserve">6 nephrotic-range proteinuria </w:t>
      </w:r>
      <w:r w:rsidR="001B42C6" w:rsidRPr="00F93CB1">
        <w:rPr>
          <w:rFonts w:ascii="Calibri" w:eastAsia="Calibri" w:hAnsi="Calibri" w:cs="Times New Roman"/>
          <w:color w:val="auto"/>
          <w:szCs w:val="22"/>
          <w:lang w:val="en-US" w:eastAsia="en-US"/>
        </w:rPr>
        <w:t>(proteinuria &gt;3.5g/d) and 12 renal insufficiency (eGFR &lt;</w:t>
      </w:r>
      <w:r w:rsidR="000428CE" w:rsidRPr="00F93CB1">
        <w:rPr>
          <w:rFonts w:ascii="Calibri" w:eastAsia="Calibri" w:hAnsi="Calibri" w:cs="Times New Roman"/>
          <w:color w:val="auto"/>
          <w:szCs w:val="22"/>
          <w:lang w:val="en-US" w:eastAsia="en-US"/>
        </w:rPr>
        <w:t>45</w:t>
      </w:r>
      <w:r w:rsidR="001B42C6" w:rsidRPr="00F93CB1">
        <w:rPr>
          <w:rFonts w:ascii="Calibri" w:eastAsia="Calibri" w:hAnsi="Calibri" w:cs="Times New Roman"/>
          <w:color w:val="auto"/>
          <w:szCs w:val="22"/>
          <w:lang w:val="en-US" w:eastAsia="en-US"/>
        </w:rPr>
        <w:t xml:space="preserve">ml/min). </w:t>
      </w:r>
      <w:r w:rsidR="0031755D" w:rsidRPr="00F93CB1">
        <w:rPr>
          <w:rFonts w:ascii="Calibri" w:eastAsia="Calibri" w:hAnsi="Calibri" w:cs="Times New Roman"/>
          <w:color w:val="auto"/>
          <w:szCs w:val="22"/>
          <w:lang w:val="en-US" w:eastAsia="en-US"/>
        </w:rPr>
        <w:t xml:space="preserve">The histomorphological findings are summarized in table </w:t>
      </w:r>
      <w:r w:rsidR="00A60AD1">
        <w:rPr>
          <w:rFonts w:ascii="Calibri" w:eastAsia="Calibri" w:hAnsi="Calibri" w:cs="Times New Roman"/>
          <w:color w:val="auto"/>
          <w:szCs w:val="22"/>
          <w:lang w:val="en-US" w:eastAsia="en-US"/>
        </w:rPr>
        <w:t>3</w:t>
      </w:r>
      <w:r w:rsidR="0031755D" w:rsidRPr="00F93CB1">
        <w:rPr>
          <w:rFonts w:ascii="Calibri" w:eastAsia="Calibri" w:hAnsi="Calibri" w:cs="Times New Roman"/>
          <w:color w:val="auto"/>
          <w:szCs w:val="22"/>
          <w:lang w:val="en-US" w:eastAsia="en-US"/>
        </w:rPr>
        <w:t>.</w:t>
      </w:r>
    </w:p>
    <w:p w:rsidR="00493532" w:rsidRPr="00F93CB1" w:rsidRDefault="00DC0A07" w:rsidP="002447C6">
      <w:pPr>
        <w:spacing w:after="160" w:line="360" w:lineRule="auto"/>
        <w:jc w:val="both"/>
        <w:rPr>
          <w:rFonts w:ascii="Calibri" w:eastAsia="Calibri" w:hAnsi="Calibri" w:cs="Times New Roman"/>
          <w:color w:val="auto"/>
          <w:szCs w:val="22"/>
          <w:lang w:val="en-US" w:eastAsia="en-US"/>
        </w:rPr>
      </w:pPr>
      <w:bookmarkStart w:id="1" w:name="_Hlk528945838"/>
      <w:r w:rsidRPr="00F93CB1">
        <w:rPr>
          <w:rFonts w:ascii="Calibri" w:eastAsia="Calibri" w:hAnsi="Calibri" w:cs="Times New Roman"/>
          <w:color w:val="auto"/>
          <w:szCs w:val="22"/>
          <w:lang w:val="en-US" w:eastAsia="en-US"/>
        </w:rPr>
        <w:t xml:space="preserve">Regarding histology, </w:t>
      </w:r>
      <w:r w:rsidRPr="00F93CB1">
        <w:rPr>
          <w:rFonts w:asciiTheme="minorHAnsi" w:hAnsiTheme="minorHAnsi"/>
          <w:lang w:val="en-US"/>
        </w:rPr>
        <w:t xml:space="preserve">sample quality was </w:t>
      </w:r>
      <w:r w:rsidR="009C0F5F" w:rsidRPr="00F93CB1">
        <w:rPr>
          <w:rFonts w:asciiTheme="minorHAnsi" w:hAnsiTheme="minorHAnsi"/>
          <w:lang w:val="en-US"/>
        </w:rPr>
        <w:t>adequate</w:t>
      </w:r>
      <w:r w:rsidRPr="00F93CB1">
        <w:rPr>
          <w:rFonts w:asciiTheme="minorHAnsi" w:hAnsiTheme="minorHAnsi"/>
          <w:lang w:val="en-US"/>
        </w:rPr>
        <w:t xml:space="preserve">, </w:t>
      </w:r>
      <w:r w:rsidR="00986982" w:rsidRPr="00F93CB1">
        <w:rPr>
          <w:rFonts w:asciiTheme="minorHAnsi" w:hAnsiTheme="minorHAnsi"/>
          <w:lang w:val="en-US"/>
        </w:rPr>
        <w:t xml:space="preserve">the minimum number of glomeruli per sample was 5 and we had a maximum of 30 glomeruli, </w:t>
      </w:r>
      <w:r w:rsidRPr="00F93CB1">
        <w:rPr>
          <w:rFonts w:asciiTheme="minorHAnsi" w:hAnsiTheme="minorHAnsi"/>
          <w:lang w:val="en-US"/>
        </w:rPr>
        <w:t xml:space="preserve">with a median of 11 glomeruli (7.75-14.25). </w:t>
      </w:r>
      <w:bookmarkStart w:id="2" w:name="_Hlk536357541"/>
      <w:bookmarkEnd w:id="1"/>
      <w:r w:rsidRPr="00F93CB1">
        <w:rPr>
          <w:rFonts w:ascii="Calibri" w:eastAsia="Calibri" w:hAnsi="Calibri" w:cs="Times New Roman"/>
          <w:color w:val="auto"/>
          <w:szCs w:val="22"/>
          <w:lang w:val="en-US" w:eastAsia="en-US"/>
        </w:rPr>
        <w:t>The 46 patients were evaluated during a median follow-up of 31.9 months (13.2-45.6) months</w:t>
      </w:r>
      <w:r w:rsidRPr="00F93CB1">
        <w:rPr>
          <w:rFonts w:asciiTheme="minorHAnsi" w:hAnsiTheme="minorHAnsi"/>
          <w:lang w:val="en-US"/>
        </w:rPr>
        <w:t>.</w:t>
      </w:r>
      <w:bookmarkEnd w:id="2"/>
      <w:r w:rsidRPr="00F93CB1">
        <w:rPr>
          <w:rFonts w:asciiTheme="minorHAnsi" w:hAnsiTheme="minorHAnsi"/>
          <w:lang w:val="en-US"/>
        </w:rPr>
        <w:t xml:space="preserve"> </w:t>
      </w:r>
      <w:r w:rsidRPr="00F93CB1">
        <w:rPr>
          <w:rFonts w:ascii="Calibri" w:eastAsia="Calibri" w:hAnsi="Calibri" w:cs="Times New Roman"/>
          <w:color w:val="auto"/>
          <w:szCs w:val="22"/>
          <w:lang w:val="en-US" w:eastAsia="en-US"/>
        </w:rPr>
        <w:t xml:space="preserve">Based on biopsy findings, </w:t>
      </w:r>
      <w:r w:rsidR="00EE4159" w:rsidRPr="00F93CB1">
        <w:rPr>
          <w:rFonts w:ascii="Calibri" w:eastAsia="Calibri" w:hAnsi="Calibri" w:cs="Times New Roman"/>
          <w:color w:val="auto"/>
          <w:szCs w:val="22"/>
          <w:lang w:val="en-US" w:eastAsia="en-US"/>
        </w:rPr>
        <w:t xml:space="preserve">immunosuppressive therapy was started/intensified on </w:t>
      </w:r>
      <w:r w:rsidRPr="00F93CB1">
        <w:rPr>
          <w:rFonts w:ascii="Calibri" w:eastAsia="Calibri" w:hAnsi="Calibri" w:cs="Times New Roman"/>
          <w:color w:val="auto"/>
          <w:szCs w:val="22"/>
          <w:lang w:val="en-US" w:eastAsia="en-US"/>
        </w:rPr>
        <w:t>36 patients</w:t>
      </w:r>
      <w:r w:rsidR="00EE4159" w:rsidRPr="00F93CB1">
        <w:rPr>
          <w:rFonts w:ascii="Calibri" w:eastAsia="Calibri" w:hAnsi="Calibri" w:cs="Times New Roman"/>
          <w:color w:val="auto"/>
          <w:szCs w:val="22"/>
          <w:lang w:val="en-US" w:eastAsia="en-US"/>
        </w:rPr>
        <w:t xml:space="preserve"> </w:t>
      </w:r>
      <w:r w:rsidRPr="00F93CB1">
        <w:rPr>
          <w:rFonts w:ascii="Calibri" w:eastAsia="Calibri" w:hAnsi="Calibri" w:cs="Times New Roman"/>
          <w:color w:val="auto"/>
          <w:szCs w:val="22"/>
          <w:lang w:val="en-US" w:eastAsia="en-US"/>
        </w:rPr>
        <w:t>– induction therapy with cyclophosphamide in 50% and mofetil mycophenolate (MMF) in the remaining 50%; MMF was used as maintenance therapy in 80.6% (n=29) of patients, azathioprine being the choice for the other seven patients. Excluding patients with ongoing induction immunosuppression, clinical remission was obtained in 93.8% (30/32) of patients – we observed 15 complete</w:t>
      </w:r>
      <w:r w:rsidR="00B55E4F" w:rsidRPr="00F93CB1">
        <w:rPr>
          <w:rFonts w:ascii="Calibri" w:eastAsia="Calibri" w:hAnsi="Calibri" w:cs="Times New Roman"/>
          <w:color w:val="auto"/>
          <w:szCs w:val="22"/>
          <w:lang w:val="en-US" w:eastAsia="en-US"/>
        </w:rPr>
        <w:t>,</w:t>
      </w:r>
      <w:r w:rsidRPr="00F93CB1">
        <w:rPr>
          <w:rFonts w:ascii="Calibri" w:eastAsia="Calibri" w:hAnsi="Calibri" w:cs="Times New Roman"/>
          <w:color w:val="auto"/>
          <w:szCs w:val="22"/>
          <w:lang w:val="en-US" w:eastAsia="en-US"/>
        </w:rPr>
        <w:t>15 partial remissions and 4 patients suffered LN recurrence.</w:t>
      </w:r>
    </w:p>
    <w:p w:rsidR="00404CD6" w:rsidRPr="00F93CB1" w:rsidRDefault="002B3E98"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lastRenderedPageBreak/>
        <w:t>By</w:t>
      </w:r>
      <w:r w:rsidR="00404CD6" w:rsidRPr="00F93CB1">
        <w:rPr>
          <w:rFonts w:ascii="Calibri" w:eastAsia="Calibri" w:hAnsi="Calibri" w:cs="Times New Roman"/>
          <w:color w:val="auto"/>
          <w:szCs w:val="22"/>
          <w:lang w:val="en-US" w:eastAsia="en-US"/>
        </w:rPr>
        <w:t xml:space="preserve"> the end of fo</w:t>
      </w:r>
      <w:r w:rsidR="00060A57" w:rsidRPr="00F93CB1">
        <w:rPr>
          <w:rFonts w:ascii="Calibri" w:eastAsia="Calibri" w:hAnsi="Calibri" w:cs="Times New Roman"/>
          <w:color w:val="auto"/>
          <w:szCs w:val="22"/>
          <w:lang w:val="en-US" w:eastAsia="en-US"/>
        </w:rPr>
        <w:t xml:space="preserve">llow-up, </w:t>
      </w:r>
      <w:r w:rsidRPr="00F93CB1">
        <w:rPr>
          <w:rFonts w:ascii="Calibri" w:eastAsia="Calibri" w:hAnsi="Calibri" w:cs="Times New Roman"/>
          <w:color w:val="auto"/>
          <w:szCs w:val="22"/>
          <w:lang w:val="en-US" w:eastAsia="en-US"/>
        </w:rPr>
        <w:t>2 patients (4.3%) died</w:t>
      </w:r>
      <w:r w:rsidR="003B3C6F" w:rsidRPr="00F93CB1">
        <w:rPr>
          <w:rFonts w:ascii="Calibri" w:eastAsia="Calibri" w:hAnsi="Calibri" w:cs="Times New Roman"/>
          <w:color w:val="auto"/>
          <w:szCs w:val="22"/>
          <w:lang w:val="en-US" w:eastAsia="en-US"/>
        </w:rPr>
        <w:t xml:space="preserve"> due to septic shock</w:t>
      </w:r>
      <w:r w:rsidRPr="00F93CB1">
        <w:rPr>
          <w:rFonts w:ascii="Calibri" w:eastAsia="Calibri" w:hAnsi="Calibri" w:cs="Times New Roman"/>
          <w:color w:val="auto"/>
          <w:szCs w:val="22"/>
          <w:lang w:val="en-US" w:eastAsia="en-US"/>
        </w:rPr>
        <w:t xml:space="preserve">, one of them having developed </w:t>
      </w:r>
      <w:r w:rsidR="00060A57" w:rsidRPr="00F93CB1">
        <w:rPr>
          <w:rFonts w:ascii="Calibri" w:eastAsia="Calibri" w:hAnsi="Calibri" w:cs="Times New Roman"/>
          <w:color w:val="auto"/>
          <w:szCs w:val="22"/>
          <w:lang w:val="en-US" w:eastAsia="en-US"/>
        </w:rPr>
        <w:t>end-s</w:t>
      </w:r>
      <w:r w:rsidRPr="00F93CB1">
        <w:rPr>
          <w:rFonts w:ascii="Calibri" w:eastAsia="Calibri" w:hAnsi="Calibri" w:cs="Times New Roman"/>
          <w:color w:val="auto"/>
          <w:szCs w:val="22"/>
          <w:lang w:val="en-US" w:eastAsia="en-US"/>
        </w:rPr>
        <w:t>tage renal disease secondary to LN. The remaining 95.7% (n=44)</w:t>
      </w:r>
      <w:r w:rsidR="00060A57" w:rsidRPr="00F93CB1">
        <w:rPr>
          <w:rFonts w:ascii="Calibri" w:eastAsia="Calibri" w:hAnsi="Calibri" w:cs="Times New Roman"/>
          <w:color w:val="auto"/>
          <w:szCs w:val="22"/>
          <w:lang w:val="en-US" w:eastAsia="en-US"/>
        </w:rPr>
        <w:t xml:space="preserve"> had a median serum creatinine of 0.8 mg/dl (0.7-0.99), eGFR of 99.8 ml/min (71.2-116.8) and proteinuria of 0.6 g/24h (0.2-1.6).</w:t>
      </w:r>
    </w:p>
    <w:p w:rsidR="00CB5211" w:rsidRPr="00F93CB1" w:rsidRDefault="00060A57" w:rsidP="00EF5B51">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Using </w:t>
      </w:r>
      <w:r w:rsidR="0031755D" w:rsidRPr="00F93CB1">
        <w:rPr>
          <w:rFonts w:ascii="Calibri" w:eastAsia="Calibri" w:hAnsi="Calibri" w:cs="Times New Roman"/>
          <w:color w:val="auto"/>
          <w:szCs w:val="22"/>
          <w:lang w:val="en-US" w:eastAsia="en-US"/>
        </w:rPr>
        <w:t>Wilcoxon</w:t>
      </w:r>
      <w:r w:rsidR="00EE4159" w:rsidRPr="00F93CB1">
        <w:rPr>
          <w:rFonts w:ascii="Calibri" w:eastAsia="Calibri" w:hAnsi="Calibri" w:cs="Times New Roman"/>
          <w:color w:val="auto"/>
          <w:szCs w:val="22"/>
          <w:lang w:val="en-US" w:eastAsia="en-US"/>
        </w:rPr>
        <w:t xml:space="preserve"> test</w:t>
      </w:r>
      <w:r w:rsidRPr="00F93CB1">
        <w:rPr>
          <w:rFonts w:ascii="Calibri" w:eastAsia="Calibri" w:hAnsi="Calibri" w:cs="Times New Roman"/>
          <w:color w:val="auto"/>
          <w:szCs w:val="22"/>
          <w:lang w:val="en-US" w:eastAsia="en-US"/>
        </w:rPr>
        <w:t xml:space="preserve">, we observed </w:t>
      </w:r>
      <w:r w:rsidR="002B3E98" w:rsidRPr="00F93CB1">
        <w:rPr>
          <w:rFonts w:ascii="Calibri" w:eastAsia="Calibri" w:hAnsi="Calibri" w:cs="Times New Roman"/>
          <w:color w:val="auto"/>
          <w:szCs w:val="22"/>
          <w:lang w:val="en-US" w:eastAsia="en-US"/>
        </w:rPr>
        <w:t xml:space="preserve">that </w:t>
      </w:r>
      <w:r w:rsidRPr="00F93CB1">
        <w:rPr>
          <w:rFonts w:ascii="Calibri" w:eastAsia="Calibri" w:hAnsi="Calibri" w:cs="Times New Roman"/>
          <w:color w:val="auto"/>
          <w:szCs w:val="22"/>
          <w:lang w:val="en-US" w:eastAsia="en-US"/>
        </w:rPr>
        <w:t xml:space="preserve">ISN/RPS class IV </w:t>
      </w:r>
      <w:r w:rsidR="002B3E98" w:rsidRPr="00F93CB1">
        <w:rPr>
          <w:rFonts w:ascii="Calibri" w:eastAsia="Calibri" w:hAnsi="Calibri" w:cs="Times New Roman"/>
          <w:color w:val="auto"/>
          <w:szCs w:val="22"/>
          <w:lang w:val="en-US" w:eastAsia="en-US"/>
        </w:rPr>
        <w:t>had, at presentation,</w:t>
      </w:r>
      <w:r w:rsidRPr="00F93CB1">
        <w:rPr>
          <w:rFonts w:ascii="Calibri" w:eastAsia="Calibri" w:hAnsi="Calibri" w:cs="Times New Roman"/>
          <w:color w:val="auto"/>
          <w:szCs w:val="22"/>
          <w:lang w:val="en-US" w:eastAsia="en-US"/>
        </w:rPr>
        <w:t xml:space="preserve"> lower eGFR (67.3 vs 94.6 ml/min; p=0.0</w:t>
      </w:r>
      <w:r w:rsidR="00070175" w:rsidRPr="00F93CB1">
        <w:rPr>
          <w:rFonts w:ascii="Calibri" w:eastAsia="Calibri" w:hAnsi="Calibri" w:cs="Times New Roman"/>
          <w:color w:val="auto"/>
          <w:szCs w:val="22"/>
          <w:lang w:val="en-US" w:eastAsia="en-US"/>
        </w:rPr>
        <w:t>1</w:t>
      </w:r>
      <w:r w:rsidRPr="00F93CB1">
        <w:rPr>
          <w:rFonts w:ascii="Calibri" w:eastAsia="Calibri" w:hAnsi="Calibri" w:cs="Times New Roman"/>
          <w:color w:val="auto"/>
          <w:szCs w:val="22"/>
          <w:lang w:val="en-US" w:eastAsia="en-US"/>
        </w:rPr>
        <w:t>), higher proteinuria (4.26 vs 2.37 g/24h; p=0.0</w:t>
      </w:r>
      <w:r w:rsidR="00070175" w:rsidRPr="00F93CB1">
        <w:rPr>
          <w:rFonts w:ascii="Calibri" w:eastAsia="Calibri" w:hAnsi="Calibri" w:cs="Times New Roman"/>
          <w:color w:val="auto"/>
          <w:szCs w:val="22"/>
          <w:lang w:val="en-US" w:eastAsia="en-US"/>
        </w:rPr>
        <w:t>0</w:t>
      </w:r>
      <w:r w:rsidRPr="00F93CB1">
        <w:rPr>
          <w:rFonts w:ascii="Calibri" w:eastAsia="Calibri" w:hAnsi="Calibri" w:cs="Times New Roman"/>
          <w:color w:val="auto"/>
          <w:szCs w:val="22"/>
          <w:lang w:val="en-US" w:eastAsia="en-US"/>
        </w:rPr>
        <w:t>2) and</w:t>
      </w:r>
      <w:r w:rsidR="00B55E4F" w:rsidRPr="00F93CB1">
        <w:rPr>
          <w:rFonts w:ascii="Calibri" w:eastAsia="Calibri" w:hAnsi="Calibri" w:cs="Times New Roman"/>
          <w:color w:val="auto"/>
          <w:szCs w:val="22"/>
          <w:lang w:val="en-US" w:eastAsia="en-US"/>
        </w:rPr>
        <w:t xml:space="preserve"> non-significant reduction in</w:t>
      </w:r>
      <w:r w:rsidR="00D50372" w:rsidRPr="00F93CB1">
        <w:rPr>
          <w:rFonts w:ascii="Calibri" w:eastAsia="Calibri" w:hAnsi="Calibri" w:cs="Times New Roman"/>
          <w:color w:val="auto"/>
          <w:szCs w:val="22"/>
          <w:lang w:val="en-US" w:eastAsia="en-US"/>
        </w:rPr>
        <w:t xml:space="preserve"> </w:t>
      </w:r>
      <w:r w:rsidRPr="00F93CB1">
        <w:rPr>
          <w:rFonts w:ascii="Calibri" w:eastAsia="Calibri" w:hAnsi="Calibri" w:cs="Times New Roman"/>
          <w:color w:val="auto"/>
          <w:szCs w:val="22"/>
          <w:lang w:val="en-US" w:eastAsia="en-US"/>
        </w:rPr>
        <w:t>C3 serum levels (58.9 vs 77.4 mg/dl; p=</w:t>
      </w:r>
      <w:r w:rsidR="00845354" w:rsidRPr="00F93CB1">
        <w:rPr>
          <w:rFonts w:ascii="Calibri" w:eastAsia="Calibri" w:hAnsi="Calibri" w:cs="Times New Roman"/>
          <w:color w:val="auto"/>
          <w:szCs w:val="22"/>
          <w:lang w:val="en-US" w:eastAsia="en-US"/>
        </w:rPr>
        <w:t xml:space="preserve">0.06). We found no </w:t>
      </w:r>
      <w:r w:rsidRPr="00F93CB1">
        <w:rPr>
          <w:rFonts w:ascii="Calibri" w:eastAsia="Calibri" w:hAnsi="Calibri" w:cs="Times New Roman"/>
          <w:color w:val="auto"/>
          <w:szCs w:val="22"/>
          <w:lang w:val="en-US" w:eastAsia="en-US"/>
        </w:rPr>
        <w:t xml:space="preserve">correlation between the different ISN/RPS LN classes and </w:t>
      </w:r>
      <w:r w:rsidR="002B3E98" w:rsidRPr="00F93CB1">
        <w:rPr>
          <w:rFonts w:ascii="Calibri" w:eastAsia="Calibri" w:hAnsi="Calibri" w:cs="Times New Roman"/>
          <w:color w:val="auto"/>
          <w:szCs w:val="22"/>
          <w:lang w:val="en-US" w:eastAsia="en-US"/>
        </w:rPr>
        <w:t>clinical outcomes, including end of follow-up renal function or proteinuria.</w:t>
      </w:r>
      <w:r w:rsidR="0052007B" w:rsidRPr="00F93CB1">
        <w:rPr>
          <w:rFonts w:ascii="Calibri" w:eastAsia="Calibri" w:hAnsi="Calibri" w:cs="Times New Roman"/>
          <w:color w:val="auto"/>
          <w:szCs w:val="22"/>
          <w:lang w:val="en-US" w:eastAsia="en-US"/>
        </w:rPr>
        <w:t xml:space="preserve"> We did, however, find </w:t>
      </w:r>
      <w:r w:rsidR="00EB5C89" w:rsidRPr="00F93CB1">
        <w:rPr>
          <w:rFonts w:ascii="Calibri" w:eastAsia="Calibri" w:hAnsi="Calibri" w:cs="Times New Roman"/>
          <w:color w:val="auto"/>
          <w:szCs w:val="22"/>
          <w:lang w:val="en-US" w:eastAsia="en-US"/>
        </w:rPr>
        <w:t>several</w:t>
      </w:r>
      <w:r w:rsidR="0052007B" w:rsidRPr="00F93CB1">
        <w:rPr>
          <w:rFonts w:ascii="Calibri" w:eastAsia="Calibri" w:hAnsi="Calibri" w:cs="Times New Roman"/>
          <w:color w:val="auto"/>
          <w:szCs w:val="22"/>
          <w:lang w:val="en-US" w:eastAsia="en-US"/>
        </w:rPr>
        <w:t xml:space="preserve"> correlations between clinical </w:t>
      </w:r>
      <w:r w:rsidR="00EB5C89" w:rsidRPr="00F93CB1">
        <w:rPr>
          <w:rFonts w:ascii="Calibri" w:eastAsia="Calibri" w:hAnsi="Calibri" w:cs="Times New Roman"/>
          <w:color w:val="auto"/>
          <w:szCs w:val="22"/>
          <w:lang w:val="en-US" w:eastAsia="en-US"/>
        </w:rPr>
        <w:t>findings (both at presentation and at the end of follow-up)</w:t>
      </w:r>
      <w:r w:rsidR="0052007B" w:rsidRPr="00F93CB1">
        <w:rPr>
          <w:rFonts w:ascii="Calibri" w:eastAsia="Calibri" w:hAnsi="Calibri" w:cs="Times New Roman"/>
          <w:color w:val="auto"/>
          <w:szCs w:val="22"/>
          <w:lang w:val="en-US" w:eastAsia="en-US"/>
        </w:rPr>
        <w:t xml:space="preserve"> and </w:t>
      </w:r>
      <w:r w:rsidR="00EB5C89" w:rsidRPr="00F93CB1">
        <w:rPr>
          <w:rFonts w:ascii="Calibri" w:eastAsia="Calibri" w:hAnsi="Calibri" w:cs="Times New Roman"/>
          <w:color w:val="auto"/>
          <w:szCs w:val="22"/>
          <w:lang w:val="en-US" w:eastAsia="en-US"/>
        </w:rPr>
        <w:t xml:space="preserve">the </w:t>
      </w:r>
      <w:r w:rsidR="008E590D" w:rsidRPr="00F93CB1">
        <w:rPr>
          <w:rFonts w:ascii="Calibri" w:eastAsia="Calibri" w:hAnsi="Calibri" w:cs="Times New Roman"/>
          <w:color w:val="auto"/>
          <w:szCs w:val="22"/>
          <w:lang w:val="en-US" w:eastAsia="en-US"/>
        </w:rPr>
        <w:t xml:space="preserve">activity and chronicity </w:t>
      </w:r>
      <w:r w:rsidR="00EB5C89" w:rsidRPr="00F93CB1">
        <w:rPr>
          <w:rFonts w:ascii="Calibri" w:eastAsia="Calibri" w:hAnsi="Calibri" w:cs="Times New Roman"/>
          <w:color w:val="auto"/>
          <w:szCs w:val="22"/>
          <w:lang w:val="en-US" w:eastAsia="en-US"/>
        </w:rPr>
        <w:t xml:space="preserve">histomorphological indexes, </w:t>
      </w:r>
      <w:r w:rsidR="00EF5B51" w:rsidRPr="00F93CB1">
        <w:rPr>
          <w:rFonts w:ascii="Calibri" w:eastAsia="Calibri" w:hAnsi="Calibri" w:cs="Times New Roman"/>
          <w:color w:val="auto"/>
          <w:szCs w:val="22"/>
          <w:lang w:val="en-US" w:eastAsia="en-US"/>
        </w:rPr>
        <w:t xml:space="preserve">as described in the table </w:t>
      </w:r>
      <w:r w:rsidR="00A60AD1">
        <w:rPr>
          <w:rFonts w:ascii="Calibri" w:eastAsia="Calibri" w:hAnsi="Calibri" w:cs="Times New Roman"/>
          <w:color w:val="auto"/>
          <w:szCs w:val="22"/>
          <w:lang w:val="en-US" w:eastAsia="en-US"/>
        </w:rPr>
        <w:t>4</w:t>
      </w:r>
      <w:r w:rsidR="00EF5B51" w:rsidRPr="00F93CB1">
        <w:rPr>
          <w:rFonts w:ascii="Calibri" w:eastAsia="Calibri" w:hAnsi="Calibri" w:cs="Times New Roman"/>
          <w:color w:val="auto"/>
          <w:szCs w:val="22"/>
          <w:lang w:val="en-US" w:eastAsia="en-US"/>
        </w:rPr>
        <w:t>.</w:t>
      </w:r>
    </w:p>
    <w:p w:rsidR="00AE68D3" w:rsidRPr="00F93CB1" w:rsidRDefault="00AE68D3" w:rsidP="002447C6">
      <w:pPr>
        <w:spacing w:line="360" w:lineRule="auto"/>
        <w:jc w:val="both"/>
        <w:rPr>
          <w:rFonts w:ascii="Calibri" w:hAnsi="Calibri"/>
          <w:lang w:val="en-US"/>
        </w:rPr>
      </w:pPr>
      <w:r w:rsidRPr="00F93CB1">
        <w:rPr>
          <w:rFonts w:ascii="Calibri" w:eastAsia="Calibri" w:hAnsi="Calibri" w:cs="Times New Roman"/>
          <w:color w:val="auto"/>
          <w:szCs w:val="22"/>
          <w:lang w:val="en-US" w:eastAsia="en-US"/>
        </w:rPr>
        <w:t xml:space="preserve">Using </w:t>
      </w:r>
      <w:r w:rsidR="00C56367" w:rsidRPr="00F93CB1">
        <w:rPr>
          <w:rFonts w:ascii="Calibri" w:eastAsia="Calibri" w:hAnsi="Calibri" w:cs="Times New Roman"/>
          <w:color w:val="auto"/>
          <w:szCs w:val="22"/>
          <w:lang w:val="en-US" w:eastAsia="en-US"/>
        </w:rPr>
        <w:t>Spe</w:t>
      </w:r>
      <w:r w:rsidR="008E590D" w:rsidRPr="00F93CB1">
        <w:rPr>
          <w:rFonts w:ascii="Calibri" w:eastAsia="Calibri" w:hAnsi="Calibri" w:cs="Times New Roman"/>
          <w:color w:val="auto"/>
          <w:szCs w:val="22"/>
          <w:lang w:val="en-US" w:eastAsia="en-US"/>
        </w:rPr>
        <w:t>a</w:t>
      </w:r>
      <w:r w:rsidR="00C56367" w:rsidRPr="00F93CB1">
        <w:rPr>
          <w:rFonts w:ascii="Calibri" w:eastAsia="Calibri" w:hAnsi="Calibri" w:cs="Times New Roman"/>
          <w:color w:val="auto"/>
          <w:szCs w:val="22"/>
          <w:lang w:val="en-US" w:eastAsia="en-US"/>
        </w:rPr>
        <w:t>rman test</w:t>
      </w:r>
      <w:r w:rsidRPr="00F93CB1">
        <w:rPr>
          <w:rFonts w:ascii="Calibri" w:eastAsia="Calibri" w:hAnsi="Calibri" w:cs="Times New Roman"/>
          <w:color w:val="auto"/>
          <w:szCs w:val="22"/>
          <w:lang w:val="en-US" w:eastAsia="en-US"/>
        </w:rPr>
        <w:t xml:space="preserve">, we observed that </w:t>
      </w:r>
      <w:r w:rsidRPr="00F93CB1">
        <w:rPr>
          <w:rFonts w:ascii="Calibri" w:hAnsi="Calibri"/>
          <w:lang w:val="en-US"/>
        </w:rPr>
        <w:t xml:space="preserve">the Activity index correlated with the immunological findings at presentation – C3, C4 and anti-dsDNA. More importantly, </w:t>
      </w:r>
      <w:r w:rsidRPr="00F93CB1">
        <w:rPr>
          <w:rFonts w:ascii="Calibri" w:eastAsia="Calibri" w:hAnsi="Calibri" w:cs="Times New Roman"/>
          <w:color w:val="auto"/>
          <w:szCs w:val="22"/>
          <w:lang w:val="en-US" w:eastAsia="en-US"/>
        </w:rPr>
        <w:t xml:space="preserve">both </w:t>
      </w:r>
      <w:r w:rsidR="00CB5211" w:rsidRPr="00F93CB1">
        <w:rPr>
          <w:rFonts w:ascii="Calibri" w:hAnsi="Calibri"/>
          <w:lang w:val="en-US"/>
        </w:rPr>
        <w:t xml:space="preserve">the Hill biopsy index and the Chronicity index were correlated with renal function and proteinuria at the end of </w:t>
      </w:r>
      <w:r w:rsidRPr="00F93CB1">
        <w:rPr>
          <w:rFonts w:ascii="Calibri" w:hAnsi="Calibri"/>
          <w:lang w:val="en-US"/>
        </w:rPr>
        <w:t xml:space="preserve">follow-up, and hence </w:t>
      </w:r>
      <w:r w:rsidR="00FE7629" w:rsidRPr="00F93CB1">
        <w:rPr>
          <w:rFonts w:ascii="Calibri" w:hAnsi="Calibri"/>
          <w:lang w:val="en-US"/>
        </w:rPr>
        <w:t xml:space="preserve">a predictor of unsuccessful </w:t>
      </w:r>
      <w:r w:rsidRPr="00F93CB1">
        <w:rPr>
          <w:rFonts w:ascii="Calibri" w:hAnsi="Calibri"/>
          <w:lang w:val="en-US"/>
        </w:rPr>
        <w:t xml:space="preserve">clinical remission. No individual finding used to the elaboration of the indexes </w:t>
      </w:r>
      <w:r w:rsidR="00FE7629" w:rsidRPr="00F93CB1">
        <w:rPr>
          <w:rFonts w:ascii="Calibri" w:hAnsi="Calibri"/>
          <w:lang w:val="en-US"/>
        </w:rPr>
        <w:t>could</w:t>
      </w:r>
      <w:r w:rsidRPr="00F93CB1">
        <w:rPr>
          <w:rFonts w:ascii="Calibri" w:hAnsi="Calibri"/>
          <w:lang w:val="en-US"/>
        </w:rPr>
        <w:t xml:space="preserve"> predict clinical remission.</w:t>
      </w:r>
    </w:p>
    <w:p w:rsidR="00D50372" w:rsidRPr="00F93CB1" w:rsidRDefault="00D50372" w:rsidP="002447C6">
      <w:pPr>
        <w:spacing w:line="360" w:lineRule="auto"/>
        <w:jc w:val="both"/>
        <w:rPr>
          <w:rFonts w:ascii="Calibri" w:hAnsi="Calibri"/>
          <w:lang w:val="en-US"/>
        </w:rPr>
      </w:pPr>
    </w:p>
    <w:p w:rsidR="00493532" w:rsidRPr="00F93CB1" w:rsidRDefault="00497A2B" w:rsidP="002447C6">
      <w:pPr>
        <w:spacing w:line="360" w:lineRule="auto"/>
        <w:jc w:val="both"/>
        <w:rPr>
          <w:rFonts w:ascii="Calibri" w:hAnsi="Calibri"/>
          <w:lang w:val="en-US"/>
        </w:rPr>
      </w:pPr>
      <w:r w:rsidRPr="00F93CB1">
        <w:rPr>
          <w:rFonts w:ascii="Calibri" w:hAnsi="Calibri"/>
          <w:lang w:val="en-US"/>
        </w:rPr>
        <w:t xml:space="preserve">In the multivariate model, chronicity index was inversely correlated with eGFR, using age, gender, and </w:t>
      </w:r>
      <w:r w:rsidR="00EE4159" w:rsidRPr="00F93CB1">
        <w:rPr>
          <w:rFonts w:ascii="Calibri" w:hAnsi="Calibri"/>
          <w:lang w:val="en-US"/>
        </w:rPr>
        <w:t xml:space="preserve">initial </w:t>
      </w:r>
      <w:r w:rsidRPr="00F93CB1">
        <w:rPr>
          <w:rFonts w:ascii="Calibri" w:hAnsi="Calibri"/>
          <w:lang w:val="en-US"/>
        </w:rPr>
        <w:t>proteinuria as potential confounders (p-value of the model 0.02).</w:t>
      </w:r>
    </w:p>
    <w:p w:rsidR="00EF5B51" w:rsidRPr="00F93CB1" w:rsidRDefault="00EF5B51" w:rsidP="002447C6">
      <w:pPr>
        <w:spacing w:line="360" w:lineRule="auto"/>
        <w:jc w:val="both"/>
        <w:rPr>
          <w:rFonts w:ascii="Calibri" w:hAnsi="Calibri"/>
          <w:lang w:val="en-US"/>
        </w:rPr>
      </w:pPr>
    </w:p>
    <w:p w:rsidR="00EF7A73" w:rsidRPr="00F93CB1" w:rsidRDefault="00F27785" w:rsidP="00DB12BB">
      <w:pPr>
        <w:pStyle w:val="Normal1"/>
        <w:spacing w:line="360" w:lineRule="auto"/>
        <w:jc w:val="both"/>
        <w:rPr>
          <w:b/>
          <w:szCs w:val="22"/>
          <w:lang w:val="en-US"/>
        </w:rPr>
      </w:pPr>
      <w:r w:rsidRPr="00F93CB1">
        <w:rPr>
          <w:b/>
          <w:szCs w:val="22"/>
          <w:lang w:val="en-US"/>
        </w:rPr>
        <w:t>DISCUSSION</w:t>
      </w:r>
    </w:p>
    <w:p w:rsidR="00DB12BB" w:rsidRPr="00F93CB1" w:rsidRDefault="00C518A8"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Management of SLE patients can be complex, being especially challenging </w:t>
      </w:r>
      <w:r w:rsidR="00EE4159" w:rsidRPr="00F93CB1">
        <w:rPr>
          <w:rFonts w:ascii="Calibri" w:eastAsia="Calibri" w:hAnsi="Calibri" w:cs="Times New Roman"/>
          <w:color w:val="auto"/>
          <w:szCs w:val="22"/>
          <w:lang w:val="en-US" w:eastAsia="en-US"/>
        </w:rPr>
        <w:t xml:space="preserve">to attain </w:t>
      </w:r>
      <w:r w:rsidR="00497A2B" w:rsidRPr="00F93CB1">
        <w:rPr>
          <w:rFonts w:ascii="Calibri" w:eastAsia="Calibri" w:hAnsi="Calibri" w:cs="Times New Roman"/>
          <w:color w:val="auto"/>
          <w:szCs w:val="22"/>
          <w:lang w:val="en-US" w:eastAsia="en-US"/>
        </w:rPr>
        <w:t xml:space="preserve">disease control without causing iatrogenesis. </w:t>
      </w:r>
      <w:r w:rsidRPr="00F93CB1">
        <w:rPr>
          <w:rFonts w:ascii="Calibri" w:eastAsia="Calibri" w:hAnsi="Calibri" w:cs="Times New Roman"/>
          <w:color w:val="auto"/>
          <w:szCs w:val="22"/>
          <w:lang w:val="en-US" w:eastAsia="en-US"/>
        </w:rPr>
        <w:t xml:space="preserve">For this reason, many efforts </w:t>
      </w:r>
      <w:r w:rsidR="00E27E99" w:rsidRPr="00F93CB1">
        <w:rPr>
          <w:rFonts w:ascii="Calibri" w:eastAsia="Calibri" w:hAnsi="Calibri" w:cs="Times New Roman"/>
          <w:color w:val="auto"/>
          <w:szCs w:val="22"/>
          <w:lang w:val="en-US" w:eastAsia="en-US"/>
        </w:rPr>
        <w:t xml:space="preserve">are put into </w:t>
      </w:r>
      <w:r w:rsidRPr="00F93CB1">
        <w:rPr>
          <w:rFonts w:ascii="Calibri" w:eastAsia="Calibri" w:hAnsi="Calibri" w:cs="Times New Roman"/>
          <w:color w:val="auto"/>
          <w:szCs w:val="22"/>
          <w:lang w:val="en-US" w:eastAsia="en-US"/>
        </w:rPr>
        <w:t xml:space="preserve">the elaboration </w:t>
      </w:r>
      <w:r w:rsidR="00E27E99" w:rsidRPr="00F93CB1">
        <w:rPr>
          <w:rFonts w:ascii="Calibri" w:eastAsia="Calibri" w:hAnsi="Calibri" w:cs="Times New Roman"/>
          <w:color w:val="auto"/>
          <w:szCs w:val="22"/>
          <w:lang w:val="en-US" w:eastAsia="en-US"/>
        </w:rPr>
        <w:t xml:space="preserve">and refining </w:t>
      </w:r>
      <w:r w:rsidRPr="00F93CB1">
        <w:rPr>
          <w:rFonts w:ascii="Calibri" w:eastAsia="Calibri" w:hAnsi="Calibri" w:cs="Times New Roman"/>
          <w:color w:val="auto"/>
          <w:szCs w:val="22"/>
          <w:lang w:val="en-US" w:eastAsia="en-US"/>
        </w:rPr>
        <w:t>of disease activity indexes</w:t>
      </w:r>
      <w:r w:rsidR="00B038F4" w:rsidRPr="00F93CB1">
        <w:rPr>
          <w:rFonts w:ascii="Calibri" w:eastAsia="Calibri" w:hAnsi="Calibri" w:cs="Times New Roman"/>
          <w:color w:val="auto"/>
          <w:szCs w:val="22"/>
          <w:lang w:val="en-US" w:eastAsia="en-US"/>
        </w:rPr>
        <w:t xml:space="preserve"> </w:t>
      </w:r>
      <w:r w:rsidR="00B038F4"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{"citationItems":[{"id":"ITEM-1","itemData":{"DOI":"10.1097/BOR.0000000000000085","ISBN":"0000000000000","ISSN":"1040-8711","PMID":"25010438","abstract":"PURPOSE OF REVIEW: To provide an update on the advances in the assessment of disease activity and damage in systemic lupus erythematosus. RECENT FINDINGS: Over the last couple of years, the development of composite responder indices has led to better description of the changes in disease activity, especially for clinical trials. It has been recognized that newer composite responder indices such as Systemic Lupus Erythematosus Responder Index (SRI) and BILAG-based Combined Lupus Assessment (BICLA) capture more comprehensive clinical response as they integrate global lupus assessment, system-based assessment, physician's global assessment and treatment failure defined as an increase in the dose of steroid and/or immunosuppressant. The Systemic Lupus Erythematosus Disease Activity Index 2000 (SLEDAI-2K) Responder Index 50 (SRI-50) may be more practical for capturing response in clinical practice. British Isles Lupus Assessment Group 2004 (BILAG 2004) Index may capture flare slightly better than the other available flare indices whilst also capturing response. SUMMARY: This review will provide an insight into the various tools available to assess disease activity and damage in lupus, with a particular focus on the new responder indices currently in use.","author":[{"dropping-particle":"","family":"Rao","given":"Vijay","non-dropping-particle":"","parse-names":false,"suffix":""},{"dropping-particle":"","family":"Gordon","given":"Caroline","non-dropping-particle":"","parse-names":false,"suffix":""}],"container-title":"Current Opinion in Rheumatology","id":"ITEM-1","issue":"5","issued":{"date-parts":[["2014"]]},"page":"510-519","title":"Advances in the assessment of lupus disease activity and damage","type":"article-journal","volume":"26"},"uris":["http://www.mendeley.com/documents/?uuid=55972bbb-0e97-4e4a-854b-7cac112dd034"]}],"mendeley":{"formattedCitation":"(11)","plainTextFormattedCitation":"(11)","previouslyFormattedCitation":"(11)"},"properties":{"noteIndex":0},"schema":"https://github.com/citation-style-language/schema/raw/master/csl-citation.json"}</w:instrText>
      </w:r>
      <w:r w:rsidR="00B038F4"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(11)</w:t>
      </w:r>
      <w:r w:rsidR="00B038F4" w:rsidRPr="00F93CB1">
        <w:rPr>
          <w:rFonts w:ascii="Calibri" w:eastAsia="Calibri" w:hAnsi="Calibri" w:cs="Times New Roman"/>
          <w:color w:val="auto"/>
          <w:szCs w:val="22"/>
          <w:lang w:val="en-US" w:eastAsia="en-US"/>
        </w:rPr>
        <w:fldChar w:fldCharType="end"/>
      </w:r>
      <w:r w:rsidRPr="00F93CB1">
        <w:rPr>
          <w:rFonts w:ascii="Calibri" w:eastAsia="Calibri" w:hAnsi="Calibri" w:cs="Times New Roman"/>
          <w:color w:val="auto"/>
          <w:szCs w:val="22"/>
          <w:lang w:val="en-US" w:eastAsia="en-US"/>
        </w:rPr>
        <w:t>.</w:t>
      </w:r>
      <w:r w:rsidR="00C5358B" w:rsidRPr="00F93CB1">
        <w:rPr>
          <w:rFonts w:ascii="Calibri" w:eastAsia="Calibri" w:hAnsi="Calibri" w:cs="Times New Roman"/>
          <w:color w:val="auto"/>
          <w:szCs w:val="22"/>
          <w:lang w:val="en-US" w:eastAsia="en-US"/>
        </w:rPr>
        <w:t xml:space="preserve"> The same holds true for LN</w:t>
      </w:r>
      <w:r w:rsidRPr="00F93CB1">
        <w:rPr>
          <w:rFonts w:ascii="Calibri" w:eastAsia="Calibri" w:hAnsi="Calibri" w:cs="Times New Roman"/>
          <w:color w:val="auto"/>
          <w:szCs w:val="22"/>
          <w:lang w:val="en-US" w:eastAsia="en-US"/>
        </w:rPr>
        <w:t>, especially since some of the clinical parameters we rely on for renal disease (serum creatinine and proteinuria) can represent both active</w:t>
      </w:r>
      <w:r w:rsidR="005E551A" w:rsidRPr="00F93CB1">
        <w:rPr>
          <w:rFonts w:ascii="Calibri" w:eastAsia="Calibri" w:hAnsi="Calibri" w:cs="Times New Roman"/>
          <w:color w:val="auto"/>
          <w:szCs w:val="22"/>
          <w:lang w:val="en-US" w:eastAsia="en-US"/>
        </w:rPr>
        <w:t xml:space="preserve"> disease – that may be treated with further immunosuppression – or</w:t>
      </w:r>
      <w:r w:rsidRPr="00F93CB1">
        <w:rPr>
          <w:rFonts w:ascii="Calibri" w:eastAsia="Calibri" w:hAnsi="Calibri" w:cs="Times New Roman"/>
          <w:color w:val="auto"/>
          <w:szCs w:val="22"/>
          <w:lang w:val="en-US" w:eastAsia="en-US"/>
        </w:rPr>
        <w:t xml:space="preserve"> chronic </w:t>
      </w:r>
      <w:r w:rsidR="005E551A" w:rsidRPr="00F93CB1">
        <w:rPr>
          <w:rFonts w:ascii="Calibri" w:eastAsia="Calibri" w:hAnsi="Calibri" w:cs="Times New Roman"/>
          <w:color w:val="auto"/>
          <w:szCs w:val="22"/>
          <w:lang w:val="en-US" w:eastAsia="en-US"/>
        </w:rPr>
        <w:t xml:space="preserve">damage – which would not benefit from additional immunomodulation. </w:t>
      </w:r>
      <w:r w:rsidRPr="00F93CB1">
        <w:rPr>
          <w:rFonts w:ascii="Calibri" w:eastAsia="Calibri" w:hAnsi="Calibri" w:cs="Times New Roman"/>
          <w:color w:val="auto"/>
          <w:szCs w:val="22"/>
          <w:lang w:val="en-US" w:eastAsia="en-US"/>
        </w:rPr>
        <w:t>For those reasons, clinical remission definitions in LN are many and rarely agreed upon</w:t>
      </w:r>
      <w:r w:rsidR="00B038F4" w:rsidRPr="00F93CB1">
        <w:rPr>
          <w:rFonts w:ascii="Calibri" w:eastAsia="Calibri" w:hAnsi="Calibri" w:cs="Times New Roman"/>
          <w:color w:val="auto"/>
          <w:szCs w:val="22"/>
          <w:lang w:val="en-US" w:eastAsia="en-US"/>
        </w:rPr>
        <w:t xml:space="preserve"> </w:t>
      </w:r>
      <w:r w:rsidR="00B038F4"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{"citationItems":[{"id":"ITEM-1","itemData":{"DOI":"10.1186/s13075-015-0621-6","ISSN":"1478-6354","PMID":"25927414","abstract":"Systemic lupus erythematosus (SLE) is a systemic autoimmune disease with diverse manifestations. Although the approval of new therapies includes only one agent in 50 years, a number of promising new drugs are in development. Lupus nephritis is a dreaded complication of SLE as it is associated with significant morbidity and mortality. Advancing the treatment of lupus nephritis requires well-designed clinical trials and this can be challenging in SLE. The major obstacles involve identifying the correct population of patients to enroll and ensuring that a clinically appropriate and patient-centered endpoint is being measured. In this review, we will first discuss the clinical utility of endpoints chosen to represent lupus nephritis in global disease activity scales. Second, we will review completed and active trials focused on lupus nephritis and discuss the endpoints chosen. There are many important lessons to be learned from existing assessment tools and clinical trials. Reviewing these points will help ensure that future efforts will yield meaningful disease activity measures and well-designed clinical trials to advance our understanding of lupus management.","author":[{"dropping-particle":"","family":"Corapi","given":"Kristin M","non-dropping-particle":"","parse-names":false,"suffix":""},{"dropping-particle":"","family":"Dooley","given":"Mary Anne","non-dropping-particle":"","parse-names":false,"suffix":""},{"dropping-particle":"","family":"Pendergraft","given":"William F","non-dropping-particle":"","parse-names":false,"suffix":""}],"container-title":"Arthritis Research &amp; Therapy","id":"ITEM-1","issue":"1","issued":{"date-parts":[["2015"]]},"page":"110","publisher":"???","title":"Comparison and evaluation of lupus nephritis response criteria in lupus activity indices and clinical trials","type":"article-journal","volume":"17"},"uris":["http://www.mendeley.com/documents/?uuid=2712b4dc-3954-42c0-9b9d-730443f4ae82"]}],"mendeley":{"formattedCitation":"(12)","plainTextFormattedCitation":"(12)","previouslyFormattedCitation":"(12)"},"properties":{"noteIndex":0},"schema":"https://github.com/citation-style-language/schema/raw/master/csl-citation.json"}</w:instrText>
      </w:r>
      <w:r w:rsidR="00B038F4"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(12)</w:t>
      </w:r>
      <w:r w:rsidR="00B038F4" w:rsidRPr="00F93CB1">
        <w:rPr>
          <w:rFonts w:ascii="Calibri" w:eastAsia="Calibri" w:hAnsi="Calibri" w:cs="Times New Roman"/>
          <w:color w:val="auto"/>
          <w:szCs w:val="22"/>
          <w:lang w:val="en-US" w:eastAsia="en-US"/>
        </w:rPr>
        <w:fldChar w:fldCharType="end"/>
      </w:r>
      <w:r w:rsidR="005E551A" w:rsidRPr="00F93CB1">
        <w:rPr>
          <w:rFonts w:ascii="Calibri" w:eastAsia="Calibri" w:hAnsi="Calibri" w:cs="Times New Roman"/>
          <w:color w:val="auto"/>
          <w:szCs w:val="22"/>
          <w:lang w:val="en-US" w:eastAsia="en-US"/>
        </w:rPr>
        <w:t>.</w:t>
      </w:r>
      <w:r w:rsidR="00574B6A" w:rsidRPr="00F93CB1">
        <w:rPr>
          <w:rFonts w:ascii="Calibri" w:eastAsia="Calibri" w:hAnsi="Calibri" w:cs="Times New Roman"/>
          <w:color w:val="auto"/>
          <w:szCs w:val="22"/>
          <w:lang w:val="en-US" w:eastAsia="en-US"/>
        </w:rPr>
        <w:t xml:space="preserve"> </w:t>
      </w:r>
      <w:r w:rsidR="005E551A" w:rsidRPr="00F93CB1">
        <w:rPr>
          <w:rFonts w:ascii="Calibri" w:eastAsia="Calibri" w:hAnsi="Calibri" w:cs="Times New Roman"/>
          <w:color w:val="auto"/>
          <w:szCs w:val="22"/>
          <w:lang w:val="en-US" w:eastAsia="en-US"/>
        </w:rPr>
        <w:t>M</w:t>
      </w:r>
      <w:r w:rsidRPr="00F93CB1">
        <w:rPr>
          <w:rFonts w:ascii="Calibri" w:eastAsia="Calibri" w:hAnsi="Calibri" w:cs="Times New Roman"/>
          <w:color w:val="auto"/>
          <w:szCs w:val="22"/>
          <w:lang w:val="en-US" w:eastAsia="en-US"/>
        </w:rPr>
        <w:t xml:space="preserve">ore importantly, </w:t>
      </w:r>
      <w:r w:rsidR="005E551A" w:rsidRPr="00F93CB1">
        <w:rPr>
          <w:rFonts w:ascii="Calibri" w:eastAsia="Calibri" w:hAnsi="Calibri" w:cs="Times New Roman"/>
          <w:color w:val="auto"/>
          <w:szCs w:val="22"/>
          <w:lang w:val="en-US" w:eastAsia="en-US"/>
        </w:rPr>
        <w:t>clinical activity poorly correlates with</w:t>
      </w:r>
      <w:r w:rsidRPr="00F93CB1">
        <w:rPr>
          <w:rFonts w:ascii="Calibri" w:eastAsia="Calibri" w:hAnsi="Calibri" w:cs="Times New Roman"/>
          <w:color w:val="auto"/>
          <w:szCs w:val="22"/>
          <w:lang w:val="en-US" w:eastAsia="en-US"/>
        </w:rPr>
        <w:t xml:space="preserve"> histologic activity</w:t>
      </w:r>
      <w:r w:rsidR="00B038F4" w:rsidRPr="00F93CB1">
        <w:rPr>
          <w:rFonts w:ascii="Calibri" w:eastAsia="Calibri" w:hAnsi="Calibri" w:cs="Times New Roman"/>
          <w:color w:val="auto"/>
          <w:szCs w:val="22"/>
          <w:lang w:val="en-US" w:eastAsia="en-US"/>
        </w:rPr>
        <w:t xml:space="preserve"> </w:t>
      </w:r>
      <w:r w:rsidR="00B038F4"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{"citationItems":[{"id":"ITEM-1","itemData":{"DOI":"10.1093/ndt/gfv296","ISBN":"1460-2385 (Electronic)\\r0931-0509 (Linking)","ISSN":"14602385","PMID":"26250434","abstract":"BACKGROUND: Treatment response in lupus nephritis (LN) is defined clinically, without consideration of renal histology. Few studies have systematically examined histologic responses to induction therapy. In LN patients who underwent protocol kidney biopsies after induction immunosuppression, we describe the renal histology of the second biopsy and correlate histologic activity and damage with short- and long-term kidney outcomes. METHODS: Patients with suspected LN were biopsied for diagnosis (Biopsy 1), and those with proliferative LN were rebiopsied after induction (Biopsy 2). Histologic activity and damage at each biopsy were calculated as the National Institutes of Health activity and chronicity indices. Complete and partial renal responses after induction and after long-term follow-up were determined clinically. RESULTS: One-third of patients who achieved a complete clinical response after induction had persistently high histologic activity, and 62% of patients who had complete histologic remission on rebiopsy were still clinically active. Chronic renal damage increased after induction even in complete clinical responders. Chronicity at Biopsy 2 associated with long-term kidney function and development of chronic kidney disease. CONCLUSIONS: Early clinical and histologic outcomes are discordant in proliferative LN, and neither correlates with long-term renal outcome. The kidney accrues chronic damage rapidly and despite clinical response in LN. Preservation of kidney function may require therapeutic targeting of both chronic damage and inflammation during LN induction treatment.","author":[{"dropping-particle":"","family":"Malvar","given":"Ana","non-dropping-particle":"","parse-names":false,"suffix":""},{"dropping-particle":"","family":"Pirruccio","given":"Paola","non-dropping-particle":"","parse-names":false,"suffix":""},{"dropping-particle":"","family":"Alberton","given":"Valeria","non-dropping-particle":"","parse-names":false,"suffix":""},{"dropping-particle":"","family":"Lococo","given":"Bruno","non-dropping-particle":"","parse-names":false,"suffix":""},{"dropping-particle":"","family":"Recalde","given":"Cecilia","non-dropping-particle":"","parse-names":false,"suffix":""},{"dropping-particle":"","family":"Fazini","given":"Bernanda","non-dropping-particle":"","parse-names":false,"suffix":""},{"dropping-particle":"","family":"Nagaraja","given":"Haikady","non-dropping-particle":"","parse-names":false,"suffix":""},{"dropping-particle":"","family":"Indrakanti","given":"DIvya","non-dropping-particle":"","parse-names":false,"suffix":""},{"dropping-particle":"","family":"Rovin","given":"Brad H.","non-dropping-particle":"","parse-names":false,"suffix":""}],"container-title":"Nephrology Dialysis Transplantation","id":"ITEM-1","issue":"8","issued":{"date-parts":[["2017"]]},"page":"1338-1344","title":"Histologic versus clinical remission in proliferative lupus nephritis","type":"article-journal","volume":"32"},"uris":["http://www.mendeley.com/documents/?uuid=b1979b06-f2f7-4132-8c24-8d5c83a95b19"]}],"mendeley":{"formattedCitation":"(13)","plainTextFormattedCitation":"(13)","previouslyFormattedCitation":"(13)"},"properties":{"noteIndex":0},"schema":"https://github.com/citation-style-language/schema/raw/master/csl-citation.json"}</w:instrText>
      </w:r>
      <w:r w:rsidR="00B038F4"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(13)</w:t>
      </w:r>
      <w:r w:rsidR="00B038F4" w:rsidRPr="00F93CB1">
        <w:rPr>
          <w:rFonts w:ascii="Calibri" w:eastAsia="Calibri" w:hAnsi="Calibri" w:cs="Times New Roman"/>
          <w:color w:val="auto"/>
          <w:szCs w:val="22"/>
          <w:lang w:val="en-US" w:eastAsia="en-US"/>
        </w:rPr>
        <w:fldChar w:fldCharType="end"/>
      </w:r>
      <w:r w:rsidR="005E551A" w:rsidRPr="00F93CB1">
        <w:rPr>
          <w:rFonts w:ascii="Calibri" w:eastAsia="Calibri" w:hAnsi="Calibri" w:cs="Times New Roman"/>
          <w:color w:val="auto"/>
          <w:szCs w:val="22"/>
          <w:lang w:val="en-US" w:eastAsia="en-US"/>
        </w:rPr>
        <w:t>, further complicating clinical decisions</w:t>
      </w:r>
      <w:r w:rsidR="00DB12BB" w:rsidRPr="00F93CB1">
        <w:rPr>
          <w:rFonts w:ascii="Calibri" w:eastAsia="Calibri" w:hAnsi="Calibri" w:cs="Times New Roman"/>
          <w:color w:val="auto"/>
          <w:szCs w:val="22"/>
          <w:lang w:val="en-US" w:eastAsia="en-US"/>
        </w:rPr>
        <w:t>.</w:t>
      </w:r>
      <w:r w:rsidR="005E551A" w:rsidRPr="00F93CB1">
        <w:rPr>
          <w:rFonts w:ascii="Calibri" w:eastAsia="Calibri" w:hAnsi="Calibri" w:cs="Times New Roman"/>
          <w:color w:val="auto"/>
          <w:szCs w:val="22"/>
          <w:lang w:val="en-US" w:eastAsia="en-US"/>
        </w:rPr>
        <w:t xml:space="preserve"> To mitigate this, some centers are routinely performing repeat renal biopsies regardless of clinical </w:t>
      </w:r>
      <w:r w:rsidR="00286706" w:rsidRPr="00F93CB1">
        <w:rPr>
          <w:rFonts w:ascii="Calibri" w:eastAsia="Calibri" w:hAnsi="Calibri" w:cs="Times New Roman"/>
          <w:color w:val="auto"/>
          <w:szCs w:val="22"/>
          <w:lang w:val="en-US" w:eastAsia="en-US"/>
        </w:rPr>
        <w:t>indication</w:t>
      </w:r>
      <w:r w:rsidR="005E551A" w:rsidRPr="00F93CB1">
        <w:rPr>
          <w:rFonts w:ascii="Calibri" w:eastAsia="Calibri" w:hAnsi="Calibri" w:cs="Times New Roman"/>
          <w:color w:val="auto"/>
          <w:szCs w:val="22"/>
          <w:lang w:val="en-US" w:eastAsia="en-US"/>
        </w:rPr>
        <w:t xml:space="preserve"> </w:t>
      </w:r>
      <w:r w:rsidR="00246829"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{"citationItems":[{"id":"ITEM-1","itemData":{"DOI":"10.1136/lupus-2014-000018","ISBN":"2014000018","ISSN":"2053-8790","PMID":"25379188","abstract":"OBJECTIVES: A renal biopsy is generally recommended for diagnosis and is necessary for classification of lupus nephritis (LN), but second biopsies after immunosuppressive therapy are seldom a routine procedure. We investigated how repeat biopsies contribute to the evaluation of treatment response and long-term outcome in LN.\\n\\nMETHODS: Sixty-seven patients with active LN were included. Renal biopsies were performed at diagnosis and after standard induction immunosuppressive therapy in all patients (median 8 months), regardless of clinical outcome. Biopsies were evaluated according to the International Society of Nephrology/Renal Pathology Society classification. Clinical response was defined as complete (CR), partial (PR) or non-response (NR) according to recent definitions. Histological response (HR) was defined as Class I, II or III/IV-C on repeat biopsies. Long-term renal outcome was determined in 55 patients after a median of 10 years.\\n\\nRESULTS: CR was demonstrated in 25%, PR in 27% and NR in 48% of patients. HR was shown in 42% and histopathological non-response (HNR) in 58% of patients. Twenty-nine per cent of CR and 61% of patients with PR had active lesions on repeat biopsies, that is, were HNR. Poor long-term renal outcome was associated with high chronicity index at repeated biopsies, but not with clinical or histological response.\\n\\nCONCLUSIONS: Despite apparent clinical response to immunosuppressive therapy, repeated biopsies revealed persisting active nephritis in almost half of the patients, thus providing additional information to clinical response criteria. Repeated renal biopsies may be a tool to improve the evaluation of treatment response in LN.","author":[{"dropping-particle":"","family":"Zickert","given":"a.","non-dropping-particle":"","parse-names":false,"suffix":""},{"dropping-particle":"","family":"Sundelin","given":"B.","non-dropping-particle":"","parse-names":false,"suffix":""},{"dropping-particle":"","family":"Svenungsson","given":"E.","non-dropping-particle":"","parse-names":false,"suffix":""},{"dropping-particle":"","family":"Gunnarsson","given":"I.","non-dropping-particle":"","parse-names":false,"suffix":""}],"container-title":"Lupus Science &amp; Medicine","id":"ITEM-1","issue":"1","issued":{"date-parts":[["2014"]]},"page":"e000018-e000018","title":"Role of early repeated renal biopsies in lupus nephritis","type":"article-journal","volume":"1"},"uris":["http://www.mendeley.com/documents/?uuid=ae6cfd2a-64d5-4012-b7f1-7c8b914b0825"]}],"mendeley":{"formattedCitation":"(14)","plainTextFormattedCitation":"(14)","previouslyFormattedCitation":"(14)"},"properties":{"noteIndex":0},"schema":"https://github.com/citation-style-language/schema/raw/master/csl-citation.json"}</w:instrText>
      </w:r>
      <w:r w:rsidR="00246829"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(14)</w:t>
      </w:r>
      <w:r w:rsidR="00246829" w:rsidRPr="00F93CB1">
        <w:rPr>
          <w:rFonts w:ascii="Calibri" w:eastAsia="Calibri" w:hAnsi="Calibri" w:cs="Times New Roman"/>
          <w:color w:val="auto"/>
          <w:szCs w:val="22"/>
          <w:lang w:val="en-US" w:eastAsia="en-US"/>
        </w:rPr>
        <w:fldChar w:fldCharType="end"/>
      </w:r>
      <w:r w:rsidR="00246829" w:rsidRPr="00F93CB1">
        <w:rPr>
          <w:rFonts w:ascii="Calibri" w:eastAsia="Calibri" w:hAnsi="Calibri" w:cs="Times New Roman"/>
          <w:color w:val="auto"/>
          <w:szCs w:val="22"/>
          <w:lang w:val="en-US" w:eastAsia="en-US"/>
        </w:rPr>
        <w:t>.</w:t>
      </w:r>
    </w:p>
    <w:p w:rsidR="00AC1091" w:rsidRPr="00F93CB1" w:rsidRDefault="00C518A8"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Nephrologists rely heavily on histomorphological fi</w:t>
      </w:r>
      <w:r w:rsidR="00E27E99" w:rsidRPr="00F93CB1">
        <w:rPr>
          <w:rFonts w:ascii="Calibri" w:eastAsia="Calibri" w:hAnsi="Calibri" w:cs="Times New Roman"/>
          <w:color w:val="auto"/>
          <w:szCs w:val="22"/>
          <w:lang w:val="en-US" w:eastAsia="en-US"/>
        </w:rPr>
        <w:t>ndings in LN, and general agreement is that immunosuppression should be started when the ISN/RPS classification suggests the patient has a</w:t>
      </w:r>
      <w:r w:rsidR="009C5C60" w:rsidRPr="00F93CB1">
        <w:rPr>
          <w:rFonts w:ascii="Calibri" w:eastAsia="Calibri" w:hAnsi="Calibri" w:cs="Times New Roman"/>
          <w:color w:val="auto"/>
          <w:szCs w:val="22"/>
          <w:lang w:val="en-US" w:eastAsia="en-US"/>
        </w:rPr>
        <w:t>n active proliferative disease (</w:t>
      </w:r>
      <w:r w:rsidR="00E27E99" w:rsidRPr="00F93CB1">
        <w:rPr>
          <w:rFonts w:ascii="Calibri" w:eastAsia="Calibri" w:hAnsi="Calibri" w:cs="Times New Roman"/>
          <w:color w:val="auto"/>
          <w:szCs w:val="22"/>
          <w:lang w:val="en-US" w:eastAsia="en-US"/>
        </w:rPr>
        <w:t>class III or IV with activity signs</w:t>
      </w:r>
      <w:r w:rsidR="009C5C60" w:rsidRPr="00F93CB1">
        <w:rPr>
          <w:rFonts w:ascii="Calibri" w:eastAsia="Calibri" w:hAnsi="Calibri" w:cs="Times New Roman"/>
          <w:color w:val="auto"/>
          <w:szCs w:val="22"/>
          <w:lang w:val="en-US" w:eastAsia="en-US"/>
        </w:rPr>
        <w:t>) or a severe membranous LN (class V)</w:t>
      </w:r>
      <w:r w:rsidR="00E27E99" w:rsidRPr="00F93CB1">
        <w:rPr>
          <w:rFonts w:ascii="Calibri" w:eastAsia="Calibri" w:hAnsi="Calibri" w:cs="Times New Roman"/>
          <w:color w:val="auto"/>
          <w:szCs w:val="22"/>
          <w:lang w:val="en-US" w:eastAsia="en-US"/>
        </w:rPr>
        <w:t xml:space="preserve">; treating renal </w:t>
      </w:r>
      <w:r w:rsidR="00E27E99" w:rsidRPr="00F93CB1">
        <w:rPr>
          <w:rFonts w:ascii="Calibri" w:eastAsia="Calibri" w:hAnsi="Calibri" w:cs="Times New Roman"/>
          <w:color w:val="auto"/>
          <w:szCs w:val="22"/>
          <w:lang w:val="en-US" w:eastAsia="en-US"/>
        </w:rPr>
        <w:lastRenderedPageBreak/>
        <w:t xml:space="preserve">affection </w:t>
      </w:r>
      <w:r w:rsidR="002447C6" w:rsidRPr="00F93CB1">
        <w:rPr>
          <w:rFonts w:ascii="Calibri" w:eastAsia="Calibri" w:hAnsi="Calibri" w:cs="Times New Roman"/>
          <w:color w:val="auto"/>
          <w:szCs w:val="22"/>
          <w:lang w:val="en-US" w:eastAsia="en-US"/>
        </w:rPr>
        <w:t xml:space="preserve">with immunosuppressive drugs </w:t>
      </w:r>
      <w:r w:rsidR="00E27E99" w:rsidRPr="00F93CB1">
        <w:rPr>
          <w:rFonts w:ascii="Calibri" w:eastAsia="Calibri" w:hAnsi="Calibri" w:cs="Times New Roman"/>
          <w:color w:val="auto"/>
          <w:szCs w:val="22"/>
          <w:lang w:val="en-US" w:eastAsia="en-US"/>
        </w:rPr>
        <w:t xml:space="preserve">for other classes is typically not recommended. </w:t>
      </w:r>
      <w:r w:rsidR="00DB12BB" w:rsidRPr="00F93CB1">
        <w:rPr>
          <w:rFonts w:ascii="Calibri" w:eastAsia="Calibri" w:hAnsi="Calibri" w:cs="Times New Roman"/>
          <w:color w:val="auto"/>
          <w:szCs w:val="22"/>
          <w:lang w:val="en-US" w:eastAsia="en-US"/>
        </w:rPr>
        <w:t>S</w:t>
      </w:r>
      <w:r w:rsidR="009C5C60" w:rsidRPr="00F93CB1">
        <w:rPr>
          <w:rFonts w:ascii="Calibri" w:eastAsia="Calibri" w:hAnsi="Calibri" w:cs="Times New Roman"/>
          <w:color w:val="auto"/>
          <w:szCs w:val="22"/>
          <w:lang w:val="en-US" w:eastAsia="en-US"/>
        </w:rPr>
        <w:t>ome limitations to the</w:t>
      </w:r>
      <w:r w:rsidR="00E27E99" w:rsidRPr="00F93CB1">
        <w:rPr>
          <w:rFonts w:ascii="Calibri" w:eastAsia="Calibri" w:hAnsi="Calibri" w:cs="Times New Roman"/>
          <w:color w:val="auto"/>
          <w:szCs w:val="22"/>
          <w:lang w:val="en-US" w:eastAsia="en-US"/>
        </w:rPr>
        <w:t xml:space="preserve"> ISN/RPS classification </w:t>
      </w:r>
      <w:r w:rsidR="009C5C60" w:rsidRPr="00F93CB1">
        <w:rPr>
          <w:rFonts w:ascii="Calibri" w:eastAsia="Calibri" w:hAnsi="Calibri" w:cs="Times New Roman"/>
          <w:color w:val="auto"/>
          <w:szCs w:val="22"/>
          <w:lang w:val="en-US" w:eastAsia="en-US"/>
        </w:rPr>
        <w:t xml:space="preserve">need to be </w:t>
      </w:r>
      <w:r w:rsidR="00EF7A73" w:rsidRPr="00F93CB1">
        <w:rPr>
          <w:rFonts w:ascii="Calibri" w:eastAsia="Calibri" w:hAnsi="Calibri" w:cs="Times New Roman"/>
          <w:color w:val="auto"/>
          <w:szCs w:val="22"/>
          <w:lang w:val="en-US" w:eastAsia="en-US"/>
        </w:rPr>
        <w:t>considered</w:t>
      </w:r>
      <w:r w:rsidR="009C5C60" w:rsidRPr="00F93CB1">
        <w:rPr>
          <w:rFonts w:ascii="Calibri" w:eastAsia="Calibri" w:hAnsi="Calibri" w:cs="Times New Roman"/>
          <w:color w:val="auto"/>
          <w:szCs w:val="22"/>
          <w:lang w:val="en-US" w:eastAsia="en-US"/>
        </w:rPr>
        <w:t xml:space="preserve">, starting by the fact that it </w:t>
      </w:r>
      <w:r w:rsidR="00E27E99" w:rsidRPr="00F93CB1">
        <w:rPr>
          <w:rFonts w:ascii="Calibri" w:eastAsia="Calibri" w:hAnsi="Calibri" w:cs="Times New Roman"/>
          <w:color w:val="auto"/>
          <w:szCs w:val="22"/>
          <w:lang w:val="en-US" w:eastAsia="en-US"/>
        </w:rPr>
        <w:t>is</w:t>
      </w:r>
      <w:r w:rsidR="00EF7A73" w:rsidRPr="00F93CB1">
        <w:rPr>
          <w:rFonts w:ascii="Calibri" w:eastAsia="Calibri" w:hAnsi="Calibri" w:cs="Times New Roman"/>
          <w:color w:val="auto"/>
          <w:szCs w:val="22"/>
          <w:lang w:val="en-US" w:eastAsia="en-US"/>
        </w:rPr>
        <w:t>, by definition, glomerulo</w:t>
      </w:r>
      <w:r w:rsidR="00E27E99" w:rsidRPr="00F93CB1">
        <w:rPr>
          <w:rFonts w:ascii="Calibri" w:eastAsia="Calibri" w:hAnsi="Calibri" w:cs="Times New Roman"/>
          <w:color w:val="auto"/>
          <w:szCs w:val="22"/>
          <w:lang w:val="en-US" w:eastAsia="en-US"/>
        </w:rPr>
        <w:t>centric, leaving little to no space to the description of the full spectrum of histomorphological manifestations of LN. This confers an almost dichotomic</w:t>
      </w:r>
      <w:r w:rsidR="00407DE2" w:rsidRPr="00F93CB1">
        <w:rPr>
          <w:rFonts w:ascii="Calibri" w:eastAsia="Calibri" w:hAnsi="Calibri" w:cs="Times New Roman"/>
          <w:color w:val="auto"/>
          <w:szCs w:val="22"/>
          <w:lang w:val="en-US" w:eastAsia="en-US"/>
        </w:rPr>
        <w:t>-aura (i.e. treat / don’t treat) to the current classification, and hampers the introduction of diagnostic subtleties such as lupus podocytopathy</w:t>
      </w:r>
      <w:r w:rsidR="00B038F4" w:rsidRPr="00F93CB1">
        <w:rPr>
          <w:rFonts w:ascii="Calibri" w:eastAsia="Calibri" w:hAnsi="Calibri" w:cs="Times New Roman"/>
          <w:color w:val="auto"/>
          <w:szCs w:val="22"/>
          <w:lang w:val="en-US" w:eastAsia="en-US"/>
        </w:rPr>
        <w:t xml:space="preserve"> </w:t>
      </w:r>
      <w:r w:rsidR="00B038F4"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{"citationItems":[{"id":"ITEM-1","itemData":{"DOI":"10.2215/CJN.01880216","ISSN":"1555905X","author":[{"dropping-particle":"","family":"Bomback","given":"Andrew S.","non-dropping-particle":"","parse-names":false,"suffix":""},{"dropping-particle":"","family":"Markowitz","given":"Glen S.","non-dropping-particle":"","parse-names":false,"suffix":""}],"container-title":"Clinical journal of the American Society of Nephrology : CJASN","id":"ITEM-1","issue":"4","issued":{"date-parts":[["2016"]]},"page":"547-548","title":"Lupus Podocytopathy: A Distinct Entity","type":"article-journal","volume":"11"},"uris":["http://www.mendeley.com/documents/?uuid=7afc6bfe-2ca4-43a7-9f2b-fa7695d73daa"]}],"mendeley":{"formattedCitation":"(15)","plainTextFormattedCitation":"(15)","previouslyFormattedCitation":"(15)"},"properties":{"noteIndex":0},"schema":"https://github.com/citation-style-language/schema/raw/master/csl-citation.json"}</w:instrText>
      </w:r>
      <w:r w:rsidR="00B038F4"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(15)</w:t>
      </w:r>
      <w:r w:rsidR="00B038F4" w:rsidRPr="00F93CB1">
        <w:rPr>
          <w:rFonts w:ascii="Calibri" w:eastAsia="Calibri" w:hAnsi="Calibri" w:cs="Times New Roman"/>
          <w:color w:val="auto"/>
          <w:szCs w:val="22"/>
          <w:lang w:val="en-US" w:eastAsia="en-US"/>
        </w:rPr>
        <w:fldChar w:fldCharType="end"/>
      </w:r>
      <w:r w:rsidR="00407DE2" w:rsidRPr="00F93CB1">
        <w:rPr>
          <w:rFonts w:ascii="Calibri" w:eastAsia="Calibri" w:hAnsi="Calibri" w:cs="Times New Roman"/>
          <w:color w:val="auto"/>
          <w:szCs w:val="22"/>
          <w:lang w:val="en-US" w:eastAsia="en-US"/>
        </w:rPr>
        <w:t xml:space="preserve">. </w:t>
      </w:r>
      <w:r w:rsidR="009C5C60" w:rsidRPr="00F93CB1">
        <w:rPr>
          <w:rFonts w:ascii="Calibri" w:eastAsia="Calibri" w:hAnsi="Calibri" w:cs="Times New Roman"/>
          <w:color w:val="auto"/>
          <w:szCs w:val="22"/>
          <w:lang w:val="en-US" w:eastAsia="en-US"/>
        </w:rPr>
        <w:t xml:space="preserve">Another issue is that while nephrologists are sensible to findings such as tubular atrophy and interstitial fibrosis, </w:t>
      </w:r>
      <w:r w:rsidR="002B5F71" w:rsidRPr="00F93CB1">
        <w:rPr>
          <w:rFonts w:ascii="Calibri" w:eastAsia="Calibri" w:hAnsi="Calibri" w:cs="Times New Roman"/>
          <w:color w:val="auto"/>
          <w:szCs w:val="22"/>
          <w:lang w:val="en-US" w:eastAsia="en-US"/>
        </w:rPr>
        <w:t xml:space="preserve">until the last update, </w:t>
      </w:r>
      <w:r w:rsidR="00407DE2" w:rsidRPr="00F93CB1">
        <w:rPr>
          <w:rFonts w:ascii="Calibri" w:eastAsia="Calibri" w:hAnsi="Calibri" w:cs="Times New Roman"/>
          <w:color w:val="auto"/>
          <w:szCs w:val="22"/>
          <w:lang w:val="en-US" w:eastAsia="en-US"/>
        </w:rPr>
        <w:t xml:space="preserve">ISN/RPS </w:t>
      </w:r>
      <w:r w:rsidR="002B5F71" w:rsidRPr="00F93CB1">
        <w:rPr>
          <w:rFonts w:ascii="Calibri" w:eastAsia="Calibri" w:hAnsi="Calibri" w:cs="Times New Roman"/>
          <w:color w:val="auto"/>
          <w:szCs w:val="22"/>
          <w:lang w:val="en-US" w:eastAsia="en-US"/>
        </w:rPr>
        <w:t xml:space="preserve">failed </w:t>
      </w:r>
      <w:r w:rsidR="009C5C60" w:rsidRPr="00F93CB1">
        <w:rPr>
          <w:rFonts w:ascii="Calibri" w:eastAsia="Calibri" w:hAnsi="Calibri" w:cs="Times New Roman"/>
          <w:color w:val="auto"/>
          <w:szCs w:val="22"/>
          <w:lang w:val="en-US" w:eastAsia="en-US"/>
        </w:rPr>
        <w:t>to account for tubulointerstitial lesions adequately</w:t>
      </w:r>
      <w:r w:rsidR="007D3AA2" w:rsidRPr="00F93CB1">
        <w:rPr>
          <w:rFonts w:ascii="Calibri" w:eastAsia="Calibri" w:hAnsi="Calibri" w:cs="Times New Roman"/>
          <w:color w:val="auto"/>
          <w:szCs w:val="22"/>
          <w:lang w:val="en-US" w:eastAsia="en-US"/>
        </w:rPr>
        <w:t xml:space="preserve">. Injury to the tubulointerstitial compartment appears to </w:t>
      </w:r>
      <w:r w:rsidR="00BD1B4D" w:rsidRPr="00F93CB1">
        <w:rPr>
          <w:rFonts w:ascii="Calibri" w:eastAsia="Calibri" w:hAnsi="Calibri" w:cs="Times New Roman"/>
          <w:color w:val="auto"/>
          <w:szCs w:val="22"/>
          <w:lang w:val="en-US" w:eastAsia="en-US"/>
        </w:rPr>
        <w:t xml:space="preserve">poorly correlate with glomerular </w:t>
      </w:r>
      <w:r w:rsidR="007D3AA2" w:rsidRPr="00F93CB1">
        <w:rPr>
          <w:rFonts w:ascii="Calibri" w:eastAsia="Calibri" w:hAnsi="Calibri" w:cs="Times New Roman"/>
          <w:color w:val="auto"/>
          <w:szCs w:val="22"/>
          <w:lang w:val="en-US" w:eastAsia="en-US"/>
        </w:rPr>
        <w:t xml:space="preserve">lesions </w:t>
      </w:r>
      <w:r w:rsidR="007D3AA2"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{"citationItems":[{"id":"ITEM-1","itemData":{"DOI":"10.1016/j.semnephrol.2015.08.007","ISSN":"15584488","PMID":"26573548","abstract":"Nephritis is a common complication of systemic lupus erythematosus for which current therapies often prove inadequate. Current lupus nephritis classification systems emphasize glomerular acuity and scarring. However, tubulointerstitial inflammation (TII) and scarring are much better predictors of progression to renal failure. It now is becoming clear that the immunologic features, and probable underlying mechanisms, are very different in lupus glomerulonephritis and TII at the time of biopsy. Although glomerulonephritis is a manifestation of systemic autoimmunity, TII is associated with local in situ adaptive immune cell networks predicted to amplify local inflammation and tissue damage. In addition, poorly defined networks of innate immune cells and effectors likely contribute to the severity of local inflammation. Defining these in situ immune mechanisms should lead to a better understanding of prognostically meaningful lupus nephritis subsets and show novel therapeutic opportunities.","author":[{"dropping-particle":"","family":"Clark","given":"Marcus R.","non-dropping-particle":"","parse-names":false,"suffix":""},{"dropping-particle":"","family":"Trotter","given":"Kimberly","non-dropping-particle":"","parse-names":false,"suffix":""},{"dropping-particle":"","family":"Chang","given":"Anthony","non-dropping-particle":"","parse-names":false,"suffix":""}],"container-title":"Seminars in Nephrology","id":"ITEM-1","issue":"5","issued":{"date-parts":[["2015"]]},"page":"455-464","publisher":"Elsevier","title":"The Pathogenesis and Therapeutic Implications of Tubulointerstitial Inflammation in Human Lupus Nephritis","type":"article-journal","volume":"35"},"uris":["http://www.mendeley.com/documents/?uuid=e336e3c6-a8d2-47af-b2cf-9be3d031b58e"]},{"id":"ITEM-2","itemData":{"DOI":"10.1002/acr.20441","ISBN":"2151-4658 (Electronic)\\n2151-464X (Linking)","ISSN":"21514658","PMID":"21309006","abstract":"In lupus nephritis, glomerular injury correlates poorly with progression to renal failure. While the tubulointerstitium is also commonly involved, the importance of such involvement is not well defined. Therefore, we developed a simple method to assess the prognostic utility of measuring tubulointerstitial inflammation (TI).","author":[{"dropping-particle":"","family":"Hsieh","given":"Christine","non-dropping-particle":"","parse-names":false,"suffix":""},{"dropping-particle":"","family":"Chang","given":"Anthony","non-dropping-particle":"","parse-names":false,"suffix":""},{"dropping-particle":"","family":"Brandt","given":"Daniel","non-dropping-particle":"","parse-names":false,"suffix":""},{"dropping-particle":"","family":"Guttikonda","given":"Riteesha","non-dropping-particle":"","parse-names":false,"suffix":""},{"dropping-particle":"","family":"Utset","given":"Tammy O.","non-dropping-particle":"","parse-names":false,"suffix":""},{"dropping-particle":"","family":"Clark","given":"Marcus R.","non-dropping-particle":"","parse-names":false,"suffix":""}],"container-title":"Arthritis Care and Research","id":"ITEM-2","issue":"6","issued":{"date-parts":[["2011"]]},"page":"865-874","title":"Predicting outcomes of lupus nephritis with tubulointerstitial inflammation and scarring","type":"article-journal","volume":"63"},"uris":["http://www.mendeley.com/documents/?uuid=397bd9d0-e856-43d8-bbda-b678a4f4b944"]}],"mendeley":{"formattedCitation":"(16,17)","plainTextFormattedCitation":"(16,17)","previouslyFormattedCitation":"(16,17)"},"properties":{"noteIndex":0},"schema":"https://github.com/citation-style-language/schema/raw/master/csl-citation.json"}</w:instrText>
      </w:r>
      <w:r w:rsidR="007D3AA2"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(16,17)</w:t>
      </w:r>
      <w:r w:rsidR="007D3AA2" w:rsidRPr="00F93CB1">
        <w:rPr>
          <w:rFonts w:ascii="Calibri" w:eastAsia="Calibri" w:hAnsi="Calibri" w:cs="Times New Roman"/>
          <w:color w:val="auto"/>
          <w:szCs w:val="22"/>
          <w:lang w:val="en-US" w:eastAsia="en-US"/>
        </w:rPr>
        <w:fldChar w:fldCharType="end"/>
      </w:r>
      <w:r w:rsidR="007D3AA2" w:rsidRPr="00F93CB1">
        <w:rPr>
          <w:rFonts w:ascii="Calibri" w:eastAsia="Calibri" w:hAnsi="Calibri" w:cs="Times New Roman"/>
          <w:color w:val="auto"/>
          <w:szCs w:val="22"/>
          <w:lang w:val="en-US" w:eastAsia="en-US"/>
        </w:rPr>
        <w:t xml:space="preserve">, </w:t>
      </w:r>
      <w:r w:rsidR="00BD1B4D" w:rsidRPr="00F93CB1">
        <w:rPr>
          <w:rFonts w:ascii="Calibri" w:eastAsia="Calibri" w:hAnsi="Calibri" w:cs="Times New Roman"/>
          <w:color w:val="auto"/>
          <w:szCs w:val="22"/>
          <w:lang w:val="en-US" w:eastAsia="en-US"/>
        </w:rPr>
        <w:t xml:space="preserve">suggesting </w:t>
      </w:r>
      <w:r w:rsidR="00F118FA" w:rsidRPr="00F93CB1">
        <w:rPr>
          <w:rFonts w:ascii="Calibri" w:eastAsia="Calibri" w:hAnsi="Calibri" w:cs="Times New Roman"/>
          <w:color w:val="auto"/>
          <w:szCs w:val="22"/>
          <w:lang w:val="en-US" w:eastAsia="en-US"/>
        </w:rPr>
        <w:t xml:space="preserve">independent immunological pathways, which </w:t>
      </w:r>
      <w:r w:rsidR="002B5F71" w:rsidRPr="00F93CB1">
        <w:rPr>
          <w:rFonts w:ascii="Calibri" w:eastAsia="Calibri" w:hAnsi="Calibri" w:cs="Times New Roman"/>
          <w:color w:val="auto"/>
          <w:szCs w:val="22"/>
          <w:lang w:val="en-US" w:eastAsia="en-US"/>
        </w:rPr>
        <w:t xml:space="preserve">were </w:t>
      </w:r>
      <w:r w:rsidR="00F118FA" w:rsidRPr="00F93CB1">
        <w:rPr>
          <w:rFonts w:ascii="Calibri" w:eastAsia="Calibri" w:hAnsi="Calibri" w:cs="Times New Roman"/>
          <w:color w:val="auto"/>
          <w:szCs w:val="22"/>
          <w:lang w:val="en-US" w:eastAsia="en-US"/>
        </w:rPr>
        <w:t>oversimplified by</w:t>
      </w:r>
      <w:r w:rsidR="00BD1B4D" w:rsidRPr="00F93CB1">
        <w:rPr>
          <w:rFonts w:ascii="Calibri" w:eastAsia="Calibri" w:hAnsi="Calibri" w:cs="Times New Roman"/>
          <w:color w:val="auto"/>
          <w:szCs w:val="22"/>
          <w:lang w:val="en-US" w:eastAsia="en-US"/>
        </w:rPr>
        <w:t xml:space="preserve"> </w:t>
      </w:r>
      <w:r w:rsidR="007D3AA2" w:rsidRPr="00F93CB1">
        <w:rPr>
          <w:rFonts w:ascii="Calibri" w:eastAsia="Calibri" w:hAnsi="Calibri" w:cs="Times New Roman"/>
          <w:color w:val="auto"/>
          <w:szCs w:val="22"/>
          <w:lang w:val="en-US" w:eastAsia="en-US"/>
        </w:rPr>
        <w:t>the ISN/RPS classification</w:t>
      </w:r>
      <w:r w:rsidR="00F118FA" w:rsidRPr="00F93CB1">
        <w:rPr>
          <w:rFonts w:ascii="Calibri" w:eastAsia="Calibri" w:hAnsi="Calibri" w:cs="Times New Roman"/>
          <w:color w:val="auto"/>
          <w:szCs w:val="22"/>
          <w:lang w:val="en-US" w:eastAsia="en-US"/>
        </w:rPr>
        <w:t xml:space="preserve"> – this raises</w:t>
      </w:r>
      <w:r w:rsidR="007D3AA2" w:rsidRPr="00F93CB1">
        <w:rPr>
          <w:rFonts w:ascii="Calibri" w:eastAsia="Calibri" w:hAnsi="Calibri" w:cs="Times New Roman"/>
          <w:color w:val="auto"/>
          <w:szCs w:val="22"/>
          <w:lang w:val="en-US" w:eastAsia="en-US"/>
        </w:rPr>
        <w:t xml:space="preserve"> the question if the tubulointerstitial activity should </w:t>
      </w:r>
      <w:r w:rsidR="00F118FA" w:rsidRPr="00F93CB1">
        <w:rPr>
          <w:rFonts w:ascii="Calibri" w:eastAsia="Calibri" w:hAnsi="Calibri" w:cs="Times New Roman"/>
          <w:color w:val="auto"/>
          <w:szCs w:val="22"/>
          <w:lang w:val="en-US" w:eastAsia="en-US"/>
        </w:rPr>
        <w:t>itself</w:t>
      </w:r>
      <w:r w:rsidR="007D3AA2" w:rsidRPr="00F93CB1">
        <w:rPr>
          <w:rFonts w:ascii="Calibri" w:eastAsia="Calibri" w:hAnsi="Calibri" w:cs="Times New Roman"/>
          <w:color w:val="auto"/>
          <w:szCs w:val="22"/>
          <w:lang w:val="en-US" w:eastAsia="en-US"/>
        </w:rPr>
        <w:t xml:space="preserve"> be an indication for immunosuppressive therapy. </w:t>
      </w:r>
      <w:r w:rsidR="00BD1B4D" w:rsidRPr="00F93CB1">
        <w:rPr>
          <w:rFonts w:ascii="Calibri" w:eastAsia="Calibri" w:hAnsi="Calibri" w:cs="Times New Roman"/>
          <w:color w:val="auto"/>
          <w:szCs w:val="22"/>
          <w:lang w:val="en-US" w:eastAsia="en-US"/>
        </w:rPr>
        <w:t>Furthermore, and perhaps m</w:t>
      </w:r>
      <w:r w:rsidR="007D3AA2" w:rsidRPr="00F93CB1">
        <w:rPr>
          <w:rFonts w:ascii="Calibri" w:eastAsia="Calibri" w:hAnsi="Calibri" w:cs="Times New Roman"/>
          <w:color w:val="auto"/>
          <w:szCs w:val="22"/>
          <w:lang w:val="en-US" w:eastAsia="en-US"/>
        </w:rPr>
        <w:t xml:space="preserve">ost importantly, there is an increasing body of evidence showing that tubulointerstitial lesions are the most significant prognostic indicator in LN </w:t>
      </w:r>
      <w:r w:rsidR="007D3AA2"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{"citationItems":[{"id":"ITEM-1","itemData":{"DOI":"10.1002/acr.20441","ISBN":"2151-4658 (Electronic)\\n2151-464X (Linking)","ISSN":"21514658","PMID":"21309006","abstract":"In lupus nephritis, glomerular injury correlates poorly with progression to renal failure. While the tubulointerstitium is also commonly involved, the importance of such involvement is not well defined. Therefore, we developed a simple method to assess the prognostic utility of measuring tubulointerstitial inflammation (TI).","author":[{"dropping-particle":"","family":"Hsieh","given":"Christine","non-dropping-particle":"","parse-names":false,"suffix":""},{"dropping-particle":"","family":"Chang","given":"Anthony","non-dropping-particle":"","parse-names":false,"suffix":""},{"dropping-particle":"","family":"Brandt","given":"Daniel","non-dropping-particle":"","parse-names":false,"suffix":""},{"dropping-particle":"","family":"Guttikonda","given":"Riteesha","non-dropping-particle":"","parse-names":false,"suffix":""},{"dropping-particle":"","family":"Utset","given":"Tammy O.","non-dropping-particle":"","parse-names":false,"suffix":""},{"dropping-particle":"","family":"Clark","given":"Marcus R.","non-dropping-particle":"","parse-names":false,"suffix":""}],"container-title":"Arthritis Care and Research","id":"ITEM-1","issue":"6","issued":{"date-parts":[["2011"]]},"page":"865-874","title":"Predicting outcomes of lupus nephritis with tubulointerstitial inflammation and scarring","type":"article-journal","volume":"63"},"uris":["http://www.mendeley.com/documents/?uuid=397bd9d0-e856-43d8-bbda-b678a4f4b944"]},{"id":"ITEM-2","itemData":{"DOI":"10.1111/nep.12555","ISSN":"14401797","abstract":"Background: The glomerulocentric International Society of Nephrology/Renal Pathology Society (ISN/RPS) classification is the gold standard for the evaluation of lupus nephritis, while tubulointerstitial (TIN) parameters are often under-recognized in pathological reports. Methods: Renal biopsies from 142 patients who underwent repeat biopsy (RB) were evaluated for the following histological parameters: (i) inflammatory interstitial infiltrates; (ii) interstitial fibrosis; (iii) tubulitis; and (iv) tubular atrophy. The inter-relationships between the four TIN variables were explored by multivariate analysis. A linear mixed model was used to investigate the potential impact of TIN variables on eGFR and proteinuria at the two biopsy occasions. Results: The study showed that moderate-severe lesions were not so frequent at the reference biopsy, but more extensively represented upon RB. A strong association was found between the two inflammatory indices and between those related to chronic damage, while the relationship with the ISN/RPS classification was present at RB. If class IV-G was the most related with TIN (especially at RB), the existence of primary TIN in class II patients was also confirmed. Finally, our results support the hypothesis that tubulitis is an independent predictive factor for eGFR. Conclusions: We recommend that the standard histological evaluation of SLE nephritis also includes TIN features.","author":[{"dropping-particle":"","family":"Pagni","given":"Fabio","non-dropping-particle":"","parse-names":false,"suffix":""},{"dropping-particle":"","family":"Galimberti","given":"Stefania","non-dropping-particle":"","parse-names":false,"suffix":""},{"dropping-particle":"","family":"Galbiati","given":"Eleonora","non-dropping-particle":"","parse-names":false,"suffix":""},{"dropping-particle":"","family":"Rebora","given":"Paola","non-dropping-particle":"","parse-names":false,"suffix":""},{"dropping-particle":"","family":"Pietropaolo","given":"Veronica","non-dropping-particle":"","parse-names":false,"suffix":""},{"dropping-particle":"","family":"Pieruzzi","given":"Federico","non-dropping-particle":"","parse-names":false,"suffix":""},{"dropping-particle":"","family":"Smith","given":"Andrew James","non-dropping-particle":"","parse-names":false,"suffix":""},{"dropping-particle":"","family":"Ferrario","given":"Franco","non-dropping-particle":"","parse-names":false,"suffix":""}],"container-title":"Nephrology","id":"ITEM-2","issue":"1","issued":{"date-parts":[["2016"]]},"page":"35-45","title":"Tubulointerstitial lesions in lupus nephritis: International multicentre study in a large cohort of patients with repeat biopsy","type":"article-journal","volume":"21"},"uris":["http://www.mendeley.com/documents/?uuid=166612f8-7471-4f3a-9eaa-5b926aec16cd"]}],"mendeley":{"formattedCitation":"(17,18)","plainTextFormattedCitation":"(17,18)","previouslyFormattedCitation":"(17,18)"},"properties":{"noteIndex":0},"schema":"https://github.com/citation-style-language/schema/raw/master/csl-citation.json"}</w:instrText>
      </w:r>
      <w:r w:rsidR="007D3AA2"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(17,18)</w:t>
      </w:r>
      <w:r w:rsidR="007D3AA2" w:rsidRPr="00F93CB1">
        <w:rPr>
          <w:rFonts w:ascii="Calibri" w:eastAsia="Calibri" w:hAnsi="Calibri" w:cs="Times New Roman"/>
          <w:color w:val="auto"/>
          <w:szCs w:val="22"/>
          <w:lang w:val="en-US" w:eastAsia="en-US"/>
        </w:rPr>
        <w:fldChar w:fldCharType="end"/>
      </w:r>
      <w:r w:rsidR="007D3AA2" w:rsidRPr="00F93CB1">
        <w:rPr>
          <w:rFonts w:ascii="Calibri" w:eastAsia="Calibri" w:hAnsi="Calibri" w:cs="Times New Roman"/>
          <w:color w:val="auto"/>
          <w:szCs w:val="22"/>
          <w:lang w:val="en-US" w:eastAsia="en-US"/>
        </w:rPr>
        <w:t xml:space="preserve">. </w:t>
      </w:r>
      <w:bookmarkStart w:id="3" w:name="_Hlk536358561"/>
      <w:bookmarkStart w:id="4" w:name="_GoBack"/>
      <w:r w:rsidR="007D3AA2" w:rsidRPr="00F93CB1">
        <w:rPr>
          <w:rFonts w:ascii="Calibri" w:eastAsia="Calibri" w:hAnsi="Calibri" w:cs="Times New Roman"/>
          <w:color w:val="auto"/>
          <w:szCs w:val="22"/>
          <w:lang w:val="en-US" w:eastAsia="en-US"/>
        </w:rPr>
        <w:t xml:space="preserve">It is therefore not surprising that, despite being extensively used, the ISN/RPS classification </w:t>
      </w:r>
      <w:r w:rsidR="002B5F71" w:rsidRPr="00F93CB1">
        <w:rPr>
          <w:rFonts w:ascii="Calibri" w:eastAsia="Calibri" w:hAnsi="Calibri" w:cs="Times New Roman"/>
          <w:color w:val="auto"/>
          <w:szCs w:val="22"/>
          <w:lang w:val="en-US" w:eastAsia="en-US"/>
        </w:rPr>
        <w:t xml:space="preserve">could not </w:t>
      </w:r>
      <w:r w:rsidR="00407DE2" w:rsidRPr="00F93CB1">
        <w:rPr>
          <w:rFonts w:ascii="Calibri" w:eastAsia="Calibri" w:hAnsi="Calibri" w:cs="Times New Roman"/>
          <w:color w:val="auto"/>
          <w:szCs w:val="22"/>
          <w:lang w:val="en-US" w:eastAsia="en-US"/>
        </w:rPr>
        <w:t xml:space="preserve">predict clinical outcomes. This has </w:t>
      </w:r>
      <w:r w:rsidR="007D3AA2" w:rsidRPr="00F93CB1">
        <w:rPr>
          <w:rFonts w:ascii="Calibri" w:eastAsia="Calibri" w:hAnsi="Calibri" w:cs="Times New Roman"/>
          <w:color w:val="auto"/>
          <w:szCs w:val="22"/>
          <w:lang w:val="en-US" w:eastAsia="en-US"/>
        </w:rPr>
        <w:t>led</w:t>
      </w:r>
      <w:r w:rsidR="00CE7856" w:rsidRPr="00F93CB1">
        <w:rPr>
          <w:rFonts w:ascii="Calibri" w:eastAsia="Calibri" w:hAnsi="Calibri" w:cs="Times New Roman"/>
          <w:color w:val="auto"/>
          <w:szCs w:val="22"/>
          <w:lang w:val="en-US" w:eastAsia="en-US"/>
        </w:rPr>
        <w:t xml:space="preserve"> to the development of the indexes described</w:t>
      </w:r>
      <w:r w:rsidR="00B26654" w:rsidRPr="00F93CB1">
        <w:rPr>
          <w:rFonts w:ascii="Calibri" w:eastAsia="Calibri" w:hAnsi="Calibri" w:cs="Times New Roman"/>
          <w:color w:val="auto"/>
          <w:szCs w:val="22"/>
          <w:lang w:val="en-US" w:eastAsia="en-US"/>
        </w:rPr>
        <w:t xml:space="preserve"> by Austin and later by Hill</w:t>
      </w:r>
      <w:r w:rsidR="00CE7856" w:rsidRPr="00F93CB1">
        <w:rPr>
          <w:rFonts w:ascii="Calibri" w:eastAsia="Calibri" w:hAnsi="Calibri" w:cs="Times New Roman"/>
          <w:color w:val="auto"/>
          <w:szCs w:val="22"/>
          <w:lang w:val="en-US" w:eastAsia="en-US"/>
        </w:rPr>
        <w:t>, which have proven capable of estimating renal outcomes from the renal biopsy findings</w:t>
      </w:r>
      <w:r w:rsidR="002B5F71" w:rsidRPr="00F93CB1">
        <w:rPr>
          <w:rFonts w:ascii="Calibri" w:eastAsia="Calibri" w:hAnsi="Calibri" w:cs="Times New Roman"/>
          <w:color w:val="auto"/>
          <w:szCs w:val="22"/>
          <w:lang w:val="en-US" w:eastAsia="en-US"/>
        </w:rPr>
        <w:t>. Their integration in the most recent ISN/RPS classification reflects its importance</w:t>
      </w:r>
      <w:r w:rsidR="00CE7856" w:rsidRPr="00F93CB1">
        <w:rPr>
          <w:rFonts w:ascii="Calibri" w:eastAsia="Calibri" w:hAnsi="Calibri" w:cs="Times New Roman"/>
          <w:color w:val="auto"/>
          <w:szCs w:val="22"/>
          <w:lang w:val="en-US" w:eastAsia="en-US"/>
        </w:rPr>
        <w:t>.</w:t>
      </w:r>
      <w:r w:rsidR="00EE041B" w:rsidRPr="00F93CB1">
        <w:rPr>
          <w:rFonts w:ascii="Calibri" w:eastAsia="Calibri" w:hAnsi="Calibri" w:cs="Times New Roman"/>
          <w:color w:val="auto"/>
          <w:szCs w:val="22"/>
          <w:lang w:val="en-US" w:eastAsia="en-US"/>
        </w:rPr>
        <w:t xml:space="preserve"> </w:t>
      </w:r>
      <w:bookmarkEnd w:id="3"/>
      <w:bookmarkEnd w:id="4"/>
      <w:r w:rsidR="00AC1091" w:rsidRPr="00F93CB1">
        <w:rPr>
          <w:rFonts w:ascii="Calibri" w:eastAsia="Calibri" w:hAnsi="Calibri" w:cs="Times New Roman"/>
          <w:color w:val="auto"/>
          <w:szCs w:val="22"/>
          <w:lang w:val="en-US" w:eastAsia="en-US"/>
        </w:rPr>
        <w:t xml:space="preserve">In an era of continuous search for more sophisticated therapeutic strategies </w:t>
      </w:r>
      <w:r w:rsidR="00F87346" w:rsidRPr="00F93CB1">
        <w:rPr>
          <w:rFonts w:ascii="Calibri" w:eastAsia="Calibri" w:hAnsi="Calibri" w:cs="Times New Roman"/>
          <w:color w:val="auto"/>
          <w:szCs w:val="22"/>
          <w:lang w:val="en-US" w:eastAsia="en-US"/>
        </w:rPr>
        <w:fldChar w:fldCharType="begin" w:fldLock="1"/>
      </w:r>
      <w:r w:rsidR="002864B6" w:rsidRPr="00F93CB1">
        <w:rPr>
          <w:rFonts w:ascii="Calibri" w:eastAsia="Calibri" w:hAnsi="Calibri" w:cs="Times New Roman"/>
          <w:color w:val="auto"/>
          <w:szCs w:val="22"/>
          <w:lang w:val="en-US" w:eastAsia="en-US"/>
        </w:rPr>
        <w:instrText>ADDIN CSL_CITATION {"citationItems":[{"id":"ITEM-1","itemData":{"DOI":"10.1097/BOR.0000000000000381","ISBN":"0000000000000","ISSN":"1040-8711","PMID":"28207493","abstract":"Renal involvement in systemic lupus erythematosus (SLE) is a serious complication of the disease. However, the prognosis of patients with lupus nephritis is continually improving with 10-year survival rates now greater than 75%. This improvement reflects earlier diagnosis due to more sensitive and specific diagnostic tests, better clinical appreciation of the natural history, and improved treatment of SLE and its manifestations. This review of the treatment of lupus nephritis has graded the level of evidence of specific treatment using the guidelines of the US Preventive Service Task Force. Although many new treatments have been advocated, the best evidence for treating proliferative lupus nephritis relies on a strategy combining specific treatment of the SLE as well as generalised treatment of the associated comorbidities. This strategy involves a combination of corticosteroids and cytotoxic agents plus or minus the adjunctive use of antimalarials, coordinated aggressive management of hypertension, proteinuria, infections, dyslipidaemia, thrombotic coagulopathy and potential renal replacement therapies.","author":[{"dropping-particle":"","family":"Dall’Era","given":"Maria","non-dropping-particle":"","parse-names":false,"suffix":""}],"container-title":"Current Opinion in Rheumatology","id":"ITEM-1","issue":"3","issued":{"date-parts":[["2017"]]},"page":"241-247","title":"Treatment of lupus nephritis","type":"article-journal","volume":"29"},"uris":["http://www.mendeley.com/documents/?uuid=c3398777-3fed-47e4-99a5-b6493327be56"]},{"id":"ITEM-2","itemData":{"abstract":"Background Voclosporin (VCS) is a novel CNI intended for use in the treatment of autoimmune diseases such as lupus nephritis (LN). VCS&amp;#039;s unique structure allows for less pharmacokinetic-pharmacodynamic variability and a potentially improved safety profile compared to other CNIs.Objectives Achievement of complete remission (CR) as assessed at week 24 (primary objective) and assessment of the efficacy over 48 weeks (secondary objective), with 2 doses of VCS (low dose VCS: 23.7mg BID and high dose VCS: 39.5mg BID) vs. placebo in subjects with active LN.Methods The double blind placebo controlled AURA study enrolled 265 subjects with active LN in 20 countries. Patients were randomized into 3 arms (placebo, low dose VCS or high dose VCS) in addition to MMF 2g/day and steroids (with rapid tapering). CR was defined as a confirmed urine protein/creatinine ratio (UPCR) of ≤0.5 mg/mg using first morning void and confirmed estimated glomerular filtration rate (eGFR, CKD-EPI equation) ≥60 mL/min/1.73 m2 or no decrease from baseline in eGFR of ≥20% in the presence of low dose steroids. Partial remission (PR) was defined as a 50% reduction in UPCR. UPCR assessments were made at each visit, together with biomarker data at regular intervals.Results We now present the 48 week data showing improved CR rates over the 24 week data. The rate of CR was significantly higher in the low dose VCS compared to the control group (32.6% vs. 19.3%; OR: 2.03, p=0.045) at 24 weeks. It was 27.3% in the high dose VCS group (p=NS). Both doses of voclosporin demonstrated superiority to control using time to CR, PR (50% reduction in proteinuria) and time to PR.At 48 weeks, 23.9% of patients on the control arm achieved CR comparted to 49.4% low dose (OR: 3.21, p&amp;amp;lt;0.001) and 39.8% high dose (OR: 2.10, p&amp;amp;lt;0.026). Over 92% of subjects experienced at least one adverse event (AE) with the most common two being infections (58% low, 66% high and 55% placebo) and GI disorders (43% low, 52% high and 38% placebo). The overall rate of serious adverse events (SAEs) was numerically higher in both voclosporin groups (28% low, 25% high, 19% placebo) with the nature of SAEs consistent with those observed in patients with highly active LN. Most deaths occurred in the first 2 months and were: low dose (infection3, ARDS2, thrombotic3, cardiac tamponade, pulmonary hemorrhage), high dose (infection, PE) and control (CVA). All were considered unrelated to drug exposure by the investigators. 3 add…","author":[{"dropping-particle":"","family":"Dobronravov","given":"V","non-dropping-particle":"","parse-names":false,"suffix":""},{"dropping-particle":"","family":"Dooley","given":"M A","non-dropping-particle":"","parse-names":false,"suffix":""},{"dropping-particle":"","family":"Haq","given":"S A","non-dropping-particle":"","parse-names":false,"suffix":""},{"dropping-particle":"","family":"Adzerikho","given":"I","non-dropping-particle":"","parse-names":false,"suffix":""},{"dropping-particle":"","family":"Bugrova","given":"O","non-dropping-particle":"","parse-names":false,"suffix":""},{"dropping-particle":"","family":"Isenberg","given":"D","non-dropping-particle":"","parse-names":false,"suffix":""},{"dropping-particle":"","family":"Houssiau","given":"F","non-dropping-particle":"","parse-names":false,"suffix":""},{"dropping-particle":"","family":"Solomons","given":"N","non-dropping-particle":"","parse-names":false,"suffix":""},{"dropping-particle":"","family":"Huizinga","given":"R","non-dropping-particle":"","parse-names":false,"suffix":""}],"container-title":"Annals of the Rheumatic Diseases","id":"ITEM-2","issue":"Suppl 2","issued":{"date-parts":[["2017","6","15"]]},"page":"153 LP  - 153","title":"LB0002 48 week complete remission of active lupus nephritis with voclosporin","type":"article-journal","volume":"76"},"uris":["http://www.mendeley.com/documents/?uuid=3fa86500-5848-4f5c-885c-bec3fc26c875"]}],"mendeley":{"formattedCitation":"(19,20)","plainTextFormattedCitation":"(19,20)","previouslyFormattedCitation":"(19,20)"},"properties":{"noteIndex":0},"schema":"https://github.com/citation-style-language/schema/raw/master/csl-citation.json"}</w:instrText>
      </w:r>
      <w:r w:rsidR="00F87346" w:rsidRPr="00F93CB1">
        <w:rPr>
          <w:rFonts w:ascii="Calibri" w:eastAsia="Calibri" w:hAnsi="Calibri" w:cs="Times New Roman"/>
          <w:color w:val="auto"/>
          <w:szCs w:val="22"/>
          <w:lang w:val="en-US" w:eastAsia="en-US"/>
        </w:rPr>
        <w:fldChar w:fldCharType="separate"/>
      </w:r>
      <w:r w:rsidR="00574B6A" w:rsidRPr="00F93CB1">
        <w:rPr>
          <w:rFonts w:ascii="Calibri" w:eastAsia="Calibri" w:hAnsi="Calibri" w:cs="Times New Roman"/>
          <w:noProof/>
          <w:color w:val="auto"/>
          <w:szCs w:val="22"/>
          <w:lang w:val="en-US" w:eastAsia="en-US"/>
        </w:rPr>
        <w:t>(19,20)</w:t>
      </w:r>
      <w:r w:rsidR="00F87346" w:rsidRPr="00F93CB1">
        <w:rPr>
          <w:rFonts w:ascii="Calibri" w:eastAsia="Calibri" w:hAnsi="Calibri" w:cs="Times New Roman"/>
          <w:color w:val="auto"/>
          <w:szCs w:val="22"/>
          <w:lang w:val="en-US" w:eastAsia="en-US"/>
        </w:rPr>
        <w:fldChar w:fldCharType="end"/>
      </w:r>
      <w:r w:rsidR="00AC1091" w:rsidRPr="00F93CB1">
        <w:rPr>
          <w:rFonts w:ascii="Calibri" w:eastAsia="Calibri" w:hAnsi="Calibri" w:cs="Times New Roman"/>
          <w:color w:val="auto"/>
          <w:szCs w:val="22"/>
          <w:lang w:val="en-US" w:eastAsia="en-US"/>
        </w:rPr>
        <w:t xml:space="preserve">, it’s surprising that so little emphasis </w:t>
      </w:r>
      <w:r w:rsidR="002B5F71" w:rsidRPr="00F93CB1">
        <w:rPr>
          <w:rFonts w:ascii="Calibri" w:eastAsia="Calibri" w:hAnsi="Calibri" w:cs="Times New Roman"/>
          <w:color w:val="auto"/>
          <w:szCs w:val="22"/>
          <w:lang w:val="en-US" w:eastAsia="en-US"/>
        </w:rPr>
        <w:t xml:space="preserve">had </w:t>
      </w:r>
      <w:r w:rsidR="00AC1091" w:rsidRPr="00F93CB1">
        <w:rPr>
          <w:rFonts w:ascii="Calibri" w:eastAsia="Calibri" w:hAnsi="Calibri" w:cs="Times New Roman"/>
          <w:color w:val="auto"/>
          <w:szCs w:val="22"/>
          <w:lang w:val="en-US" w:eastAsia="en-US"/>
        </w:rPr>
        <w:t xml:space="preserve">been given to improve upon our </w:t>
      </w:r>
      <w:r w:rsidR="00F118FA" w:rsidRPr="00F93CB1">
        <w:rPr>
          <w:rFonts w:ascii="Calibri" w:eastAsia="Calibri" w:hAnsi="Calibri" w:cs="Times New Roman"/>
          <w:color w:val="auto"/>
          <w:szCs w:val="22"/>
          <w:lang w:val="en-US" w:eastAsia="en-US"/>
        </w:rPr>
        <w:t xml:space="preserve">current clearly insufficient </w:t>
      </w:r>
      <w:r w:rsidR="00AC1091" w:rsidRPr="00F93CB1">
        <w:rPr>
          <w:rFonts w:ascii="Calibri" w:eastAsia="Calibri" w:hAnsi="Calibri" w:cs="Times New Roman"/>
          <w:color w:val="auto"/>
          <w:szCs w:val="22"/>
          <w:lang w:val="en-US" w:eastAsia="en-US"/>
        </w:rPr>
        <w:t xml:space="preserve">diagnostic methods. Despite being “old news”, morphological indexes </w:t>
      </w:r>
      <w:r w:rsidR="00F118FA" w:rsidRPr="00F93CB1">
        <w:rPr>
          <w:rFonts w:ascii="Calibri" w:eastAsia="Calibri" w:hAnsi="Calibri" w:cs="Times New Roman"/>
          <w:color w:val="auto"/>
          <w:szCs w:val="22"/>
          <w:lang w:val="en-US" w:eastAsia="en-US"/>
        </w:rPr>
        <w:t xml:space="preserve">have the potential to </w:t>
      </w:r>
      <w:r w:rsidR="00AC1091" w:rsidRPr="00F93CB1">
        <w:rPr>
          <w:rFonts w:ascii="Calibri" w:eastAsia="Calibri" w:hAnsi="Calibri" w:cs="Times New Roman"/>
          <w:color w:val="auto"/>
          <w:szCs w:val="22"/>
          <w:lang w:val="en-US" w:eastAsia="en-US"/>
        </w:rPr>
        <w:t xml:space="preserve">introduce a more refined </w:t>
      </w:r>
      <w:r w:rsidR="00B52BC5" w:rsidRPr="00F93CB1">
        <w:rPr>
          <w:rFonts w:ascii="Calibri" w:eastAsia="Calibri" w:hAnsi="Calibri" w:cs="Times New Roman"/>
          <w:color w:val="auto"/>
          <w:szCs w:val="22"/>
          <w:lang w:val="en-US" w:eastAsia="en-US"/>
        </w:rPr>
        <w:t>approach to diagnosis</w:t>
      </w:r>
      <w:r w:rsidR="00F118FA" w:rsidRPr="00F93CB1">
        <w:rPr>
          <w:rFonts w:ascii="Calibri" w:eastAsia="Calibri" w:hAnsi="Calibri" w:cs="Times New Roman"/>
          <w:color w:val="auto"/>
          <w:szCs w:val="22"/>
          <w:lang w:val="en-US" w:eastAsia="en-US"/>
        </w:rPr>
        <w:t xml:space="preserve"> and therapy</w:t>
      </w:r>
      <w:r w:rsidR="00B52BC5" w:rsidRPr="00F93CB1">
        <w:rPr>
          <w:rFonts w:ascii="Calibri" w:eastAsia="Calibri" w:hAnsi="Calibri" w:cs="Times New Roman"/>
          <w:color w:val="auto"/>
          <w:szCs w:val="22"/>
          <w:lang w:val="en-US" w:eastAsia="en-US"/>
        </w:rPr>
        <w:t xml:space="preserve">, </w:t>
      </w:r>
      <w:proofErr w:type="gramStart"/>
      <w:r w:rsidR="00B52BC5" w:rsidRPr="00F93CB1">
        <w:rPr>
          <w:rFonts w:ascii="Calibri" w:eastAsia="Calibri" w:hAnsi="Calibri" w:cs="Times New Roman"/>
          <w:color w:val="auto"/>
          <w:szCs w:val="22"/>
          <w:lang w:val="en-US" w:eastAsia="en-US"/>
        </w:rPr>
        <w:t>similar to</w:t>
      </w:r>
      <w:proofErr w:type="gramEnd"/>
      <w:r w:rsidR="00B52BC5" w:rsidRPr="00F93CB1">
        <w:rPr>
          <w:rFonts w:ascii="Calibri" w:eastAsia="Calibri" w:hAnsi="Calibri" w:cs="Times New Roman"/>
          <w:color w:val="auto"/>
          <w:szCs w:val="22"/>
          <w:lang w:val="en-US" w:eastAsia="en-US"/>
        </w:rPr>
        <w:t xml:space="preserve"> what </w:t>
      </w:r>
      <w:r w:rsidR="00F118FA" w:rsidRPr="00F93CB1">
        <w:rPr>
          <w:rFonts w:ascii="Calibri" w:eastAsia="Calibri" w:hAnsi="Calibri" w:cs="Times New Roman"/>
          <w:color w:val="auto"/>
          <w:szCs w:val="22"/>
          <w:lang w:val="en-US" w:eastAsia="en-US"/>
        </w:rPr>
        <w:t xml:space="preserve">the </w:t>
      </w:r>
      <w:r w:rsidR="00B52BC5" w:rsidRPr="00F93CB1">
        <w:rPr>
          <w:rFonts w:ascii="Calibri" w:eastAsia="Calibri" w:hAnsi="Calibri" w:cs="Times New Roman"/>
          <w:color w:val="auto"/>
          <w:szCs w:val="22"/>
          <w:lang w:val="en-US" w:eastAsia="en-US"/>
        </w:rPr>
        <w:t>Banff criteria offer to the renal transplantation field.</w:t>
      </w:r>
    </w:p>
    <w:p w:rsidR="00EE041B" w:rsidRPr="00F93CB1" w:rsidRDefault="00B52BC5"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Our first goal was to evaluate the applicability of such </w:t>
      </w:r>
      <w:r w:rsidR="00EE041B" w:rsidRPr="00F93CB1">
        <w:rPr>
          <w:rFonts w:ascii="Calibri" w:eastAsia="Calibri" w:hAnsi="Calibri" w:cs="Times New Roman"/>
          <w:color w:val="auto"/>
          <w:szCs w:val="22"/>
          <w:lang w:val="en-US" w:eastAsia="en-US"/>
        </w:rPr>
        <w:t>scores: despite not being familiar with them and requiring an additional effort, we had no substantial difficulty in their application. The second goal was to evaluate their utility in predicting response to treatment and prognosis.</w:t>
      </w:r>
      <w:r w:rsidR="00C5358B" w:rsidRPr="00F93CB1">
        <w:rPr>
          <w:rFonts w:ascii="Calibri" w:eastAsia="Calibri" w:hAnsi="Calibri" w:cs="Times New Roman"/>
          <w:color w:val="auto"/>
          <w:szCs w:val="22"/>
          <w:lang w:val="en-US" w:eastAsia="en-US"/>
        </w:rPr>
        <w:t xml:space="preserve"> </w:t>
      </w:r>
      <w:r w:rsidR="00EE041B" w:rsidRPr="00F93CB1">
        <w:rPr>
          <w:rFonts w:ascii="Calibri" w:eastAsia="Calibri" w:hAnsi="Calibri" w:cs="Times New Roman"/>
          <w:color w:val="auto"/>
          <w:szCs w:val="22"/>
          <w:lang w:val="en-US" w:eastAsia="en-US"/>
        </w:rPr>
        <w:t xml:space="preserve">As shown in table </w:t>
      </w:r>
      <w:r w:rsidR="00A60AD1">
        <w:rPr>
          <w:rFonts w:ascii="Calibri" w:eastAsia="Calibri" w:hAnsi="Calibri" w:cs="Times New Roman"/>
          <w:color w:val="auto"/>
          <w:szCs w:val="22"/>
          <w:lang w:val="en-US" w:eastAsia="en-US"/>
        </w:rPr>
        <w:t>3</w:t>
      </w:r>
      <w:r w:rsidR="00EE041B" w:rsidRPr="00F93CB1">
        <w:rPr>
          <w:rFonts w:ascii="Calibri" w:eastAsia="Calibri" w:hAnsi="Calibri" w:cs="Times New Roman"/>
          <w:color w:val="auto"/>
          <w:szCs w:val="22"/>
          <w:lang w:val="en-US" w:eastAsia="en-US"/>
        </w:rPr>
        <w:t>, we observed a</w:t>
      </w:r>
      <w:r w:rsidR="00E76ADF" w:rsidRPr="00F93CB1">
        <w:rPr>
          <w:rFonts w:ascii="Calibri" w:eastAsia="Calibri" w:hAnsi="Calibri" w:cs="Times New Roman"/>
          <w:color w:val="auto"/>
          <w:szCs w:val="22"/>
          <w:lang w:val="en-US" w:eastAsia="en-US"/>
        </w:rPr>
        <w:t>n</w:t>
      </w:r>
      <w:r w:rsidR="00EE041B" w:rsidRPr="00F93CB1">
        <w:rPr>
          <w:rFonts w:ascii="Calibri" w:eastAsia="Calibri" w:hAnsi="Calibri" w:cs="Times New Roman"/>
          <w:color w:val="auto"/>
          <w:szCs w:val="22"/>
          <w:lang w:val="en-US" w:eastAsia="en-US"/>
        </w:rPr>
        <w:t xml:space="preserve"> </w:t>
      </w:r>
      <w:r w:rsidR="00E76ADF" w:rsidRPr="00F93CB1">
        <w:rPr>
          <w:rFonts w:ascii="Calibri" w:eastAsia="Calibri" w:hAnsi="Calibri" w:cs="Times New Roman"/>
          <w:color w:val="auto"/>
          <w:szCs w:val="22"/>
          <w:lang w:val="en-US" w:eastAsia="en-US"/>
        </w:rPr>
        <w:t xml:space="preserve">association </w:t>
      </w:r>
      <w:r w:rsidR="00EE041B" w:rsidRPr="00F93CB1">
        <w:rPr>
          <w:rFonts w:ascii="Calibri" w:eastAsia="Calibri" w:hAnsi="Calibri" w:cs="Times New Roman"/>
          <w:color w:val="auto"/>
          <w:szCs w:val="22"/>
          <w:lang w:val="en-US" w:eastAsia="en-US"/>
        </w:rPr>
        <w:t xml:space="preserve">between clinical presentation and the ISN/RPS classification. The same </w:t>
      </w:r>
      <w:r w:rsidR="00C5358B" w:rsidRPr="00F93CB1">
        <w:rPr>
          <w:rFonts w:ascii="Calibri" w:eastAsia="Calibri" w:hAnsi="Calibri" w:cs="Times New Roman"/>
          <w:color w:val="auto"/>
          <w:szCs w:val="22"/>
          <w:lang w:val="en-US" w:eastAsia="en-US"/>
        </w:rPr>
        <w:t xml:space="preserve">is valid </w:t>
      </w:r>
      <w:r w:rsidR="00EE041B" w:rsidRPr="00F93CB1">
        <w:rPr>
          <w:rFonts w:ascii="Calibri" w:eastAsia="Calibri" w:hAnsi="Calibri" w:cs="Times New Roman"/>
          <w:color w:val="auto"/>
          <w:szCs w:val="22"/>
          <w:lang w:val="en-US" w:eastAsia="en-US"/>
        </w:rPr>
        <w:t xml:space="preserve">for Hill’s biopsy index and Austin’s Activity and Chronicity indexes. However, when considering outcomes at the end of follow-up, the ISN/RPS classification added little, while the morphological indexes can predict outcomes (table </w:t>
      </w:r>
      <w:r w:rsidR="00A60AD1">
        <w:rPr>
          <w:rFonts w:ascii="Calibri" w:eastAsia="Calibri" w:hAnsi="Calibri" w:cs="Times New Roman"/>
          <w:color w:val="auto"/>
          <w:szCs w:val="22"/>
          <w:lang w:val="en-US" w:eastAsia="en-US"/>
        </w:rPr>
        <w:t>4</w:t>
      </w:r>
      <w:r w:rsidR="00055C36" w:rsidRPr="00F93CB1">
        <w:rPr>
          <w:rFonts w:ascii="Calibri" w:eastAsia="Calibri" w:hAnsi="Calibri" w:cs="Times New Roman"/>
          <w:color w:val="auto"/>
          <w:szCs w:val="22"/>
          <w:lang w:val="en-US" w:eastAsia="en-US"/>
        </w:rPr>
        <w:t>).</w:t>
      </w:r>
    </w:p>
    <w:p w:rsidR="00493532" w:rsidRPr="00F93CB1" w:rsidRDefault="00CA284A" w:rsidP="002447C6">
      <w:pPr>
        <w:spacing w:after="160"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 xml:space="preserve">Based on these finding, although we feel morphological indexes are useful in LN, some limitations are observable: </w:t>
      </w:r>
      <w:proofErr w:type="spellStart"/>
      <w:r w:rsidRPr="00F93CB1">
        <w:rPr>
          <w:rFonts w:ascii="Calibri" w:eastAsia="Calibri" w:hAnsi="Calibri" w:cs="Times New Roman"/>
          <w:color w:val="auto"/>
          <w:szCs w:val="22"/>
          <w:lang w:val="en-US" w:eastAsia="en-US"/>
        </w:rPr>
        <w:t>i</w:t>
      </w:r>
      <w:proofErr w:type="spellEnd"/>
      <w:r w:rsidRPr="00F93CB1">
        <w:rPr>
          <w:rFonts w:ascii="Calibri" w:eastAsia="Calibri" w:hAnsi="Calibri" w:cs="Times New Roman"/>
          <w:color w:val="auto"/>
          <w:szCs w:val="22"/>
          <w:lang w:val="en-US" w:eastAsia="en-US"/>
        </w:rPr>
        <w:t xml:space="preserve">) we only reviewed light microscopy findings and did not re-perform immunofluorescence; ii) it’s a retrospective </w:t>
      </w:r>
      <w:r w:rsidR="00C63FEC" w:rsidRPr="00F93CB1">
        <w:rPr>
          <w:rFonts w:ascii="Calibri" w:eastAsia="Calibri" w:hAnsi="Calibri" w:cs="Times New Roman"/>
          <w:color w:val="auto"/>
          <w:szCs w:val="22"/>
          <w:lang w:val="en-US" w:eastAsia="en-US"/>
        </w:rPr>
        <w:t xml:space="preserve">single-center </w:t>
      </w:r>
      <w:r w:rsidRPr="00F93CB1">
        <w:rPr>
          <w:rFonts w:ascii="Calibri" w:eastAsia="Calibri" w:hAnsi="Calibri" w:cs="Times New Roman"/>
          <w:color w:val="auto"/>
          <w:szCs w:val="22"/>
          <w:lang w:val="en-US" w:eastAsia="en-US"/>
        </w:rPr>
        <w:t xml:space="preserve">study, with a fairly low number of patients limits our conclusions – for instance, we would have liked to further examine the role of the indexes with different </w:t>
      </w:r>
      <w:r w:rsidRPr="00F93CB1">
        <w:rPr>
          <w:rFonts w:ascii="Calibri" w:eastAsia="Calibri" w:hAnsi="Calibri" w:cs="Times New Roman"/>
          <w:color w:val="auto"/>
          <w:szCs w:val="22"/>
          <w:lang w:val="en-US" w:eastAsia="en-US"/>
        </w:rPr>
        <w:lastRenderedPageBreak/>
        <w:t>immunosuppressive drugs, which were not apparent in our population.</w:t>
      </w:r>
      <w:r w:rsidR="00646170" w:rsidRPr="00F93CB1">
        <w:rPr>
          <w:rFonts w:ascii="Calibri" w:eastAsia="Calibri" w:hAnsi="Calibri" w:cs="Times New Roman"/>
          <w:color w:val="auto"/>
          <w:szCs w:val="22"/>
          <w:lang w:val="en-US" w:eastAsia="en-US"/>
        </w:rPr>
        <w:t xml:space="preserve"> Further analysis with a larger number of patients could shed some light </w:t>
      </w:r>
      <w:r w:rsidR="00B55E4F" w:rsidRPr="00F93CB1">
        <w:rPr>
          <w:rFonts w:ascii="Calibri" w:eastAsia="Calibri" w:hAnsi="Calibri" w:cs="Times New Roman"/>
          <w:color w:val="auto"/>
          <w:szCs w:val="22"/>
          <w:lang w:val="en-US" w:eastAsia="en-US"/>
        </w:rPr>
        <w:t xml:space="preserve">on </w:t>
      </w:r>
      <w:r w:rsidR="00646170" w:rsidRPr="00F93CB1">
        <w:rPr>
          <w:rFonts w:ascii="Calibri" w:eastAsia="Calibri" w:hAnsi="Calibri" w:cs="Times New Roman"/>
          <w:color w:val="auto"/>
          <w:szCs w:val="22"/>
          <w:lang w:val="en-US" w:eastAsia="en-US"/>
        </w:rPr>
        <w:t xml:space="preserve">this </w:t>
      </w:r>
      <w:r w:rsidR="00B55E4F" w:rsidRPr="00F93CB1">
        <w:rPr>
          <w:rFonts w:ascii="Calibri" w:eastAsia="Calibri" w:hAnsi="Calibri" w:cs="Times New Roman"/>
          <w:color w:val="auto"/>
          <w:szCs w:val="22"/>
          <w:lang w:val="en-US" w:eastAsia="en-US"/>
        </w:rPr>
        <w:t>subject</w:t>
      </w:r>
      <w:r w:rsidR="00DB12BB" w:rsidRPr="00F93CB1">
        <w:rPr>
          <w:rFonts w:ascii="Calibri" w:eastAsia="Calibri" w:hAnsi="Calibri" w:cs="Times New Roman"/>
          <w:color w:val="auto"/>
          <w:szCs w:val="22"/>
          <w:lang w:val="en-US" w:eastAsia="en-US"/>
        </w:rPr>
        <w:t>, potentially identifying the patients who require a more aggressive therapeutic approach.</w:t>
      </w:r>
    </w:p>
    <w:p w:rsidR="00493532" w:rsidRPr="00F93CB1" w:rsidRDefault="00493532" w:rsidP="002447C6">
      <w:pPr>
        <w:spacing w:after="160" w:line="360" w:lineRule="auto"/>
        <w:jc w:val="both"/>
        <w:rPr>
          <w:rFonts w:ascii="Calibri" w:eastAsia="Calibri" w:hAnsi="Calibri" w:cs="Times New Roman"/>
          <w:color w:val="auto"/>
          <w:szCs w:val="22"/>
          <w:lang w:val="en-US" w:eastAsia="en-US"/>
        </w:rPr>
      </w:pPr>
      <w:bookmarkStart w:id="5" w:name="_Hlk536358321"/>
      <w:r w:rsidRPr="00F93CB1">
        <w:rPr>
          <w:rFonts w:ascii="Calibri" w:eastAsia="Calibri" w:hAnsi="Calibri" w:cs="Times New Roman"/>
          <w:color w:val="auto"/>
          <w:szCs w:val="22"/>
          <w:lang w:val="en-US" w:eastAsia="en-US"/>
        </w:rPr>
        <w:t xml:space="preserve">In summary, </w:t>
      </w:r>
      <w:r w:rsidR="002B5F71" w:rsidRPr="00F93CB1">
        <w:rPr>
          <w:rFonts w:ascii="Calibri" w:eastAsia="Calibri" w:hAnsi="Calibri" w:cs="Times New Roman"/>
          <w:color w:val="auto"/>
          <w:szCs w:val="22"/>
          <w:lang w:val="en-US" w:eastAsia="en-US"/>
        </w:rPr>
        <w:t xml:space="preserve">the most recent ISN/RPS consensus recognizes the </w:t>
      </w:r>
      <w:r w:rsidR="00024D17" w:rsidRPr="00F93CB1">
        <w:rPr>
          <w:rFonts w:ascii="Calibri" w:eastAsia="Calibri" w:hAnsi="Calibri" w:cs="Times New Roman"/>
          <w:color w:val="auto"/>
          <w:szCs w:val="22"/>
          <w:lang w:val="en-US" w:eastAsia="en-US"/>
        </w:rPr>
        <w:t>efficacy</w:t>
      </w:r>
      <w:r w:rsidR="002B5F71" w:rsidRPr="00F93CB1">
        <w:rPr>
          <w:rFonts w:ascii="Calibri" w:eastAsia="Calibri" w:hAnsi="Calibri" w:cs="Times New Roman"/>
          <w:color w:val="auto"/>
          <w:szCs w:val="22"/>
          <w:lang w:val="en-US" w:eastAsia="en-US"/>
        </w:rPr>
        <w:t xml:space="preserve"> of </w:t>
      </w:r>
      <w:r w:rsidR="00646170" w:rsidRPr="00F93CB1">
        <w:rPr>
          <w:rFonts w:ascii="Calibri" w:hAnsi="Calibri"/>
          <w:lang w:val="en-US"/>
        </w:rPr>
        <w:t xml:space="preserve">histomorphological </w:t>
      </w:r>
      <w:r w:rsidR="002B5F71" w:rsidRPr="00F93CB1">
        <w:rPr>
          <w:rFonts w:ascii="Calibri" w:hAnsi="Calibri"/>
          <w:lang w:val="en-US"/>
        </w:rPr>
        <w:t xml:space="preserve">indexes in the </w:t>
      </w:r>
      <w:r w:rsidR="00646170" w:rsidRPr="00F93CB1">
        <w:rPr>
          <w:rFonts w:ascii="Calibri" w:hAnsi="Calibri"/>
          <w:lang w:val="en-US"/>
        </w:rPr>
        <w:t xml:space="preserve">evaluation </w:t>
      </w:r>
      <w:r w:rsidR="008327ED" w:rsidRPr="00F93CB1">
        <w:rPr>
          <w:rFonts w:ascii="Calibri" w:hAnsi="Calibri"/>
          <w:lang w:val="en-US"/>
        </w:rPr>
        <w:t>o</w:t>
      </w:r>
      <w:r w:rsidR="002B5F71" w:rsidRPr="00F93CB1">
        <w:rPr>
          <w:rFonts w:ascii="Calibri" w:hAnsi="Calibri"/>
          <w:lang w:val="en-US"/>
        </w:rPr>
        <w:t xml:space="preserve">f </w:t>
      </w:r>
      <w:r w:rsidR="00646170" w:rsidRPr="00F93CB1">
        <w:rPr>
          <w:rFonts w:ascii="Calibri" w:hAnsi="Calibri"/>
          <w:lang w:val="en-US"/>
        </w:rPr>
        <w:t>LN, and our data supports that</w:t>
      </w:r>
      <w:r w:rsidR="00B26654" w:rsidRPr="00F93CB1">
        <w:rPr>
          <w:rFonts w:ascii="Calibri" w:hAnsi="Calibri"/>
          <w:lang w:val="en-US"/>
        </w:rPr>
        <w:t>. W</w:t>
      </w:r>
      <w:r w:rsidR="00646170" w:rsidRPr="00F93CB1">
        <w:rPr>
          <w:rFonts w:ascii="Calibri" w:hAnsi="Calibri"/>
          <w:lang w:val="en-US"/>
        </w:rPr>
        <w:t xml:space="preserve">e observed a </w:t>
      </w:r>
      <w:r w:rsidR="009E436E" w:rsidRPr="00F93CB1">
        <w:rPr>
          <w:rFonts w:ascii="Calibri" w:hAnsi="Calibri"/>
          <w:lang w:val="en-US"/>
        </w:rPr>
        <w:t xml:space="preserve">significant </w:t>
      </w:r>
      <w:r w:rsidR="00646170" w:rsidRPr="00F93CB1">
        <w:rPr>
          <w:rFonts w:ascii="Calibri" w:hAnsi="Calibri"/>
          <w:lang w:val="en-US"/>
        </w:rPr>
        <w:t>correlation between the renal outcomes and the indexes described by Austin and Hill.</w:t>
      </w:r>
      <w:r w:rsidR="00646170" w:rsidRPr="00F93CB1">
        <w:rPr>
          <w:rFonts w:ascii="Calibri" w:eastAsia="Calibri" w:hAnsi="Calibri" w:cs="Times New Roman"/>
          <w:color w:val="auto"/>
          <w:szCs w:val="22"/>
          <w:lang w:val="en-US" w:eastAsia="en-US"/>
        </w:rPr>
        <w:t xml:space="preserve"> </w:t>
      </w:r>
      <w:r w:rsidR="00163BCD" w:rsidRPr="00163BCD">
        <w:rPr>
          <w:rFonts w:ascii="Calibri" w:eastAsia="Calibri" w:hAnsi="Calibri" w:cs="Times New Roman"/>
          <w:color w:val="auto"/>
          <w:szCs w:val="22"/>
          <w:highlight w:val="yellow"/>
          <w:lang w:val="en-US" w:eastAsia="en-US"/>
        </w:rPr>
        <w:t>We encourage other units to include m</w:t>
      </w:r>
      <w:r w:rsidR="00646170" w:rsidRPr="00163BCD">
        <w:rPr>
          <w:rFonts w:ascii="Calibri" w:eastAsia="Calibri" w:hAnsi="Calibri" w:cs="Times New Roman"/>
          <w:color w:val="auto"/>
          <w:szCs w:val="22"/>
          <w:highlight w:val="yellow"/>
          <w:lang w:val="en-US" w:eastAsia="en-US"/>
        </w:rPr>
        <w:t xml:space="preserve">orphological indexes </w:t>
      </w:r>
      <w:r w:rsidR="00163BCD" w:rsidRPr="00163BCD">
        <w:rPr>
          <w:rFonts w:ascii="Calibri" w:eastAsia="Calibri" w:hAnsi="Calibri" w:cs="Times New Roman"/>
          <w:color w:val="auto"/>
          <w:szCs w:val="22"/>
          <w:highlight w:val="yellow"/>
          <w:lang w:val="en-US" w:eastAsia="en-US"/>
        </w:rPr>
        <w:t>in their evaluation of such patients,</w:t>
      </w:r>
      <w:r w:rsidR="00163BCD">
        <w:rPr>
          <w:rFonts w:ascii="Calibri" w:eastAsia="Calibri" w:hAnsi="Calibri" w:cs="Times New Roman"/>
          <w:color w:val="auto"/>
          <w:szCs w:val="22"/>
          <w:lang w:val="en-US" w:eastAsia="en-US"/>
        </w:rPr>
        <w:t xml:space="preserve"> as they </w:t>
      </w:r>
      <w:r w:rsidR="00646170" w:rsidRPr="00F93CB1">
        <w:rPr>
          <w:rFonts w:ascii="Calibri" w:eastAsia="Calibri" w:hAnsi="Calibri" w:cs="Times New Roman"/>
          <w:color w:val="auto"/>
          <w:szCs w:val="22"/>
          <w:lang w:val="en-US" w:eastAsia="en-US"/>
        </w:rPr>
        <w:t>are easily applicable scores</w:t>
      </w:r>
      <w:r w:rsidR="00DB12BB" w:rsidRPr="00F93CB1">
        <w:rPr>
          <w:rFonts w:ascii="Calibri" w:eastAsia="Calibri" w:hAnsi="Calibri" w:cs="Times New Roman"/>
          <w:color w:val="auto"/>
          <w:szCs w:val="22"/>
          <w:lang w:val="en-US" w:eastAsia="en-US"/>
        </w:rPr>
        <w:t xml:space="preserve"> and</w:t>
      </w:r>
      <w:r w:rsidR="00B55E4F" w:rsidRPr="00F93CB1">
        <w:rPr>
          <w:rFonts w:ascii="Calibri" w:eastAsia="Calibri" w:hAnsi="Calibri" w:cs="Times New Roman"/>
          <w:color w:val="auto"/>
          <w:szCs w:val="22"/>
          <w:lang w:val="en-US" w:eastAsia="en-US"/>
        </w:rPr>
        <w:t xml:space="preserve"> may </w:t>
      </w:r>
      <w:r w:rsidR="00646170" w:rsidRPr="00F93CB1">
        <w:rPr>
          <w:rFonts w:ascii="Calibri" w:eastAsia="Calibri" w:hAnsi="Calibri" w:cs="Times New Roman"/>
          <w:color w:val="auto"/>
          <w:szCs w:val="22"/>
          <w:lang w:val="en-US" w:eastAsia="en-US"/>
        </w:rPr>
        <w:t>provide a useful and individualized quantitative measure of clinical outcomes.</w:t>
      </w:r>
    </w:p>
    <w:bookmarkEnd w:id="5"/>
    <w:p w:rsidR="00EF5B51" w:rsidRPr="00F93CB1" w:rsidRDefault="00EF5B51" w:rsidP="002447C6">
      <w:pPr>
        <w:spacing w:after="160" w:line="360" w:lineRule="auto"/>
        <w:jc w:val="both"/>
        <w:rPr>
          <w:rFonts w:ascii="Calibri" w:eastAsia="Calibri" w:hAnsi="Calibri" w:cs="Times New Roman"/>
          <w:color w:val="auto"/>
          <w:szCs w:val="22"/>
          <w:lang w:val="en-US" w:eastAsia="en-US"/>
        </w:rPr>
      </w:pPr>
    </w:p>
    <w:p w:rsidR="001B5D51" w:rsidRPr="00F93CB1" w:rsidRDefault="001B5D51" w:rsidP="002447C6">
      <w:pPr>
        <w:pStyle w:val="Normal1"/>
        <w:spacing w:line="360" w:lineRule="auto"/>
        <w:jc w:val="both"/>
        <w:rPr>
          <w:rFonts w:ascii="Calibri" w:eastAsia="Calibri" w:hAnsi="Calibri" w:cs="Times New Roman"/>
          <w:color w:val="auto"/>
          <w:szCs w:val="22"/>
          <w:lang w:val="en-US" w:eastAsia="en-US"/>
        </w:rPr>
      </w:pPr>
      <w:r w:rsidRPr="00F93CB1">
        <w:rPr>
          <w:b/>
          <w:szCs w:val="22"/>
          <w:lang w:val="en-US"/>
        </w:rPr>
        <w:t xml:space="preserve">Declaration of conflicting interests: </w:t>
      </w:r>
      <w:r w:rsidRPr="00F93CB1">
        <w:rPr>
          <w:rFonts w:ascii="Calibri" w:eastAsia="Calibri" w:hAnsi="Calibri" w:cs="Times New Roman"/>
          <w:color w:val="auto"/>
          <w:szCs w:val="22"/>
          <w:lang w:val="en-US" w:eastAsia="en-US"/>
        </w:rPr>
        <w:t xml:space="preserve">The authors declare no potential conflicts of interest with respect to the research, authorship, and/or publication of this article. </w:t>
      </w:r>
    </w:p>
    <w:p w:rsidR="006527B8" w:rsidRPr="00F93CB1" w:rsidRDefault="00CA1DD0" w:rsidP="002447C6">
      <w:pPr>
        <w:pStyle w:val="Normal1"/>
        <w:spacing w:line="360" w:lineRule="auto"/>
        <w:jc w:val="both"/>
        <w:rPr>
          <w:b/>
          <w:szCs w:val="22"/>
          <w:lang w:val="en-US"/>
        </w:rPr>
      </w:pPr>
      <w:r w:rsidRPr="00F93CB1">
        <w:rPr>
          <w:b/>
          <w:szCs w:val="22"/>
          <w:lang w:val="en-US"/>
        </w:rPr>
        <w:t>Authors’ Contributions:</w:t>
      </w:r>
      <w:r w:rsidR="001B5D51" w:rsidRPr="00F93CB1">
        <w:rPr>
          <w:b/>
          <w:szCs w:val="22"/>
          <w:lang w:val="en-US"/>
        </w:rPr>
        <w:t xml:space="preserve"> </w:t>
      </w:r>
      <w:bookmarkStart w:id="6" w:name="_Hlk497747784"/>
      <w:r w:rsidR="00BE02EF" w:rsidRPr="00F93CB1">
        <w:rPr>
          <w:rFonts w:ascii="Calibri" w:eastAsia="Calibri" w:hAnsi="Calibri" w:cs="Times New Roman"/>
          <w:color w:val="auto"/>
          <w:szCs w:val="22"/>
          <w:lang w:val="en-US" w:eastAsia="en-US"/>
        </w:rPr>
        <w:t>AC</w:t>
      </w:r>
      <w:r w:rsidR="006527B8" w:rsidRPr="00F93CB1">
        <w:rPr>
          <w:rFonts w:ascii="Calibri" w:eastAsia="Calibri" w:hAnsi="Calibri" w:cs="Times New Roman"/>
          <w:color w:val="auto"/>
          <w:szCs w:val="22"/>
          <w:lang w:val="en-US" w:eastAsia="en-US"/>
        </w:rPr>
        <w:t>F and FC were involved in this study’s conception, design and analysis and interpretation of data. HV and F</w:t>
      </w:r>
      <w:r w:rsidR="00BE02EF" w:rsidRPr="00F93CB1">
        <w:rPr>
          <w:rFonts w:ascii="Calibri" w:eastAsia="Calibri" w:hAnsi="Calibri" w:cs="Times New Roman"/>
          <w:color w:val="auto"/>
          <w:szCs w:val="22"/>
          <w:lang w:val="en-US" w:eastAsia="en-US"/>
        </w:rPr>
        <w:t>N</w:t>
      </w:r>
      <w:r w:rsidR="006527B8" w:rsidRPr="00F93CB1">
        <w:rPr>
          <w:rFonts w:ascii="Calibri" w:eastAsia="Calibri" w:hAnsi="Calibri" w:cs="Times New Roman"/>
          <w:color w:val="auto"/>
          <w:szCs w:val="22"/>
          <w:lang w:val="en-US" w:eastAsia="en-US"/>
        </w:rPr>
        <w:t xml:space="preserve"> provided critical revision of the article.</w:t>
      </w:r>
      <w:bookmarkEnd w:id="6"/>
      <w:r w:rsidR="007321A4" w:rsidRPr="00F93CB1">
        <w:rPr>
          <w:rFonts w:ascii="Calibri" w:eastAsia="Calibri" w:hAnsi="Calibri" w:cs="Times New Roman"/>
          <w:color w:val="auto"/>
          <w:szCs w:val="22"/>
          <w:lang w:val="en-US" w:eastAsia="en-US"/>
        </w:rPr>
        <w:t xml:space="preserve"> DN was involved in all stages of manuscript elaboration.</w:t>
      </w:r>
    </w:p>
    <w:p w:rsidR="00CA1DD0" w:rsidRPr="00F93CB1" w:rsidRDefault="00CA1DD0" w:rsidP="002447C6">
      <w:pPr>
        <w:pStyle w:val="Normal1"/>
        <w:spacing w:line="360" w:lineRule="auto"/>
        <w:jc w:val="both"/>
        <w:rPr>
          <w:b/>
          <w:szCs w:val="22"/>
          <w:lang w:val="en-US"/>
        </w:rPr>
      </w:pPr>
      <w:r w:rsidRPr="00F93CB1">
        <w:rPr>
          <w:b/>
          <w:szCs w:val="22"/>
          <w:lang w:val="en-US"/>
        </w:rPr>
        <w:t>Funding:</w:t>
      </w:r>
    </w:p>
    <w:p w:rsidR="00CA1DD0" w:rsidRPr="00F93CB1" w:rsidRDefault="001B5D51" w:rsidP="00CA1DD0">
      <w:pPr>
        <w:pStyle w:val="Normal1"/>
        <w:spacing w:line="360" w:lineRule="auto"/>
        <w:jc w:val="both"/>
        <w:rPr>
          <w:rFonts w:ascii="Calibri" w:eastAsia="Calibri" w:hAnsi="Calibri" w:cs="Times New Roman"/>
          <w:color w:val="auto"/>
          <w:szCs w:val="22"/>
          <w:lang w:val="en-US" w:eastAsia="en-US"/>
        </w:rPr>
      </w:pPr>
      <w:r w:rsidRPr="00F93CB1">
        <w:rPr>
          <w:rFonts w:ascii="Calibri" w:eastAsia="Calibri" w:hAnsi="Calibri" w:cs="Times New Roman"/>
          <w:color w:val="auto"/>
          <w:szCs w:val="22"/>
          <w:lang w:val="en-US" w:eastAsia="en-US"/>
        </w:rPr>
        <w:t>The authors received no financial support for the research, authorship, and/or publication of this article.</w:t>
      </w:r>
    </w:p>
    <w:p w:rsidR="00493532" w:rsidRPr="00F93CB1" w:rsidRDefault="00493532" w:rsidP="002447C6">
      <w:pPr>
        <w:pStyle w:val="Normal1"/>
        <w:spacing w:line="360" w:lineRule="auto"/>
        <w:jc w:val="both"/>
        <w:rPr>
          <w:szCs w:val="22"/>
          <w:lang w:val="en-US"/>
        </w:rPr>
      </w:pPr>
    </w:p>
    <w:p w:rsidR="00D90630" w:rsidRPr="00F93CB1" w:rsidRDefault="00A87AE2" w:rsidP="002447C6">
      <w:pPr>
        <w:widowControl w:val="0"/>
        <w:autoSpaceDE w:val="0"/>
        <w:autoSpaceDN w:val="0"/>
        <w:adjustRightInd w:val="0"/>
        <w:spacing w:line="360" w:lineRule="auto"/>
        <w:ind w:left="640" w:hanging="640"/>
        <w:rPr>
          <w:lang w:val="en-US"/>
        </w:rPr>
      </w:pPr>
      <w:sdt>
        <w:sdtPr>
          <w:id w:val="-294757061"/>
          <w:bibliography/>
        </w:sdtPr>
        <w:sdtEndPr/>
        <w:sdtContent>
          <w:r w:rsidR="00F27785" w:rsidRPr="00F93CB1">
            <w:rPr>
              <w:b/>
              <w:szCs w:val="22"/>
              <w:lang w:val="en-US"/>
            </w:rPr>
            <w:t>REFERENCES</w:t>
          </w:r>
        </w:sdtContent>
      </w:sdt>
    </w:p>
    <w:p w:rsidR="002864B6" w:rsidRPr="00F93CB1" w:rsidRDefault="00D90630" w:rsidP="002864B6">
      <w:pPr>
        <w:widowControl w:val="0"/>
        <w:autoSpaceDE w:val="0"/>
        <w:autoSpaceDN w:val="0"/>
        <w:adjustRightInd w:val="0"/>
        <w:spacing w:line="360" w:lineRule="auto"/>
        <w:ind w:left="640" w:hanging="640"/>
        <w:rPr>
          <w:noProof/>
          <w:szCs w:val="24"/>
          <w:lang w:val="en-US"/>
        </w:rPr>
      </w:pPr>
      <w:r w:rsidRPr="00F93CB1">
        <w:fldChar w:fldCharType="begin" w:fldLock="1"/>
      </w:r>
      <w:r w:rsidRPr="00F93CB1">
        <w:rPr>
          <w:lang w:val="en-US"/>
        </w:rPr>
        <w:instrText xml:space="preserve">ADDIN Mendeley Bibliography CSL_BIBLIOGRAPHY </w:instrText>
      </w:r>
      <w:r w:rsidRPr="00F93CB1">
        <w:fldChar w:fldCharType="separate"/>
      </w:r>
      <w:r w:rsidR="002864B6" w:rsidRPr="00F93CB1">
        <w:rPr>
          <w:noProof/>
          <w:szCs w:val="24"/>
          <w:lang w:val="en-US"/>
        </w:rPr>
        <w:t xml:space="preserve">1. </w:t>
      </w:r>
      <w:r w:rsidR="002864B6" w:rsidRPr="00F93CB1">
        <w:rPr>
          <w:noProof/>
          <w:szCs w:val="24"/>
          <w:lang w:val="en-US"/>
        </w:rPr>
        <w:tab/>
        <w:t>Cervera R, Khamashta MA, Font J, Sebastiani GD, Gil A, Lavilla P, et al. Morbidity and Mortality in Systemic Lupus Erythematosus During a 10-Year Period. Medicine (Baltimore). 2003;82(5):299–308.</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2. </w:t>
      </w:r>
      <w:r w:rsidRPr="00F93CB1">
        <w:rPr>
          <w:noProof/>
          <w:szCs w:val="24"/>
          <w:lang w:val="en-US"/>
        </w:rPr>
        <w:tab/>
        <w:t>Korbet SM, Lewis EJ, Schwartz MM, Reichlin M, Evans J, Rohde RD, et al. Factors Predictive of Outcome in Severe Lupus Nephritis. Lupus. 2000;35(5):904–14.</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3. </w:t>
      </w:r>
      <w:r w:rsidRPr="00F93CB1">
        <w:rPr>
          <w:noProof/>
          <w:szCs w:val="24"/>
          <w:lang w:val="en-US"/>
        </w:rPr>
        <w:tab/>
        <w:t>Kidney Disease Improving Global Outcomes. KDIGO Clinical practice guideline for glomerulonephritis. Kidnet Int Suppl. 2012;2(2):1–274.</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4. </w:t>
      </w:r>
      <w:r w:rsidRPr="00F93CB1">
        <w:rPr>
          <w:noProof/>
          <w:szCs w:val="24"/>
          <w:lang w:val="en-US"/>
        </w:rPr>
        <w:tab/>
        <w:t xml:space="preserve">Bajema IM, Wilhelmus S, Alpers CE, Bruijn JA, Colvin RB, Cook HT, et al. Revision of the International Society of Nephrology/Renal Pathology Society classification for lupus nephritis: clarification of definitions, and modified National Institutes of Health activity and chronicity indices. Kidney Int. 2018;93(4):789–96.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5. </w:t>
      </w:r>
      <w:r w:rsidRPr="00F93CB1">
        <w:rPr>
          <w:noProof/>
          <w:szCs w:val="24"/>
          <w:lang w:val="en-US"/>
        </w:rPr>
        <w:tab/>
        <w:t xml:space="preserve">Bertsias GK, Tektonidou M, Amoura Z, Aringer M, Bajema I, Berden JHM, et al. Joint European League Against Rheumatism and European Renal Association–European Dialysis and Transplant Association (EULAR/ERA-EDTA) recommendations for the </w:t>
      </w:r>
      <w:r w:rsidRPr="00F93CB1">
        <w:rPr>
          <w:noProof/>
          <w:szCs w:val="24"/>
          <w:lang w:val="en-US"/>
        </w:rPr>
        <w:lastRenderedPageBreak/>
        <w:t>management of adult and paediatric lupus nephritis. Ann Rheum Dis. 2012;71(11):1771–82.</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6. </w:t>
      </w:r>
      <w:r w:rsidRPr="00F93CB1">
        <w:rPr>
          <w:noProof/>
          <w:szCs w:val="24"/>
          <w:lang w:val="en-US"/>
        </w:rPr>
        <w:tab/>
        <w:t xml:space="preserve">Austin HA, Muenz LR, Joyce KM, Antonovych TA, Kullick ME, Klippel JH, et al. Prognostic factors in lupus nephritis. Contribution of renal histologic data. Am J Med. 1983;75(3):382–91. </w:t>
      </w:r>
    </w:p>
    <w:p w:rsidR="002864B6" w:rsidRPr="00F93CB1" w:rsidRDefault="002864B6" w:rsidP="002864B6">
      <w:pPr>
        <w:widowControl w:val="0"/>
        <w:autoSpaceDE w:val="0"/>
        <w:autoSpaceDN w:val="0"/>
        <w:adjustRightInd w:val="0"/>
        <w:spacing w:line="360" w:lineRule="auto"/>
        <w:ind w:left="640" w:hanging="640"/>
        <w:rPr>
          <w:noProof/>
          <w:szCs w:val="24"/>
          <w:lang w:val="fr-FR"/>
        </w:rPr>
      </w:pPr>
      <w:r w:rsidRPr="00F93CB1">
        <w:rPr>
          <w:noProof/>
          <w:szCs w:val="24"/>
          <w:lang w:val="en-US"/>
        </w:rPr>
        <w:t xml:space="preserve">7. </w:t>
      </w:r>
      <w:r w:rsidRPr="00F93CB1">
        <w:rPr>
          <w:noProof/>
          <w:szCs w:val="24"/>
          <w:lang w:val="en-US"/>
        </w:rPr>
        <w:tab/>
        <w:t xml:space="preserve">Hill GS, Delahousse M, Nochy D, Tomkiewicz E, Remy P, Mignon F, et al. A new morphologic index for the evaluation of renal biopsies in lupus nephritis. </w:t>
      </w:r>
      <w:r w:rsidRPr="00F93CB1">
        <w:rPr>
          <w:noProof/>
          <w:szCs w:val="24"/>
          <w:lang w:val="fr-FR"/>
        </w:rPr>
        <w:t xml:space="preserve">Kidney Int. 2000;58(3):1160–73.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fr-FR"/>
        </w:rPr>
        <w:t xml:space="preserve">8. </w:t>
      </w:r>
      <w:r w:rsidRPr="00F93CB1">
        <w:rPr>
          <w:noProof/>
          <w:szCs w:val="24"/>
          <w:lang w:val="fr-FR"/>
        </w:rPr>
        <w:tab/>
        <w:t xml:space="preserve">Loupy A, Haas M, Solez K, Racusen L, Glotz D, Seron D, et al. </w:t>
      </w:r>
      <w:r w:rsidRPr="00F93CB1">
        <w:rPr>
          <w:noProof/>
          <w:szCs w:val="24"/>
          <w:lang w:val="en-US"/>
        </w:rPr>
        <w:t xml:space="preserve">The Banff 2015 Kidney Meeting Report: Current Challenges in Rejection Classification and Prospects for Adopting Molecular Pathology. Am J Transplant. 2017;17(1):28–41.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9. </w:t>
      </w:r>
      <w:r w:rsidRPr="00F93CB1">
        <w:rPr>
          <w:noProof/>
          <w:szCs w:val="24"/>
          <w:lang w:val="en-US"/>
        </w:rPr>
        <w:tab/>
        <w:t xml:space="preserve">Williams B, Mancia G, Spiering W, Agabiti Rosei E, Azizi M, Burnier M, et al. 2018 ESC/ESH Guidelines for the management of arterial hypertension. Eur Hear J. 2018;39(33):3021–104.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10. </w:t>
      </w:r>
      <w:r w:rsidRPr="00F93CB1">
        <w:rPr>
          <w:noProof/>
          <w:szCs w:val="24"/>
          <w:lang w:val="en-US"/>
        </w:rPr>
        <w:tab/>
        <w:t xml:space="preserve">Rovin BH, Furie R, Latinis K, Looney RJ, Fervenza FC, Sanchez-Guerrero J, et al. Efficacy and safety of rituximab in patients with active proliferative lupus nephritis: the Lupus Nephritis Assessment with Rituximab study. Arthritis Rheum. 2012;64(4):1215–26.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11. </w:t>
      </w:r>
      <w:r w:rsidRPr="00F93CB1">
        <w:rPr>
          <w:noProof/>
          <w:szCs w:val="24"/>
          <w:lang w:val="en-US"/>
        </w:rPr>
        <w:tab/>
        <w:t>Rao V, Gordon C. Advances in the assessment of lupus disease activity and damage. Curr Opin Rheumatol. 2014;26(5):510–9.</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12. </w:t>
      </w:r>
      <w:r w:rsidRPr="00F93CB1">
        <w:rPr>
          <w:noProof/>
          <w:szCs w:val="24"/>
          <w:lang w:val="en-US"/>
        </w:rPr>
        <w:tab/>
        <w:t>Corapi KM, Dooley MA, Pendergraft WF. Comparison and evaluation of lupus nephritis response criteria in lupus activity indices and clinical trials. Arthritis Res Ther. 2015;17(1):110.</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13. </w:t>
      </w:r>
      <w:r w:rsidRPr="00F93CB1">
        <w:rPr>
          <w:noProof/>
          <w:szCs w:val="24"/>
          <w:lang w:val="en-US"/>
        </w:rPr>
        <w:tab/>
        <w:t xml:space="preserve">Malvar A, Pirruccio P, Alberton V, Lococo B, Recalde C, Fazini B, et al. Histologic versus clinical remission in proliferative lupus nephritis. Nephrol Dial Transplant. 2017;32(8):1338–44.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14. </w:t>
      </w:r>
      <w:r w:rsidRPr="00F93CB1">
        <w:rPr>
          <w:noProof/>
          <w:szCs w:val="24"/>
          <w:lang w:val="en-US"/>
        </w:rPr>
        <w:tab/>
        <w:t>Zickert  a., Sundelin B, Svenungsson E, Gunnarsson I. Role of early repeated renal biopsies in lupus nephritis. Lupus Sci Med. 2014;1(1):e000018–e000018.</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15. </w:t>
      </w:r>
      <w:r w:rsidRPr="00F93CB1">
        <w:rPr>
          <w:noProof/>
          <w:szCs w:val="24"/>
          <w:lang w:val="en-US"/>
        </w:rPr>
        <w:tab/>
        <w:t xml:space="preserve">Bomback AS, Markowitz GS. Lupus Podocytopathy: A Distinct Entity. Clin J Am Soc Nephrol. 2016;11(4):547–8.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16. </w:t>
      </w:r>
      <w:r w:rsidRPr="00F93CB1">
        <w:rPr>
          <w:noProof/>
          <w:szCs w:val="24"/>
          <w:lang w:val="en-US"/>
        </w:rPr>
        <w:tab/>
        <w:t>Clark MR, Trotter K, Chang A. The Pathogenesis and Therapeutic Implications of Tubulointerstitial Inflammation in Human Lupus Nephritis. Semin Nephrol. 2015;35(5):455–64.</w:t>
      </w:r>
    </w:p>
    <w:p w:rsidR="002864B6" w:rsidRPr="00F93CB1" w:rsidRDefault="002864B6" w:rsidP="002864B6">
      <w:pPr>
        <w:widowControl w:val="0"/>
        <w:autoSpaceDE w:val="0"/>
        <w:autoSpaceDN w:val="0"/>
        <w:adjustRightInd w:val="0"/>
        <w:spacing w:line="360" w:lineRule="auto"/>
        <w:ind w:left="640" w:hanging="640"/>
        <w:rPr>
          <w:noProof/>
          <w:szCs w:val="24"/>
          <w:lang w:val="fr-FR"/>
        </w:rPr>
      </w:pPr>
      <w:r w:rsidRPr="00F93CB1">
        <w:rPr>
          <w:noProof/>
          <w:szCs w:val="24"/>
          <w:lang w:val="en-US"/>
        </w:rPr>
        <w:t xml:space="preserve">17. </w:t>
      </w:r>
      <w:r w:rsidRPr="00F93CB1">
        <w:rPr>
          <w:noProof/>
          <w:szCs w:val="24"/>
          <w:lang w:val="en-US"/>
        </w:rPr>
        <w:tab/>
        <w:t xml:space="preserve">Hsieh C, Chang A, Brandt D, Guttikonda R, Utset TO, Clark MR. Predicting outcomes of lupus nephritis with tubulointerstitial inflammation and scarring. </w:t>
      </w:r>
      <w:r w:rsidRPr="00F93CB1">
        <w:rPr>
          <w:noProof/>
          <w:szCs w:val="24"/>
          <w:lang w:val="fr-FR"/>
        </w:rPr>
        <w:t xml:space="preserve">Arthritis Care Res. </w:t>
      </w:r>
      <w:r w:rsidRPr="00F93CB1">
        <w:rPr>
          <w:noProof/>
          <w:szCs w:val="24"/>
          <w:lang w:val="fr-FR"/>
        </w:rPr>
        <w:lastRenderedPageBreak/>
        <w:t xml:space="preserve">2011;63(6):865–74.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fr-FR"/>
        </w:rPr>
        <w:t xml:space="preserve">18. </w:t>
      </w:r>
      <w:r w:rsidRPr="00F93CB1">
        <w:rPr>
          <w:noProof/>
          <w:szCs w:val="24"/>
          <w:lang w:val="fr-FR"/>
        </w:rPr>
        <w:tab/>
        <w:t xml:space="preserve">Pagni F, Galimberti S, Galbiati E, Rebora P, Pietropaolo V, Pieruzzi F, et al. </w:t>
      </w:r>
      <w:r w:rsidRPr="00F93CB1">
        <w:rPr>
          <w:noProof/>
          <w:szCs w:val="24"/>
          <w:lang w:val="en-US"/>
        </w:rPr>
        <w:t xml:space="preserve">Tubulointerstitial lesions in lupus nephritis: International multicentre study in a large cohort of patients with repeat biopsy. Nephrology. 2016;21(1):35–45. </w:t>
      </w:r>
    </w:p>
    <w:p w:rsidR="002864B6" w:rsidRPr="00F93CB1" w:rsidRDefault="002864B6" w:rsidP="002864B6">
      <w:pPr>
        <w:widowControl w:val="0"/>
        <w:autoSpaceDE w:val="0"/>
        <w:autoSpaceDN w:val="0"/>
        <w:adjustRightInd w:val="0"/>
        <w:spacing w:line="360" w:lineRule="auto"/>
        <w:ind w:left="640" w:hanging="640"/>
        <w:rPr>
          <w:noProof/>
          <w:szCs w:val="24"/>
          <w:lang w:val="en-US"/>
        </w:rPr>
      </w:pPr>
      <w:r w:rsidRPr="00F93CB1">
        <w:rPr>
          <w:noProof/>
          <w:szCs w:val="24"/>
          <w:lang w:val="en-US"/>
        </w:rPr>
        <w:t xml:space="preserve">19. </w:t>
      </w:r>
      <w:r w:rsidRPr="00F93CB1">
        <w:rPr>
          <w:noProof/>
          <w:szCs w:val="24"/>
          <w:lang w:val="en-US"/>
        </w:rPr>
        <w:tab/>
        <w:t>Dall’Era M. Treatment of lupus nephritis. Curr Opin Rheumatol. 2017;29(3):241–7.</w:t>
      </w:r>
    </w:p>
    <w:p w:rsidR="00D90630" w:rsidRPr="00F93CB1" w:rsidRDefault="002864B6" w:rsidP="009E436E">
      <w:pPr>
        <w:widowControl w:val="0"/>
        <w:autoSpaceDE w:val="0"/>
        <w:autoSpaceDN w:val="0"/>
        <w:adjustRightInd w:val="0"/>
        <w:spacing w:line="360" w:lineRule="auto"/>
        <w:ind w:left="640" w:hanging="640"/>
        <w:rPr>
          <w:szCs w:val="22"/>
          <w:lang w:val="en-US"/>
        </w:rPr>
      </w:pPr>
      <w:r w:rsidRPr="00F93CB1">
        <w:rPr>
          <w:noProof/>
          <w:szCs w:val="24"/>
          <w:lang w:val="en-US"/>
        </w:rPr>
        <w:t xml:space="preserve">20. </w:t>
      </w:r>
      <w:r w:rsidRPr="00F93CB1">
        <w:rPr>
          <w:noProof/>
          <w:szCs w:val="24"/>
          <w:lang w:val="en-US"/>
        </w:rPr>
        <w:tab/>
        <w:t>Dobronravov V, Dooley MA, Haq SA, Adzerikho I, Bugrova O, Isenberg D, et al. LB0002 48 week complete remission of active lupus nephritis with voclosporin. Ann Rheum Dis . 2017 Jun 15;76(Suppl 2):153 LP-153.</w:t>
      </w:r>
      <w:r w:rsidR="00D90630" w:rsidRPr="00F93CB1">
        <w:fldChar w:fldCharType="end"/>
      </w:r>
    </w:p>
    <w:p w:rsidR="00F27785" w:rsidRPr="00F93CB1" w:rsidRDefault="00F27785" w:rsidP="002447C6">
      <w:pPr>
        <w:pStyle w:val="Normal1"/>
        <w:spacing w:line="360" w:lineRule="auto"/>
        <w:jc w:val="both"/>
        <w:rPr>
          <w:szCs w:val="22"/>
          <w:lang w:val="en-US"/>
        </w:rPr>
      </w:pPr>
      <w:r w:rsidRPr="00F93CB1">
        <w:rPr>
          <w:szCs w:val="22"/>
          <w:lang w:val="en-US"/>
        </w:rPr>
        <w:br w:type="page"/>
      </w:r>
    </w:p>
    <w:p w:rsidR="00F27785" w:rsidRPr="00F93CB1" w:rsidRDefault="00EF5B51" w:rsidP="00E05FFF">
      <w:pPr>
        <w:pStyle w:val="Normal1"/>
        <w:spacing w:line="360" w:lineRule="auto"/>
        <w:ind w:left="460" w:hanging="439"/>
        <w:jc w:val="both"/>
        <w:rPr>
          <w:b/>
          <w:sz w:val="18"/>
          <w:szCs w:val="22"/>
          <w:lang w:val="en-US"/>
        </w:rPr>
      </w:pPr>
      <w:r w:rsidRPr="00F93CB1">
        <w:rPr>
          <w:b/>
          <w:sz w:val="18"/>
          <w:szCs w:val="22"/>
          <w:lang w:val="en-US"/>
        </w:rPr>
        <w:lastRenderedPageBreak/>
        <w:t>TABLES</w:t>
      </w:r>
    </w:p>
    <w:p w:rsidR="00A60AD1" w:rsidRDefault="00A60AD1" w:rsidP="00A60AD1">
      <w:pPr>
        <w:spacing w:after="160" w:line="360" w:lineRule="auto"/>
        <w:jc w:val="both"/>
        <w:rPr>
          <w:rFonts w:ascii="Calibri" w:eastAsia="Calibri" w:hAnsi="Calibri" w:cs="Times New Roman"/>
          <w:color w:val="auto"/>
          <w:sz w:val="18"/>
          <w:szCs w:val="22"/>
          <w:lang w:val="en-US" w:eastAsia="en-US"/>
        </w:rPr>
      </w:pPr>
      <w:r w:rsidRPr="00F93CB1">
        <w:rPr>
          <w:rFonts w:ascii="Calibri" w:eastAsia="Calibri" w:hAnsi="Calibri" w:cs="Times New Roman"/>
          <w:color w:val="auto"/>
          <w:sz w:val="18"/>
          <w:szCs w:val="22"/>
          <w:lang w:val="en-US" w:eastAsia="en-US"/>
        </w:rPr>
        <w:t xml:space="preserve">Table </w:t>
      </w:r>
      <w:r>
        <w:rPr>
          <w:rFonts w:ascii="Calibri" w:eastAsia="Calibri" w:hAnsi="Calibri" w:cs="Times New Roman"/>
          <w:color w:val="auto"/>
          <w:sz w:val="18"/>
          <w:szCs w:val="22"/>
          <w:lang w:val="en-US" w:eastAsia="en-US"/>
        </w:rPr>
        <w:t>1</w:t>
      </w:r>
      <w:r w:rsidRPr="00F93CB1">
        <w:rPr>
          <w:rFonts w:ascii="Calibri" w:eastAsia="Calibri" w:hAnsi="Calibri" w:cs="Times New Roman"/>
          <w:color w:val="auto"/>
          <w:sz w:val="18"/>
          <w:szCs w:val="22"/>
          <w:lang w:val="en-US" w:eastAsia="en-US"/>
        </w:rPr>
        <w:t xml:space="preserve"> – </w:t>
      </w:r>
      <w:r>
        <w:rPr>
          <w:rFonts w:ascii="Calibri" w:eastAsia="Calibri" w:hAnsi="Calibri" w:cs="Times New Roman"/>
          <w:color w:val="auto"/>
          <w:sz w:val="18"/>
          <w:szCs w:val="22"/>
          <w:lang w:val="en-US" w:eastAsia="en-US"/>
        </w:rPr>
        <w:t>Abbreviated Lupus Nephritis ISN/RPS classification</w:t>
      </w:r>
    </w:p>
    <w:tbl>
      <w:tblPr>
        <w:tblStyle w:val="TableGrid"/>
        <w:tblW w:w="4765" w:type="dxa"/>
        <w:jc w:val="center"/>
        <w:tblLook w:val="04A0" w:firstRow="1" w:lastRow="0" w:firstColumn="1" w:lastColumn="0" w:noHBand="0" w:noVBand="1"/>
      </w:tblPr>
      <w:tblGrid>
        <w:gridCol w:w="1075"/>
        <w:gridCol w:w="3690"/>
      </w:tblGrid>
      <w:tr w:rsidR="00A60AD1" w:rsidRPr="00F93CB1" w:rsidTr="00B402BF">
        <w:trPr>
          <w:jc w:val="center"/>
        </w:trPr>
        <w:tc>
          <w:tcPr>
            <w:tcW w:w="1075" w:type="dxa"/>
            <w:tcBorders>
              <w:bottom w:val="single" w:sz="4" w:space="0" w:color="auto"/>
            </w:tcBorders>
            <w:shd w:val="clear" w:color="auto" w:fill="E6E6E6"/>
            <w:vAlign w:val="center"/>
          </w:tcPr>
          <w:p w:rsidR="00A60AD1" w:rsidRPr="00F93CB1" w:rsidRDefault="00A60AD1" w:rsidP="00B402BF">
            <w:pPr>
              <w:spacing w:line="360" w:lineRule="auto"/>
              <w:jc w:val="center"/>
              <w:rPr>
                <w:sz w:val="20"/>
              </w:rPr>
            </w:pPr>
            <w:proofErr w:type="spellStart"/>
            <w:r>
              <w:rPr>
                <w:sz w:val="20"/>
              </w:rPr>
              <w:t>Class</w:t>
            </w:r>
            <w:proofErr w:type="spellEnd"/>
          </w:p>
        </w:tc>
        <w:tc>
          <w:tcPr>
            <w:tcW w:w="3690" w:type="dxa"/>
            <w:shd w:val="clear" w:color="auto" w:fill="E6E6E6"/>
            <w:vAlign w:val="center"/>
          </w:tcPr>
          <w:p w:rsidR="00A60AD1" w:rsidRPr="00F93CB1" w:rsidRDefault="00A60AD1" w:rsidP="00B402BF">
            <w:pPr>
              <w:spacing w:line="360" w:lineRule="auto"/>
              <w:jc w:val="center"/>
              <w:rPr>
                <w:sz w:val="20"/>
              </w:rPr>
            </w:pPr>
            <w:proofErr w:type="spellStart"/>
            <w:r>
              <w:rPr>
                <w:sz w:val="20"/>
              </w:rPr>
              <w:t>Definition</w:t>
            </w:r>
            <w:proofErr w:type="spellEnd"/>
          </w:p>
        </w:tc>
      </w:tr>
      <w:tr w:rsidR="00A60AD1" w:rsidRPr="00F93CB1" w:rsidTr="00B402BF">
        <w:trPr>
          <w:trHeight w:val="438"/>
          <w:jc w:val="center"/>
        </w:trPr>
        <w:tc>
          <w:tcPr>
            <w:tcW w:w="1075" w:type="dxa"/>
            <w:shd w:val="clear" w:color="auto" w:fill="auto"/>
            <w:vAlign w:val="center"/>
          </w:tcPr>
          <w:p w:rsidR="00A60AD1" w:rsidRPr="00F93CB1" w:rsidRDefault="00A60AD1" w:rsidP="00B402BF">
            <w:pPr>
              <w:spacing w:line="360" w:lineRule="auto"/>
              <w:rPr>
                <w:sz w:val="20"/>
              </w:rPr>
            </w:pPr>
            <w:proofErr w:type="spellStart"/>
            <w:r>
              <w:rPr>
                <w:sz w:val="20"/>
              </w:rPr>
              <w:t>Class</w:t>
            </w:r>
            <w:proofErr w:type="spellEnd"/>
            <w:r>
              <w:rPr>
                <w:sz w:val="20"/>
              </w:rPr>
              <w:t xml:space="preserve"> I</w:t>
            </w:r>
          </w:p>
        </w:tc>
        <w:tc>
          <w:tcPr>
            <w:tcW w:w="3690" w:type="dxa"/>
            <w:shd w:val="clear" w:color="auto" w:fill="auto"/>
            <w:vAlign w:val="center"/>
          </w:tcPr>
          <w:p w:rsidR="00A60AD1" w:rsidRPr="00F93CB1" w:rsidRDefault="00A60AD1" w:rsidP="00B402BF">
            <w:pPr>
              <w:spacing w:line="360" w:lineRule="auto"/>
              <w:rPr>
                <w:sz w:val="20"/>
              </w:rPr>
            </w:pPr>
            <w:r>
              <w:rPr>
                <w:sz w:val="20"/>
              </w:rPr>
              <w:t>Minimal mesangial lupus nephritis</w:t>
            </w:r>
          </w:p>
        </w:tc>
      </w:tr>
      <w:tr w:rsidR="00A60AD1" w:rsidRPr="00F93CB1" w:rsidTr="00B402BF">
        <w:trPr>
          <w:trHeight w:val="361"/>
          <w:jc w:val="center"/>
        </w:trPr>
        <w:tc>
          <w:tcPr>
            <w:tcW w:w="1075" w:type="dxa"/>
            <w:shd w:val="clear" w:color="auto" w:fill="auto"/>
            <w:vAlign w:val="center"/>
          </w:tcPr>
          <w:p w:rsidR="00A60AD1" w:rsidRPr="00F93CB1" w:rsidRDefault="00A60AD1" w:rsidP="00B402BF">
            <w:pPr>
              <w:spacing w:line="360" w:lineRule="auto"/>
              <w:rPr>
                <w:sz w:val="20"/>
              </w:rPr>
            </w:pPr>
            <w:proofErr w:type="spellStart"/>
            <w:r>
              <w:rPr>
                <w:sz w:val="20"/>
              </w:rPr>
              <w:t>Class</w:t>
            </w:r>
            <w:proofErr w:type="spellEnd"/>
            <w:r>
              <w:rPr>
                <w:sz w:val="20"/>
              </w:rPr>
              <w:t xml:space="preserve"> II</w:t>
            </w:r>
          </w:p>
        </w:tc>
        <w:tc>
          <w:tcPr>
            <w:tcW w:w="3690" w:type="dxa"/>
            <w:shd w:val="clear" w:color="auto" w:fill="auto"/>
            <w:vAlign w:val="center"/>
          </w:tcPr>
          <w:p w:rsidR="00A60AD1" w:rsidRPr="00F93CB1" w:rsidRDefault="00A60AD1" w:rsidP="00B402BF">
            <w:pPr>
              <w:spacing w:line="360" w:lineRule="auto"/>
              <w:rPr>
                <w:sz w:val="20"/>
              </w:rPr>
            </w:pPr>
            <w:r>
              <w:rPr>
                <w:sz w:val="20"/>
              </w:rPr>
              <w:t xml:space="preserve">Mesangial </w:t>
            </w:r>
            <w:proofErr w:type="spellStart"/>
            <w:r>
              <w:rPr>
                <w:sz w:val="20"/>
              </w:rPr>
              <w:t>proliferative</w:t>
            </w:r>
            <w:proofErr w:type="spellEnd"/>
            <w:r>
              <w:rPr>
                <w:sz w:val="20"/>
              </w:rPr>
              <w:t xml:space="preserve"> lupus nephritis</w:t>
            </w:r>
          </w:p>
        </w:tc>
      </w:tr>
      <w:tr w:rsidR="00A60AD1" w:rsidRPr="00F93CB1" w:rsidTr="00B402BF">
        <w:trPr>
          <w:jc w:val="center"/>
        </w:trPr>
        <w:tc>
          <w:tcPr>
            <w:tcW w:w="1075" w:type="dxa"/>
            <w:shd w:val="clear" w:color="auto" w:fill="auto"/>
            <w:vAlign w:val="center"/>
          </w:tcPr>
          <w:p w:rsidR="00A60AD1" w:rsidRPr="00F93CB1" w:rsidRDefault="00A60AD1" w:rsidP="00B402BF">
            <w:pPr>
              <w:spacing w:line="360" w:lineRule="auto"/>
              <w:rPr>
                <w:sz w:val="20"/>
                <w:lang w:val="en-US"/>
              </w:rPr>
            </w:pPr>
            <w:r>
              <w:rPr>
                <w:sz w:val="20"/>
                <w:lang w:val="en-US"/>
              </w:rPr>
              <w:t>Class III</w:t>
            </w:r>
          </w:p>
        </w:tc>
        <w:tc>
          <w:tcPr>
            <w:tcW w:w="3690" w:type="dxa"/>
            <w:shd w:val="clear" w:color="auto" w:fill="auto"/>
            <w:vAlign w:val="center"/>
          </w:tcPr>
          <w:p w:rsidR="00A60AD1" w:rsidRPr="00F93CB1" w:rsidRDefault="00A60AD1" w:rsidP="00B402BF">
            <w:pPr>
              <w:spacing w:line="360" w:lineRule="auto"/>
              <w:rPr>
                <w:sz w:val="20"/>
              </w:rPr>
            </w:pPr>
            <w:r>
              <w:rPr>
                <w:sz w:val="20"/>
              </w:rPr>
              <w:t>Focal lupus nephritis</w:t>
            </w:r>
          </w:p>
        </w:tc>
      </w:tr>
      <w:tr w:rsidR="00B402BF" w:rsidRPr="00F93CB1" w:rsidTr="00B402BF">
        <w:trPr>
          <w:jc w:val="center"/>
        </w:trPr>
        <w:tc>
          <w:tcPr>
            <w:tcW w:w="1075" w:type="dxa"/>
            <w:shd w:val="clear" w:color="auto" w:fill="auto"/>
            <w:vAlign w:val="center"/>
          </w:tcPr>
          <w:p w:rsidR="00A60AD1" w:rsidRPr="00F93CB1" w:rsidRDefault="00A60AD1" w:rsidP="00B402BF">
            <w:pPr>
              <w:spacing w:line="360" w:lineRule="auto"/>
              <w:rPr>
                <w:sz w:val="20"/>
                <w:lang w:val="en-US"/>
              </w:rPr>
            </w:pPr>
            <w:r>
              <w:rPr>
                <w:sz w:val="20"/>
                <w:lang w:val="en-US"/>
              </w:rPr>
              <w:t>Class IV</w:t>
            </w:r>
          </w:p>
        </w:tc>
        <w:tc>
          <w:tcPr>
            <w:tcW w:w="3690" w:type="dxa"/>
            <w:shd w:val="clear" w:color="auto" w:fill="auto"/>
            <w:vAlign w:val="center"/>
          </w:tcPr>
          <w:p w:rsidR="00A60AD1" w:rsidRPr="00F93CB1" w:rsidRDefault="00A60AD1" w:rsidP="00B402BF">
            <w:pPr>
              <w:spacing w:line="360" w:lineRule="auto"/>
              <w:rPr>
                <w:sz w:val="20"/>
              </w:rPr>
            </w:pPr>
            <w:proofErr w:type="spellStart"/>
            <w:r>
              <w:rPr>
                <w:sz w:val="20"/>
              </w:rPr>
              <w:t>Diffuse</w:t>
            </w:r>
            <w:proofErr w:type="spellEnd"/>
            <w:r>
              <w:rPr>
                <w:sz w:val="20"/>
              </w:rPr>
              <w:t xml:space="preserve"> lupus nephritis</w:t>
            </w:r>
          </w:p>
        </w:tc>
      </w:tr>
      <w:tr w:rsidR="00B402BF" w:rsidRPr="00F93CB1" w:rsidTr="00B402BF">
        <w:trPr>
          <w:jc w:val="center"/>
        </w:trPr>
        <w:tc>
          <w:tcPr>
            <w:tcW w:w="1075" w:type="dxa"/>
            <w:shd w:val="clear" w:color="auto" w:fill="auto"/>
            <w:vAlign w:val="center"/>
          </w:tcPr>
          <w:p w:rsidR="00A60AD1" w:rsidRPr="00F93CB1" w:rsidRDefault="00A60AD1" w:rsidP="00B402BF">
            <w:pPr>
              <w:spacing w:line="360" w:lineRule="auto"/>
              <w:rPr>
                <w:sz w:val="20"/>
                <w:lang w:val="en-US"/>
              </w:rPr>
            </w:pPr>
            <w:r>
              <w:rPr>
                <w:sz w:val="20"/>
                <w:lang w:val="en-US"/>
              </w:rPr>
              <w:t>Class V</w:t>
            </w:r>
          </w:p>
        </w:tc>
        <w:tc>
          <w:tcPr>
            <w:tcW w:w="3690" w:type="dxa"/>
            <w:shd w:val="clear" w:color="auto" w:fill="auto"/>
            <w:vAlign w:val="center"/>
          </w:tcPr>
          <w:p w:rsidR="00A60AD1" w:rsidRPr="00F93CB1" w:rsidRDefault="00A60AD1" w:rsidP="00B402BF">
            <w:pPr>
              <w:spacing w:line="360" w:lineRule="auto"/>
              <w:rPr>
                <w:sz w:val="20"/>
              </w:rPr>
            </w:pPr>
            <w:r>
              <w:rPr>
                <w:sz w:val="20"/>
              </w:rPr>
              <w:t>Lupus membranous nephropathy</w:t>
            </w:r>
          </w:p>
        </w:tc>
      </w:tr>
      <w:tr w:rsidR="00A60AD1" w:rsidRPr="00F93CB1" w:rsidTr="00B402BF">
        <w:trPr>
          <w:jc w:val="center"/>
        </w:trPr>
        <w:tc>
          <w:tcPr>
            <w:tcW w:w="1075" w:type="dxa"/>
            <w:shd w:val="clear" w:color="auto" w:fill="auto"/>
            <w:vAlign w:val="center"/>
          </w:tcPr>
          <w:p w:rsidR="00A60AD1" w:rsidRPr="00A60AD1" w:rsidRDefault="00A60AD1" w:rsidP="00B402BF">
            <w:pPr>
              <w:spacing w:line="360" w:lineRule="auto"/>
              <w:rPr>
                <w:sz w:val="20"/>
              </w:rPr>
            </w:pPr>
            <w:proofErr w:type="spellStart"/>
            <w:r>
              <w:rPr>
                <w:sz w:val="20"/>
              </w:rPr>
              <w:t>Class</w:t>
            </w:r>
            <w:proofErr w:type="spellEnd"/>
            <w:r>
              <w:rPr>
                <w:sz w:val="20"/>
              </w:rPr>
              <w:t xml:space="preserve"> VI</w:t>
            </w:r>
          </w:p>
        </w:tc>
        <w:tc>
          <w:tcPr>
            <w:tcW w:w="3690" w:type="dxa"/>
            <w:shd w:val="clear" w:color="auto" w:fill="auto"/>
            <w:vAlign w:val="center"/>
          </w:tcPr>
          <w:p w:rsidR="00A60AD1" w:rsidRPr="00F93CB1" w:rsidRDefault="00A60AD1" w:rsidP="00B402BF">
            <w:pPr>
              <w:spacing w:line="360" w:lineRule="auto"/>
              <w:rPr>
                <w:sz w:val="20"/>
              </w:rPr>
            </w:pPr>
            <w:proofErr w:type="spellStart"/>
            <w:r>
              <w:rPr>
                <w:sz w:val="20"/>
              </w:rPr>
              <w:t>Advanced</w:t>
            </w:r>
            <w:proofErr w:type="spellEnd"/>
            <w:r>
              <w:rPr>
                <w:sz w:val="20"/>
              </w:rPr>
              <w:t xml:space="preserve"> </w:t>
            </w:r>
            <w:proofErr w:type="spellStart"/>
            <w:r>
              <w:rPr>
                <w:sz w:val="20"/>
              </w:rPr>
              <w:t>sclerosing</w:t>
            </w:r>
            <w:proofErr w:type="spellEnd"/>
            <w:r>
              <w:rPr>
                <w:sz w:val="20"/>
              </w:rPr>
              <w:t xml:space="preserve"> lupus nephritis</w:t>
            </w:r>
          </w:p>
        </w:tc>
      </w:tr>
    </w:tbl>
    <w:p w:rsidR="00A60AD1" w:rsidRPr="00F93CB1" w:rsidRDefault="00A60AD1" w:rsidP="00A60AD1">
      <w:pPr>
        <w:spacing w:after="160" w:line="360" w:lineRule="auto"/>
        <w:jc w:val="both"/>
        <w:rPr>
          <w:sz w:val="18"/>
          <w:lang w:val="en-US"/>
        </w:rPr>
      </w:pPr>
    </w:p>
    <w:p w:rsidR="00B402BF" w:rsidRPr="00865E3E" w:rsidRDefault="00A60AD1" w:rsidP="00A60AD1">
      <w:pPr>
        <w:spacing w:after="160" w:line="360" w:lineRule="auto"/>
        <w:jc w:val="both"/>
        <w:rPr>
          <w:rFonts w:asciiTheme="minorHAnsi" w:eastAsia="Calibri" w:hAnsiTheme="minorHAnsi" w:cstheme="minorHAnsi"/>
          <w:color w:val="auto"/>
          <w:sz w:val="18"/>
          <w:szCs w:val="18"/>
          <w:lang w:val="en-US" w:eastAsia="en-US"/>
        </w:rPr>
      </w:pPr>
      <w:r w:rsidRPr="00F93CB1">
        <w:rPr>
          <w:rFonts w:ascii="Calibri" w:eastAsia="Calibri" w:hAnsi="Calibri" w:cs="Times New Roman"/>
          <w:color w:val="auto"/>
          <w:sz w:val="18"/>
          <w:szCs w:val="22"/>
          <w:lang w:val="en-US" w:eastAsia="en-US"/>
        </w:rPr>
        <w:t xml:space="preserve">Table </w:t>
      </w:r>
      <w:r>
        <w:rPr>
          <w:rFonts w:ascii="Calibri" w:eastAsia="Calibri" w:hAnsi="Calibri" w:cs="Times New Roman"/>
          <w:color w:val="auto"/>
          <w:sz w:val="18"/>
          <w:szCs w:val="22"/>
          <w:lang w:val="en-US" w:eastAsia="en-US"/>
        </w:rPr>
        <w:t>2</w:t>
      </w:r>
      <w:r w:rsidRPr="00F93CB1">
        <w:rPr>
          <w:rFonts w:ascii="Calibri" w:eastAsia="Calibri" w:hAnsi="Calibri" w:cs="Times New Roman"/>
          <w:color w:val="auto"/>
          <w:sz w:val="18"/>
          <w:szCs w:val="22"/>
          <w:lang w:val="en-US" w:eastAsia="en-US"/>
        </w:rPr>
        <w:t xml:space="preserve"> – </w:t>
      </w:r>
      <w:r w:rsidR="00B402BF" w:rsidRPr="00865E3E">
        <w:rPr>
          <w:rFonts w:asciiTheme="minorHAnsi" w:eastAsia="Calibri" w:hAnsiTheme="minorHAnsi" w:cstheme="minorHAnsi"/>
          <w:color w:val="auto"/>
          <w:sz w:val="18"/>
          <w:szCs w:val="18"/>
          <w:lang w:val="en-US" w:eastAsia="en-US"/>
        </w:rPr>
        <w:t>Morphological indexes scoring system. A: Austin’s activity and chronicity indexes; B: Hill biopsy index</w:t>
      </w:r>
    </w:p>
    <w:tbl>
      <w:tblPr>
        <w:tblStyle w:val="TableGrid"/>
        <w:tblW w:w="8342" w:type="dxa"/>
        <w:jc w:val="center"/>
        <w:tblLook w:val="04A0" w:firstRow="1" w:lastRow="0" w:firstColumn="1" w:lastColumn="0" w:noHBand="0" w:noVBand="1"/>
      </w:tblPr>
      <w:tblGrid>
        <w:gridCol w:w="3028"/>
        <w:gridCol w:w="1074"/>
        <w:gridCol w:w="380"/>
        <w:gridCol w:w="3007"/>
        <w:gridCol w:w="853"/>
      </w:tblGrid>
      <w:tr w:rsidR="00061906" w:rsidRPr="00865E3E" w:rsidTr="00061906">
        <w:trPr>
          <w:jc w:val="center"/>
        </w:trPr>
        <w:tc>
          <w:tcPr>
            <w:tcW w:w="4102" w:type="dxa"/>
            <w:gridSpan w:val="2"/>
            <w:tcBorders>
              <w:top w:val="nil"/>
              <w:left w:val="nil"/>
              <w:bottom w:val="single" w:sz="4" w:space="0" w:color="auto"/>
              <w:right w:val="nil"/>
            </w:tcBorders>
            <w:shd w:val="clear" w:color="auto" w:fill="auto"/>
            <w:vAlign w:val="center"/>
          </w:tcPr>
          <w:p w:rsidR="00061906" w:rsidRPr="00865E3E" w:rsidRDefault="00061906" w:rsidP="00C31DE7">
            <w:pPr>
              <w:spacing w:line="360" w:lineRule="auto"/>
              <w:rPr>
                <w:rFonts w:asciiTheme="minorHAnsi" w:hAnsiTheme="minorHAnsi" w:cstheme="minorHAnsi"/>
                <w:sz w:val="18"/>
                <w:szCs w:val="18"/>
              </w:rPr>
            </w:pPr>
            <w:r w:rsidRPr="00865E3E">
              <w:rPr>
                <w:rFonts w:asciiTheme="minorHAnsi" w:hAnsiTheme="minorHAnsi" w:cstheme="minorHAnsi"/>
                <w:sz w:val="18"/>
                <w:szCs w:val="18"/>
              </w:rPr>
              <w:t>A:</w:t>
            </w:r>
          </w:p>
        </w:tc>
        <w:tc>
          <w:tcPr>
            <w:tcW w:w="380" w:type="dxa"/>
            <w:tcBorders>
              <w:top w:val="nil"/>
              <w:left w:val="nil"/>
              <w:bottom w:val="nil"/>
              <w:right w:val="nil"/>
            </w:tcBorders>
            <w:shd w:val="clear" w:color="auto" w:fill="auto"/>
          </w:tcPr>
          <w:p w:rsidR="00061906" w:rsidRPr="00865E3E" w:rsidRDefault="00061906" w:rsidP="001052F9">
            <w:pPr>
              <w:spacing w:line="360" w:lineRule="auto"/>
              <w:jc w:val="center"/>
              <w:rPr>
                <w:rFonts w:asciiTheme="minorHAnsi" w:hAnsiTheme="minorHAnsi" w:cstheme="minorHAnsi"/>
                <w:sz w:val="18"/>
                <w:szCs w:val="18"/>
              </w:rPr>
            </w:pPr>
          </w:p>
        </w:tc>
        <w:tc>
          <w:tcPr>
            <w:tcW w:w="3007" w:type="dxa"/>
            <w:tcBorders>
              <w:top w:val="nil"/>
              <w:left w:val="nil"/>
              <w:bottom w:val="single" w:sz="4" w:space="0" w:color="auto"/>
              <w:right w:val="nil"/>
            </w:tcBorders>
            <w:shd w:val="clear" w:color="auto" w:fill="auto"/>
          </w:tcPr>
          <w:p w:rsidR="00061906" w:rsidRPr="00865E3E" w:rsidRDefault="00061906" w:rsidP="00C31DE7">
            <w:pPr>
              <w:spacing w:line="360" w:lineRule="auto"/>
              <w:rPr>
                <w:rFonts w:asciiTheme="minorHAnsi" w:hAnsiTheme="minorHAnsi" w:cstheme="minorHAnsi"/>
                <w:sz w:val="18"/>
                <w:szCs w:val="18"/>
              </w:rPr>
            </w:pPr>
            <w:r w:rsidRPr="00865E3E">
              <w:rPr>
                <w:rFonts w:asciiTheme="minorHAnsi" w:hAnsiTheme="minorHAnsi" w:cstheme="minorHAnsi"/>
                <w:sz w:val="18"/>
                <w:szCs w:val="18"/>
              </w:rPr>
              <w:t>B:</w:t>
            </w:r>
          </w:p>
        </w:tc>
        <w:tc>
          <w:tcPr>
            <w:tcW w:w="853" w:type="dxa"/>
            <w:tcBorders>
              <w:top w:val="nil"/>
              <w:left w:val="nil"/>
              <w:bottom w:val="single" w:sz="4" w:space="0" w:color="auto"/>
              <w:right w:val="nil"/>
            </w:tcBorders>
          </w:tcPr>
          <w:p w:rsidR="00061906" w:rsidRPr="00865E3E" w:rsidRDefault="00061906" w:rsidP="00C31DE7">
            <w:pPr>
              <w:spacing w:line="360" w:lineRule="auto"/>
              <w:rPr>
                <w:rFonts w:asciiTheme="minorHAnsi" w:hAnsiTheme="minorHAnsi" w:cstheme="minorHAnsi"/>
                <w:sz w:val="18"/>
                <w:szCs w:val="18"/>
              </w:rPr>
            </w:pPr>
          </w:p>
        </w:tc>
      </w:tr>
      <w:tr w:rsidR="00061906" w:rsidRPr="00F93CB1" w:rsidTr="00061906">
        <w:trPr>
          <w:jc w:val="center"/>
        </w:trPr>
        <w:tc>
          <w:tcPr>
            <w:tcW w:w="3028" w:type="dxa"/>
            <w:tcBorders>
              <w:top w:val="single" w:sz="4" w:space="0" w:color="auto"/>
              <w:bottom w:val="single" w:sz="4" w:space="0" w:color="auto"/>
            </w:tcBorders>
            <w:shd w:val="clear" w:color="auto" w:fill="E6E6E6"/>
            <w:vAlign w:val="center"/>
          </w:tcPr>
          <w:p w:rsidR="00061906" w:rsidRPr="00F93CB1" w:rsidRDefault="00061906" w:rsidP="001052F9">
            <w:pPr>
              <w:spacing w:line="360" w:lineRule="auto"/>
              <w:jc w:val="center"/>
              <w:rPr>
                <w:sz w:val="20"/>
              </w:rPr>
            </w:pPr>
            <w:r>
              <w:rPr>
                <w:sz w:val="20"/>
              </w:rPr>
              <w:t>Activity index</w:t>
            </w:r>
          </w:p>
        </w:tc>
        <w:tc>
          <w:tcPr>
            <w:tcW w:w="1074" w:type="dxa"/>
            <w:tcBorders>
              <w:top w:val="single" w:sz="4" w:space="0" w:color="auto"/>
            </w:tcBorders>
            <w:shd w:val="clear" w:color="auto" w:fill="E6E6E6"/>
            <w:vAlign w:val="center"/>
          </w:tcPr>
          <w:p w:rsidR="00061906" w:rsidRPr="00F93CB1" w:rsidRDefault="00061906" w:rsidP="001052F9">
            <w:pPr>
              <w:spacing w:line="360" w:lineRule="auto"/>
              <w:jc w:val="center"/>
              <w:rPr>
                <w:sz w:val="20"/>
              </w:rPr>
            </w:pPr>
            <w:r>
              <w:rPr>
                <w:sz w:val="20"/>
              </w:rPr>
              <w:t>Score</w:t>
            </w:r>
          </w:p>
        </w:tc>
        <w:tc>
          <w:tcPr>
            <w:tcW w:w="380" w:type="dxa"/>
            <w:tcBorders>
              <w:top w:val="nil"/>
              <w:bottom w:val="nil"/>
            </w:tcBorders>
            <w:shd w:val="clear" w:color="auto" w:fill="auto"/>
          </w:tcPr>
          <w:p w:rsidR="00061906" w:rsidRPr="00C31DE7" w:rsidRDefault="00061906" w:rsidP="001052F9">
            <w:pPr>
              <w:spacing w:line="360" w:lineRule="auto"/>
              <w:jc w:val="center"/>
              <w:rPr>
                <w:sz w:val="20"/>
              </w:rPr>
            </w:pPr>
          </w:p>
        </w:tc>
        <w:tc>
          <w:tcPr>
            <w:tcW w:w="3007" w:type="dxa"/>
            <w:tcBorders>
              <w:top w:val="single" w:sz="4" w:space="0" w:color="auto"/>
            </w:tcBorders>
            <w:shd w:val="clear" w:color="auto" w:fill="E6E6E6"/>
          </w:tcPr>
          <w:p w:rsidR="00061906" w:rsidRDefault="00061906" w:rsidP="001052F9">
            <w:pPr>
              <w:spacing w:line="360" w:lineRule="auto"/>
              <w:jc w:val="center"/>
              <w:rPr>
                <w:sz w:val="20"/>
              </w:rPr>
            </w:pPr>
            <w:proofErr w:type="spellStart"/>
            <w:r>
              <w:rPr>
                <w:sz w:val="20"/>
              </w:rPr>
              <w:t>Components</w:t>
            </w:r>
            <w:proofErr w:type="spellEnd"/>
          </w:p>
        </w:tc>
        <w:tc>
          <w:tcPr>
            <w:tcW w:w="853" w:type="dxa"/>
            <w:tcBorders>
              <w:top w:val="single" w:sz="4" w:space="0" w:color="auto"/>
            </w:tcBorders>
            <w:shd w:val="clear" w:color="auto" w:fill="E6E6E6"/>
          </w:tcPr>
          <w:p w:rsidR="00061906" w:rsidRDefault="00061906" w:rsidP="001052F9">
            <w:pPr>
              <w:spacing w:line="360" w:lineRule="auto"/>
              <w:jc w:val="center"/>
              <w:rPr>
                <w:sz w:val="20"/>
              </w:rPr>
            </w:pPr>
            <w:r>
              <w:rPr>
                <w:sz w:val="20"/>
              </w:rPr>
              <w:t>Score</w:t>
            </w:r>
          </w:p>
        </w:tc>
      </w:tr>
      <w:tr w:rsidR="00061906" w:rsidRPr="00F93CB1" w:rsidTr="00061906">
        <w:trPr>
          <w:trHeight w:val="438"/>
          <w:jc w:val="center"/>
        </w:trPr>
        <w:tc>
          <w:tcPr>
            <w:tcW w:w="3028" w:type="dxa"/>
            <w:shd w:val="clear" w:color="auto" w:fill="auto"/>
            <w:vAlign w:val="center"/>
          </w:tcPr>
          <w:p w:rsidR="00061906" w:rsidRPr="00F93CB1" w:rsidRDefault="00061906" w:rsidP="001052F9">
            <w:pPr>
              <w:spacing w:line="360" w:lineRule="auto"/>
              <w:rPr>
                <w:sz w:val="20"/>
              </w:rPr>
            </w:pPr>
            <w:proofErr w:type="spellStart"/>
            <w:r w:rsidRPr="00C31DE7">
              <w:rPr>
                <w:sz w:val="20"/>
              </w:rPr>
              <w:t>Endocapillary</w:t>
            </w:r>
            <w:proofErr w:type="spellEnd"/>
            <w:r w:rsidRPr="00C31DE7">
              <w:rPr>
                <w:sz w:val="20"/>
              </w:rPr>
              <w:t xml:space="preserve"> </w:t>
            </w:r>
            <w:proofErr w:type="spellStart"/>
            <w:r w:rsidRPr="00C31DE7">
              <w:rPr>
                <w:sz w:val="20"/>
              </w:rPr>
              <w:t>hypercellularity</w:t>
            </w:r>
            <w:r>
              <w:rPr>
                <w:sz w:val="20"/>
              </w:rPr>
              <w:t>I</w:t>
            </w:r>
            <w:proofErr w:type="spellEnd"/>
          </w:p>
        </w:tc>
        <w:tc>
          <w:tcPr>
            <w:tcW w:w="1074" w:type="dxa"/>
            <w:shd w:val="clear" w:color="auto" w:fill="auto"/>
            <w:vAlign w:val="center"/>
          </w:tcPr>
          <w:p w:rsidR="00061906" w:rsidRPr="00F93CB1" w:rsidRDefault="00061906" w:rsidP="001052F9">
            <w:pPr>
              <w:spacing w:line="360" w:lineRule="auto"/>
              <w:rPr>
                <w:sz w:val="20"/>
              </w:rPr>
            </w:pPr>
            <w:r>
              <w:rPr>
                <w:sz w:val="20"/>
              </w:rPr>
              <w:t>0-3</w:t>
            </w:r>
          </w:p>
        </w:tc>
        <w:tc>
          <w:tcPr>
            <w:tcW w:w="380" w:type="dxa"/>
            <w:tcBorders>
              <w:top w:val="nil"/>
              <w:bottom w:val="nil"/>
            </w:tcBorders>
            <w:shd w:val="clear" w:color="auto" w:fill="auto"/>
          </w:tcPr>
          <w:p w:rsidR="00061906" w:rsidRPr="00C31DE7" w:rsidRDefault="00061906" w:rsidP="001052F9">
            <w:pPr>
              <w:spacing w:line="360" w:lineRule="auto"/>
              <w:rPr>
                <w:sz w:val="20"/>
              </w:rPr>
            </w:pPr>
          </w:p>
        </w:tc>
        <w:tc>
          <w:tcPr>
            <w:tcW w:w="3007" w:type="dxa"/>
          </w:tcPr>
          <w:p w:rsidR="00061906" w:rsidRDefault="00061906" w:rsidP="001052F9">
            <w:pPr>
              <w:spacing w:line="360" w:lineRule="auto"/>
              <w:rPr>
                <w:sz w:val="20"/>
              </w:rPr>
            </w:pPr>
            <w:r>
              <w:rPr>
                <w:sz w:val="20"/>
              </w:rPr>
              <w:t>Glomerular Activity index</w:t>
            </w:r>
          </w:p>
        </w:tc>
        <w:tc>
          <w:tcPr>
            <w:tcW w:w="853" w:type="dxa"/>
          </w:tcPr>
          <w:p w:rsidR="00061906" w:rsidRDefault="00061906" w:rsidP="001052F9">
            <w:pPr>
              <w:spacing w:line="360" w:lineRule="auto"/>
              <w:rPr>
                <w:sz w:val="20"/>
              </w:rPr>
            </w:pPr>
            <w:r>
              <w:rPr>
                <w:sz w:val="20"/>
              </w:rPr>
              <w:t>0-3</w:t>
            </w:r>
          </w:p>
        </w:tc>
      </w:tr>
      <w:tr w:rsidR="00061906" w:rsidRPr="00F93CB1" w:rsidTr="00061906">
        <w:trPr>
          <w:trHeight w:val="361"/>
          <w:jc w:val="center"/>
        </w:trPr>
        <w:tc>
          <w:tcPr>
            <w:tcW w:w="3028" w:type="dxa"/>
            <w:shd w:val="clear" w:color="auto" w:fill="auto"/>
            <w:vAlign w:val="center"/>
          </w:tcPr>
          <w:p w:rsidR="00061906" w:rsidRPr="00F93CB1" w:rsidRDefault="00061906" w:rsidP="001052F9">
            <w:pPr>
              <w:spacing w:line="360" w:lineRule="auto"/>
              <w:rPr>
                <w:sz w:val="20"/>
              </w:rPr>
            </w:pPr>
            <w:proofErr w:type="spellStart"/>
            <w:r w:rsidRPr="00C31DE7">
              <w:rPr>
                <w:sz w:val="20"/>
              </w:rPr>
              <w:t>Neutrophils</w:t>
            </w:r>
            <w:proofErr w:type="spellEnd"/>
            <w:r w:rsidRPr="00C31DE7">
              <w:rPr>
                <w:sz w:val="20"/>
              </w:rPr>
              <w:t>/karyorrhexis</w:t>
            </w:r>
          </w:p>
        </w:tc>
        <w:tc>
          <w:tcPr>
            <w:tcW w:w="1074" w:type="dxa"/>
            <w:shd w:val="clear" w:color="auto" w:fill="auto"/>
            <w:vAlign w:val="center"/>
          </w:tcPr>
          <w:p w:rsidR="00061906" w:rsidRPr="00F93CB1" w:rsidRDefault="00061906" w:rsidP="001052F9">
            <w:pPr>
              <w:spacing w:line="360" w:lineRule="auto"/>
              <w:rPr>
                <w:sz w:val="20"/>
              </w:rPr>
            </w:pPr>
            <w:r>
              <w:rPr>
                <w:sz w:val="20"/>
              </w:rPr>
              <w:t>0-3</w:t>
            </w:r>
          </w:p>
        </w:tc>
        <w:tc>
          <w:tcPr>
            <w:tcW w:w="380" w:type="dxa"/>
            <w:tcBorders>
              <w:top w:val="nil"/>
              <w:bottom w:val="nil"/>
            </w:tcBorders>
            <w:shd w:val="clear" w:color="auto" w:fill="auto"/>
          </w:tcPr>
          <w:p w:rsidR="00061906" w:rsidRPr="00C31DE7" w:rsidRDefault="00061906" w:rsidP="001052F9">
            <w:pPr>
              <w:spacing w:line="360" w:lineRule="auto"/>
              <w:rPr>
                <w:sz w:val="20"/>
              </w:rPr>
            </w:pPr>
          </w:p>
        </w:tc>
        <w:tc>
          <w:tcPr>
            <w:tcW w:w="3007" w:type="dxa"/>
          </w:tcPr>
          <w:p w:rsidR="00061906" w:rsidRDefault="00061906" w:rsidP="001052F9">
            <w:pPr>
              <w:spacing w:line="360" w:lineRule="auto"/>
              <w:rPr>
                <w:sz w:val="20"/>
              </w:rPr>
            </w:pPr>
            <w:proofErr w:type="spellStart"/>
            <w:r>
              <w:rPr>
                <w:sz w:val="20"/>
              </w:rPr>
              <w:t>Tubulointerstitial</w:t>
            </w:r>
            <w:proofErr w:type="spellEnd"/>
            <w:r>
              <w:rPr>
                <w:sz w:val="20"/>
              </w:rPr>
              <w:t xml:space="preserve"> Activity index</w:t>
            </w:r>
          </w:p>
        </w:tc>
        <w:tc>
          <w:tcPr>
            <w:tcW w:w="853" w:type="dxa"/>
          </w:tcPr>
          <w:p w:rsidR="00061906" w:rsidRDefault="00061906" w:rsidP="001052F9">
            <w:pPr>
              <w:spacing w:line="360" w:lineRule="auto"/>
              <w:rPr>
                <w:sz w:val="20"/>
              </w:rPr>
            </w:pPr>
            <w:r>
              <w:rPr>
                <w:sz w:val="20"/>
              </w:rPr>
              <w:t>0-4</w:t>
            </w:r>
          </w:p>
        </w:tc>
      </w:tr>
      <w:tr w:rsidR="00061906" w:rsidRPr="00F93CB1" w:rsidTr="00061906">
        <w:trPr>
          <w:jc w:val="center"/>
        </w:trPr>
        <w:tc>
          <w:tcPr>
            <w:tcW w:w="3028" w:type="dxa"/>
            <w:shd w:val="clear" w:color="auto" w:fill="auto"/>
            <w:vAlign w:val="center"/>
          </w:tcPr>
          <w:p w:rsidR="00061906" w:rsidRPr="00F93CB1" w:rsidRDefault="00061906" w:rsidP="001052F9">
            <w:pPr>
              <w:spacing w:line="360" w:lineRule="auto"/>
              <w:rPr>
                <w:sz w:val="20"/>
                <w:lang w:val="en-US"/>
              </w:rPr>
            </w:pPr>
            <w:r w:rsidRPr="00C31DE7">
              <w:rPr>
                <w:sz w:val="20"/>
                <w:lang w:val="en-US"/>
              </w:rPr>
              <w:t>Fibrinoid necrosis</w:t>
            </w:r>
          </w:p>
        </w:tc>
        <w:tc>
          <w:tcPr>
            <w:tcW w:w="1074" w:type="dxa"/>
            <w:shd w:val="clear" w:color="auto" w:fill="auto"/>
            <w:vAlign w:val="center"/>
          </w:tcPr>
          <w:p w:rsidR="00061906" w:rsidRPr="00F93CB1" w:rsidRDefault="00061906" w:rsidP="001052F9">
            <w:pPr>
              <w:spacing w:line="360" w:lineRule="auto"/>
              <w:rPr>
                <w:sz w:val="20"/>
              </w:rPr>
            </w:pPr>
            <w:r>
              <w:rPr>
                <w:sz w:val="20"/>
              </w:rPr>
              <w:t>(0-3) x 2</w:t>
            </w:r>
          </w:p>
        </w:tc>
        <w:tc>
          <w:tcPr>
            <w:tcW w:w="380" w:type="dxa"/>
            <w:tcBorders>
              <w:top w:val="nil"/>
              <w:bottom w:val="nil"/>
            </w:tcBorders>
            <w:shd w:val="clear" w:color="auto" w:fill="auto"/>
          </w:tcPr>
          <w:p w:rsidR="00061906" w:rsidRPr="00C31DE7" w:rsidRDefault="00061906" w:rsidP="001052F9">
            <w:pPr>
              <w:spacing w:line="360" w:lineRule="auto"/>
              <w:rPr>
                <w:sz w:val="20"/>
              </w:rPr>
            </w:pPr>
          </w:p>
        </w:tc>
        <w:tc>
          <w:tcPr>
            <w:tcW w:w="3007" w:type="dxa"/>
          </w:tcPr>
          <w:p w:rsidR="00061906" w:rsidRDefault="00061906" w:rsidP="001052F9">
            <w:pPr>
              <w:spacing w:line="360" w:lineRule="auto"/>
              <w:rPr>
                <w:sz w:val="20"/>
              </w:rPr>
            </w:pPr>
            <w:r>
              <w:rPr>
                <w:sz w:val="20"/>
              </w:rPr>
              <w:t xml:space="preserve">Chronic </w:t>
            </w:r>
            <w:proofErr w:type="spellStart"/>
            <w:r>
              <w:rPr>
                <w:sz w:val="20"/>
              </w:rPr>
              <w:t>lesions</w:t>
            </w:r>
            <w:proofErr w:type="spellEnd"/>
            <w:r>
              <w:rPr>
                <w:sz w:val="20"/>
              </w:rPr>
              <w:t xml:space="preserve"> index</w:t>
            </w:r>
          </w:p>
        </w:tc>
        <w:tc>
          <w:tcPr>
            <w:tcW w:w="853" w:type="dxa"/>
          </w:tcPr>
          <w:p w:rsidR="00061906" w:rsidRDefault="00061906" w:rsidP="001052F9">
            <w:pPr>
              <w:spacing w:line="360" w:lineRule="auto"/>
              <w:rPr>
                <w:sz w:val="20"/>
              </w:rPr>
            </w:pPr>
            <w:r>
              <w:rPr>
                <w:sz w:val="20"/>
              </w:rPr>
              <w:t>0-2</w:t>
            </w:r>
          </w:p>
        </w:tc>
      </w:tr>
      <w:tr w:rsidR="00061906" w:rsidRPr="00F93CB1" w:rsidTr="00061906">
        <w:trPr>
          <w:jc w:val="center"/>
        </w:trPr>
        <w:tc>
          <w:tcPr>
            <w:tcW w:w="3028" w:type="dxa"/>
            <w:shd w:val="clear" w:color="auto" w:fill="auto"/>
            <w:vAlign w:val="center"/>
          </w:tcPr>
          <w:p w:rsidR="00061906" w:rsidRPr="00F93CB1" w:rsidRDefault="00061906" w:rsidP="001052F9">
            <w:pPr>
              <w:spacing w:line="360" w:lineRule="auto"/>
              <w:rPr>
                <w:sz w:val="20"/>
                <w:lang w:val="en-US"/>
              </w:rPr>
            </w:pPr>
            <w:r w:rsidRPr="00C31DE7">
              <w:rPr>
                <w:sz w:val="20"/>
                <w:lang w:val="en-US"/>
              </w:rPr>
              <w:t>Hyaline deposits</w:t>
            </w:r>
          </w:p>
        </w:tc>
        <w:tc>
          <w:tcPr>
            <w:tcW w:w="1074" w:type="dxa"/>
            <w:shd w:val="clear" w:color="auto" w:fill="auto"/>
            <w:vAlign w:val="center"/>
          </w:tcPr>
          <w:p w:rsidR="00061906" w:rsidRPr="00F93CB1" w:rsidRDefault="00061906" w:rsidP="001052F9">
            <w:pPr>
              <w:spacing w:line="360" w:lineRule="auto"/>
              <w:rPr>
                <w:sz w:val="20"/>
              </w:rPr>
            </w:pPr>
            <w:r>
              <w:rPr>
                <w:sz w:val="20"/>
              </w:rPr>
              <w:t>0-3</w:t>
            </w:r>
          </w:p>
        </w:tc>
        <w:tc>
          <w:tcPr>
            <w:tcW w:w="380" w:type="dxa"/>
            <w:tcBorders>
              <w:top w:val="nil"/>
              <w:bottom w:val="nil"/>
            </w:tcBorders>
            <w:shd w:val="clear" w:color="auto" w:fill="auto"/>
          </w:tcPr>
          <w:p w:rsidR="00061906" w:rsidRPr="00C31DE7" w:rsidRDefault="00061906" w:rsidP="001052F9">
            <w:pPr>
              <w:spacing w:line="360" w:lineRule="auto"/>
              <w:rPr>
                <w:sz w:val="20"/>
              </w:rPr>
            </w:pPr>
          </w:p>
        </w:tc>
        <w:tc>
          <w:tcPr>
            <w:tcW w:w="3007" w:type="dxa"/>
          </w:tcPr>
          <w:p w:rsidR="00061906" w:rsidRDefault="00061906" w:rsidP="001052F9">
            <w:pPr>
              <w:spacing w:line="360" w:lineRule="auto"/>
              <w:rPr>
                <w:sz w:val="20"/>
              </w:rPr>
            </w:pPr>
            <w:proofErr w:type="spellStart"/>
            <w:r>
              <w:rPr>
                <w:sz w:val="20"/>
              </w:rPr>
              <w:t>Immunofluorescence</w:t>
            </w:r>
            <w:proofErr w:type="spellEnd"/>
            <w:r>
              <w:rPr>
                <w:sz w:val="20"/>
              </w:rPr>
              <w:t xml:space="preserve"> index</w:t>
            </w:r>
          </w:p>
        </w:tc>
        <w:tc>
          <w:tcPr>
            <w:tcW w:w="853" w:type="dxa"/>
          </w:tcPr>
          <w:p w:rsidR="00061906" w:rsidRDefault="00061906" w:rsidP="001052F9">
            <w:pPr>
              <w:spacing w:line="360" w:lineRule="auto"/>
              <w:rPr>
                <w:sz w:val="20"/>
              </w:rPr>
            </w:pPr>
            <w:r>
              <w:rPr>
                <w:sz w:val="20"/>
              </w:rPr>
              <w:t>0-3</w:t>
            </w:r>
          </w:p>
        </w:tc>
      </w:tr>
      <w:tr w:rsidR="00061906" w:rsidRPr="00F93CB1" w:rsidTr="00061906">
        <w:trPr>
          <w:jc w:val="center"/>
        </w:trPr>
        <w:tc>
          <w:tcPr>
            <w:tcW w:w="3028" w:type="dxa"/>
            <w:shd w:val="clear" w:color="auto" w:fill="auto"/>
            <w:vAlign w:val="center"/>
          </w:tcPr>
          <w:p w:rsidR="00061906" w:rsidRPr="00F93CB1" w:rsidRDefault="00061906" w:rsidP="001052F9">
            <w:pPr>
              <w:spacing w:line="360" w:lineRule="auto"/>
              <w:rPr>
                <w:sz w:val="20"/>
                <w:lang w:val="en-US"/>
              </w:rPr>
            </w:pPr>
            <w:r w:rsidRPr="00C31DE7">
              <w:rPr>
                <w:sz w:val="20"/>
                <w:lang w:val="en-US"/>
              </w:rPr>
              <w:t>Cellular/</w:t>
            </w:r>
            <w:proofErr w:type="spellStart"/>
            <w:r w:rsidRPr="00C31DE7">
              <w:rPr>
                <w:sz w:val="20"/>
                <w:lang w:val="en-US"/>
              </w:rPr>
              <w:t>fibrocellular</w:t>
            </w:r>
            <w:proofErr w:type="spellEnd"/>
            <w:r w:rsidRPr="00C31DE7">
              <w:rPr>
                <w:sz w:val="20"/>
                <w:lang w:val="en-US"/>
              </w:rPr>
              <w:t xml:space="preserve"> crescents</w:t>
            </w:r>
          </w:p>
        </w:tc>
        <w:tc>
          <w:tcPr>
            <w:tcW w:w="1074" w:type="dxa"/>
            <w:shd w:val="clear" w:color="auto" w:fill="auto"/>
            <w:vAlign w:val="center"/>
          </w:tcPr>
          <w:p w:rsidR="00061906" w:rsidRPr="00F93CB1" w:rsidRDefault="00061906" w:rsidP="001052F9">
            <w:pPr>
              <w:spacing w:line="360" w:lineRule="auto"/>
              <w:rPr>
                <w:sz w:val="20"/>
              </w:rPr>
            </w:pPr>
            <w:r>
              <w:rPr>
                <w:sz w:val="20"/>
              </w:rPr>
              <w:t>(0-3) x 2</w:t>
            </w:r>
          </w:p>
        </w:tc>
        <w:tc>
          <w:tcPr>
            <w:tcW w:w="380" w:type="dxa"/>
            <w:tcBorders>
              <w:top w:val="nil"/>
              <w:bottom w:val="nil"/>
            </w:tcBorders>
            <w:shd w:val="clear" w:color="auto" w:fill="auto"/>
          </w:tcPr>
          <w:p w:rsidR="00061906" w:rsidRPr="00C31DE7" w:rsidRDefault="00061906" w:rsidP="001052F9">
            <w:pPr>
              <w:spacing w:line="360" w:lineRule="auto"/>
              <w:rPr>
                <w:sz w:val="20"/>
              </w:rPr>
            </w:pPr>
          </w:p>
        </w:tc>
        <w:tc>
          <w:tcPr>
            <w:tcW w:w="3007" w:type="dxa"/>
          </w:tcPr>
          <w:p w:rsidR="00061906" w:rsidRPr="00061906" w:rsidRDefault="00061906" w:rsidP="001052F9">
            <w:pPr>
              <w:spacing w:line="360" w:lineRule="auto"/>
              <w:rPr>
                <w:b/>
                <w:sz w:val="20"/>
              </w:rPr>
            </w:pPr>
            <w:r w:rsidRPr="00061906">
              <w:rPr>
                <w:b/>
                <w:sz w:val="20"/>
              </w:rPr>
              <w:t>Total</w:t>
            </w:r>
          </w:p>
        </w:tc>
        <w:tc>
          <w:tcPr>
            <w:tcW w:w="853" w:type="dxa"/>
          </w:tcPr>
          <w:p w:rsidR="00061906" w:rsidRPr="00061906" w:rsidRDefault="00061906" w:rsidP="001052F9">
            <w:pPr>
              <w:spacing w:line="360" w:lineRule="auto"/>
              <w:rPr>
                <w:b/>
                <w:sz w:val="20"/>
              </w:rPr>
            </w:pPr>
            <w:r w:rsidRPr="00061906">
              <w:rPr>
                <w:b/>
                <w:sz w:val="20"/>
              </w:rPr>
              <w:t>0-12</w:t>
            </w:r>
          </w:p>
        </w:tc>
      </w:tr>
      <w:tr w:rsidR="00061906" w:rsidRPr="00F93CB1" w:rsidTr="00061906">
        <w:trPr>
          <w:gridAfter w:val="2"/>
          <w:wAfter w:w="3860" w:type="dxa"/>
          <w:jc w:val="center"/>
        </w:trPr>
        <w:tc>
          <w:tcPr>
            <w:tcW w:w="3028" w:type="dxa"/>
            <w:shd w:val="clear" w:color="auto" w:fill="auto"/>
            <w:vAlign w:val="center"/>
          </w:tcPr>
          <w:p w:rsidR="00061906" w:rsidRPr="00A60AD1" w:rsidRDefault="00061906" w:rsidP="001052F9">
            <w:pPr>
              <w:spacing w:line="360" w:lineRule="auto"/>
              <w:rPr>
                <w:sz w:val="20"/>
              </w:rPr>
            </w:pPr>
            <w:r w:rsidRPr="00C31DE7">
              <w:rPr>
                <w:sz w:val="20"/>
              </w:rPr>
              <w:t>Interstitial Inflammation</w:t>
            </w:r>
          </w:p>
        </w:tc>
        <w:tc>
          <w:tcPr>
            <w:tcW w:w="1074" w:type="dxa"/>
            <w:shd w:val="clear" w:color="auto" w:fill="auto"/>
            <w:vAlign w:val="center"/>
          </w:tcPr>
          <w:p w:rsidR="00061906" w:rsidRPr="00F93CB1" w:rsidRDefault="00061906" w:rsidP="001052F9">
            <w:pPr>
              <w:spacing w:line="360" w:lineRule="auto"/>
              <w:rPr>
                <w:sz w:val="20"/>
              </w:rPr>
            </w:pPr>
            <w:r>
              <w:rPr>
                <w:sz w:val="20"/>
              </w:rPr>
              <w:t>0-3</w:t>
            </w:r>
          </w:p>
        </w:tc>
        <w:tc>
          <w:tcPr>
            <w:tcW w:w="380" w:type="dxa"/>
            <w:tcBorders>
              <w:top w:val="nil"/>
              <w:bottom w:val="nil"/>
              <w:right w:val="nil"/>
            </w:tcBorders>
            <w:shd w:val="clear" w:color="auto" w:fill="auto"/>
          </w:tcPr>
          <w:p w:rsidR="00061906" w:rsidRPr="00C31DE7" w:rsidRDefault="00061906" w:rsidP="001052F9">
            <w:pPr>
              <w:spacing w:line="360" w:lineRule="auto"/>
              <w:rPr>
                <w:sz w:val="20"/>
              </w:rPr>
            </w:pPr>
          </w:p>
        </w:tc>
      </w:tr>
      <w:tr w:rsidR="00061906" w:rsidRPr="00F93CB1" w:rsidTr="00061906">
        <w:trPr>
          <w:gridAfter w:val="2"/>
          <w:wAfter w:w="3860" w:type="dxa"/>
          <w:jc w:val="center"/>
        </w:trPr>
        <w:tc>
          <w:tcPr>
            <w:tcW w:w="3028" w:type="dxa"/>
            <w:shd w:val="clear" w:color="auto" w:fill="auto"/>
            <w:vAlign w:val="center"/>
          </w:tcPr>
          <w:p w:rsidR="00061906" w:rsidRPr="00C31DE7" w:rsidRDefault="00061906" w:rsidP="001052F9">
            <w:pPr>
              <w:spacing w:line="360" w:lineRule="auto"/>
              <w:rPr>
                <w:b/>
                <w:sz w:val="20"/>
              </w:rPr>
            </w:pPr>
            <w:r w:rsidRPr="00C31DE7">
              <w:rPr>
                <w:b/>
                <w:sz w:val="20"/>
              </w:rPr>
              <w:t>Total</w:t>
            </w:r>
          </w:p>
        </w:tc>
        <w:tc>
          <w:tcPr>
            <w:tcW w:w="1074" w:type="dxa"/>
            <w:shd w:val="clear" w:color="auto" w:fill="auto"/>
            <w:vAlign w:val="center"/>
          </w:tcPr>
          <w:p w:rsidR="00061906" w:rsidRPr="00C31DE7" w:rsidRDefault="00061906" w:rsidP="001052F9">
            <w:pPr>
              <w:spacing w:line="360" w:lineRule="auto"/>
              <w:rPr>
                <w:b/>
                <w:sz w:val="20"/>
              </w:rPr>
            </w:pPr>
            <w:r w:rsidRPr="00C31DE7">
              <w:rPr>
                <w:b/>
                <w:sz w:val="20"/>
              </w:rPr>
              <w:t>0-24</w:t>
            </w:r>
          </w:p>
        </w:tc>
        <w:tc>
          <w:tcPr>
            <w:tcW w:w="380" w:type="dxa"/>
            <w:tcBorders>
              <w:top w:val="nil"/>
              <w:bottom w:val="nil"/>
              <w:right w:val="nil"/>
            </w:tcBorders>
            <w:shd w:val="clear" w:color="auto" w:fill="auto"/>
          </w:tcPr>
          <w:p w:rsidR="00061906" w:rsidRPr="00C31DE7" w:rsidRDefault="00061906" w:rsidP="001052F9">
            <w:pPr>
              <w:spacing w:line="360" w:lineRule="auto"/>
              <w:rPr>
                <w:sz w:val="20"/>
              </w:rPr>
            </w:pPr>
          </w:p>
        </w:tc>
      </w:tr>
      <w:tr w:rsidR="00061906" w:rsidRPr="00F93CB1" w:rsidTr="00061906">
        <w:trPr>
          <w:gridAfter w:val="2"/>
          <w:wAfter w:w="3860" w:type="dxa"/>
          <w:jc w:val="center"/>
        </w:trPr>
        <w:tc>
          <w:tcPr>
            <w:tcW w:w="3028" w:type="dxa"/>
            <w:tcBorders>
              <w:bottom w:val="single" w:sz="4" w:space="0" w:color="auto"/>
            </w:tcBorders>
            <w:shd w:val="clear" w:color="auto" w:fill="E6E6E6"/>
            <w:vAlign w:val="center"/>
          </w:tcPr>
          <w:p w:rsidR="00061906" w:rsidRPr="00F93CB1" w:rsidRDefault="00061906" w:rsidP="001052F9">
            <w:pPr>
              <w:spacing w:line="360" w:lineRule="auto"/>
              <w:jc w:val="center"/>
              <w:rPr>
                <w:sz w:val="20"/>
              </w:rPr>
            </w:pPr>
            <w:r>
              <w:rPr>
                <w:sz w:val="20"/>
              </w:rPr>
              <w:t>Chronicity</w:t>
            </w:r>
            <w:r>
              <w:rPr>
                <w:sz w:val="20"/>
              </w:rPr>
              <w:t xml:space="preserve"> index</w:t>
            </w:r>
          </w:p>
        </w:tc>
        <w:tc>
          <w:tcPr>
            <w:tcW w:w="1074" w:type="dxa"/>
            <w:shd w:val="clear" w:color="auto" w:fill="E6E6E6"/>
            <w:vAlign w:val="center"/>
          </w:tcPr>
          <w:p w:rsidR="00061906" w:rsidRPr="00F93CB1" w:rsidRDefault="00061906" w:rsidP="001052F9">
            <w:pPr>
              <w:spacing w:line="360" w:lineRule="auto"/>
              <w:jc w:val="center"/>
              <w:rPr>
                <w:sz w:val="20"/>
              </w:rPr>
            </w:pPr>
            <w:r>
              <w:rPr>
                <w:sz w:val="20"/>
              </w:rPr>
              <w:t>Score</w:t>
            </w:r>
          </w:p>
        </w:tc>
        <w:tc>
          <w:tcPr>
            <w:tcW w:w="380" w:type="dxa"/>
            <w:tcBorders>
              <w:top w:val="nil"/>
              <w:bottom w:val="nil"/>
              <w:right w:val="nil"/>
            </w:tcBorders>
            <w:shd w:val="clear" w:color="auto" w:fill="auto"/>
          </w:tcPr>
          <w:p w:rsidR="00061906" w:rsidRPr="00C31DE7" w:rsidRDefault="00061906" w:rsidP="001052F9">
            <w:pPr>
              <w:spacing w:line="360" w:lineRule="auto"/>
              <w:jc w:val="center"/>
              <w:rPr>
                <w:sz w:val="20"/>
              </w:rPr>
            </w:pPr>
          </w:p>
        </w:tc>
      </w:tr>
      <w:tr w:rsidR="00061906" w:rsidRPr="00F93CB1" w:rsidTr="00061906">
        <w:trPr>
          <w:gridAfter w:val="2"/>
          <w:wAfter w:w="3860" w:type="dxa"/>
          <w:trHeight w:val="438"/>
          <w:jc w:val="center"/>
        </w:trPr>
        <w:tc>
          <w:tcPr>
            <w:tcW w:w="3028" w:type="dxa"/>
            <w:shd w:val="clear" w:color="auto" w:fill="auto"/>
            <w:vAlign w:val="center"/>
          </w:tcPr>
          <w:p w:rsidR="00061906" w:rsidRPr="00F93CB1" w:rsidRDefault="00061906" w:rsidP="001052F9">
            <w:pPr>
              <w:spacing w:line="360" w:lineRule="auto"/>
              <w:rPr>
                <w:sz w:val="20"/>
              </w:rPr>
            </w:pPr>
            <w:r w:rsidRPr="00C31DE7">
              <w:rPr>
                <w:sz w:val="20"/>
              </w:rPr>
              <w:t xml:space="preserve">Total </w:t>
            </w:r>
            <w:proofErr w:type="spellStart"/>
            <w:r w:rsidRPr="00C31DE7">
              <w:rPr>
                <w:sz w:val="20"/>
              </w:rPr>
              <w:t>glomerulosclerosis</w:t>
            </w:r>
            <w:proofErr w:type="spellEnd"/>
            <w:r w:rsidRPr="00C31DE7">
              <w:rPr>
                <w:sz w:val="20"/>
              </w:rPr>
              <w:t xml:space="preserve"> score</w:t>
            </w:r>
          </w:p>
        </w:tc>
        <w:tc>
          <w:tcPr>
            <w:tcW w:w="1074" w:type="dxa"/>
            <w:shd w:val="clear" w:color="auto" w:fill="auto"/>
            <w:vAlign w:val="center"/>
          </w:tcPr>
          <w:p w:rsidR="00061906" w:rsidRPr="00F93CB1" w:rsidRDefault="00061906" w:rsidP="001052F9">
            <w:pPr>
              <w:spacing w:line="360" w:lineRule="auto"/>
              <w:rPr>
                <w:sz w:val="20"/>
              </w:rPr>
            </w:pPr>
            <w:r>
              <w:rPr>
                <w:sz w:val="20"/>
              </w:rPr>
              <w:t>0-3</w:t>
            </w:r>
          </w:p>
        </w:tc>
        <w:tc>
          <w:tcPr>
            <w:tcW w:w="380" w:type="dxa"/>
            <w:tcBorders>
              <w:top w:val="nil"/>
              <w:bottom w:val="nil"/>
              <w:right w:val="nil"/>
            </w:tcBorders>
            <w:shd w:val="clear" w:color="auto" w:fill="auto"/>
          </w:tcPr>
          <w:p w:rsidR="00061906" w:rsidRPr="00C31DE7" w:rsidRDefault="00061906" w:rsidP="001052F9">
            <w:pPr>
              <w:spacing w:line="360" w:lineRule="auto"/>
              <w:rPr>
                <w:sz w:val="20"/>
              </w:rPr>
            </w:pPr>
          </w:p>
        </w:tc>
      </w:tr>
      <w:tr w:rsidR="00061906" w:rsidRPr="00F93CB1" w:rsidTr="00061906">
        <w:trPr>
          <w:gridAfter w:val="2"/>
          <w:wAfter w:w="3860" w:type="dxa"/>
          <w:trHeight w:val="361"/>
          <w:jc w:val="center"/>
        </w:trPr>
        <w:tc>
          <w:tcPr>
            <w:tcW w:w="3028" w:type="dxa"/>
            <w:shd w:val="clear" w:color="auto" w:fill="auto"/>
            <w:vAlign w:val="center"/>
          </w:tcPr>
          <w:p w:rsidR="00061906" w:rsidRPr="00F93CB1" w:rsidRDefault="00061906" w:rsidP="001052F9">
            <w:pPr>
              <w:spacing w:line="360" w:lineRule="auto"/>
              <w:rPr>
                <w:sz w:val="20"/>
              </w:rPr>
            </w:pPr>
            <w:proofErr w:type="spellStart"/>
            <w:r w:rsidRPr="00C31DE7">
              <w:rPr>
                <w:sz w:val="20"/>
              </w:rPr>
              <w:t>Fibrous</w:t>
            </w:r>
            <w:proofErr w:type="spellEnd"/>
            <w:r w:rsidRPr="00C31DE7">
              <w:rPr>
                <w:sz w:val="20"/>
              </w:rPr>
              <w:t xml:space="preserve"> </w:t>
            </w:r>
            <w:proofErr w:type="spellStart"/>
            <w:r w:rsidRPr="00C31DE7">
              <w:rPr>
                <w:sz w:val="20"/>
              </w:rPr>
              <w:t>crescents</w:t>
            </w:r>
            <w:proofErr w:type="spellEnd"/>
          </w:p>
        </w:tc>
        <w:tc>
          <w:tcPr>
            <w:tcW w:w="1074" w:type="dxa"/>
            <w:shd w:val="clear" w:color="auto" w:fill="auto"/>
            <w:vAlign w:val="center"/>
          </w:tcPr>
          <w:p w:rsidR="00061906" w:rsidRPr="00F93CB1" w:rsidRDefault="00061906" w:rsidP="001052F9">
            <w:pPr>
              <w:spacing w:line="360" w:lineRule="auto"/>
              <w:rPr>
                <w:sz w:val="20"/>
              </w:rPr>
            </w:pPr>
            <w:r>
              <w:rPr>
                <w:sz w:val="20"/>
              </w:rPr>
              <w:t>0-3</w:t>
            </w:r>
          </w:p>
        </w:tc>
        <w:tc>
          <w:tcPr>
            <w:tcW w:w="380" w:type="dxa"/>
            <w:tcBorders>
              <w:top w:val="nil"/>
              <w:bottom w:val="nil"/>
              <w:right w:val="nil"/>
            </w:tcBorders>
            <w:shd w:val="clear" w:color="auto" w:fill="auto"/>
          </w:tcPr>
          <w:p w:rsidR="00061906" w:rsidRPr="00C31DE7" w:rsidRDefault="00061906" w:rsidP="001052F9">
            <w:pPr>
              <w:spacing w:line="360" w:lineRule="auto"/>
              <w:rPr>
                <w:sz w:val="20"/>
              </w:rPr>
            </w:pPr>
          </w:p>
        </w:tc>
      </w:tr>
      <w:tr w:rsidR="00061906" w:rsidRPr="00F93CB1" w:rsidTr="00061906">
        <w:trPr>
          <w:gridAfter w:val="2"/>
          <w:wAfter w:w="3860" w:type="dxa"/>
          <w:jc w:val="center"/>
        </w:trPr>
        <w:tc>
          <w:tcPr>
            <w:tcW w:w="3028" w:type="dxa"/>
            <w:shd w:val="clear" w:color="auto" w:fill="auto"/>
            <w:vAlign w:val="center"/>
          </w:tcPr>
          <w:p w:rsidR="00061906" w:rsidRPr="00F93CB1" w:rsidRDefault="00061906" w:rsidP="001052F9">
            <w:pPr>
              <w:spacing w:line="360" w:lineRule="auto"/>
              <w:rPr>
                <w:sz w:val="20"/>
                <w:lang w:val="en-US"/>
              </w:rPr>
            </w:pPr>
            <w:r w:rsidRPr="00C31DE7">
              <w:rPr>
                <w:sz w:val="20"/>
                <w:lang w:val="en-US"/>
              </w:rPr>
              <w:t>Tubular atrophy</w:t>
            </w:r>
          </w:p>
        </w:tc>
        <w:tc>
          <w:tcPr>
            <w:tcW w:w="1074" w:type="dxa"/>
            <w:shd w:val="clear" w:color="auto" w:fill="auto"/>
            <w:vAlign w:val="center"/>
          </w:tcPr>
          <w:p w:rsidR="00061906" w:rsidRPr="00F93CB1" w:rsidRDefault="00061906" w:rsidP="001052F9">
            <w:pPr>
              <w:spacing w:line="360" w:lineRule="auto"/>
              <w:rPr>
                <w:sz w:val="20"/>
              </w:rPr>
            </w:pPr>
            <w:r>
              <w:rPr>
                <w:sz w:val="20"/>
              </w:rPr>
              <w:t>0-3</w:t>
            </w:r>
          </w:p>
        </w:tc>
        <w:tc>
          <w:tcPr>
            <w:tcW w:w="380" w:type="dxa"/>
            <w:tcBorders>
              <w:top w:val="nil"/>
              <w:bottom w:val="nil"/>
              <w:right w:val="nil"/>
            </w:tcBorders>
            <w:shd w:val="clear" w:color="auto" w:fill="auto"/>
          </w:tcPr>
          <w:p w:rsidR="00061906" w:rsidRPr="00C31DE7" w:rsidRDefault="00061906" w:rsidP="001052F9">
            <w:pPr>
              <w:spacing w:line="360" w:lineRule="auto"/>
              <w:rPr>
                <w:sz w:val="20"/>
              </w:rPr>
            </w:pPr>
          </w:p>
        </w:tc>
      </w:tr>
      <w:tr w:rsidR="00061906" w:rsidRPr="00F93CB1" w:rsidTr="00061906">
        <w:trPr>
          <w:gridAfter w:val="2"/>
          <w:wAfter w:w="3860" w:type="dxa"/>
          <w:jc w:val="center"/>
        </w:trPr>
        <w:tc>
          <w:tcPr>
            <w:tcW w:w="3028" w:type="dxa"/>
            <w:shd w:val="clear" w:color="auto" w:fill="auto"/>
            <w:vAlign w:val="center"/>
          </w:tcPr>
          <w:p w:rsidR="00061906" w:rsidRPr="00F93CB1" w:rsidRDefault="00061906" w:rsidP="001052F9">
            <w:pPr>
              <w:spacing w:line="360" w:lineRule="auto"/>
              <w:rPr>
                <w:sz w:val="20"/>
                <w:lang w:val="en-US"/>
              </w:rPr>
            </w:pPr>
            <w:r w:rsidRPr="00C31DE7">
              <w:rPr>
                <w:sz w:val="20"/>
                <w:lang w:val="en-US"/>
              </w:rPr>
              <w:t>Interstitial fibrosis</w:t>
            </w:r>
          </w:p>
        </w:tc>
        <w:tc>
          <w:tcPr>
            <w:tcW w:w="1074" w:type="dxa"/>
            <w:shd w:val="clear" w:color="auto" w:fill="auto"/>
            <w:vAlign w:val="center"/>
          </w:tcPr>
          <w:p w:rsidR="00061906" w:rsidRPr="00F93CB1" w:rsidRDefault="00061906" w:rsidP="001052F9">
            <w:pPr>
              <w:spacing w:line="360" w:lineRule="auto"/>
              <w:rPr>
                <w:sz w:val="20"/>
              </w:rPr>
            </w:pPr>
            <w:r>
              <w:rPr>
                <w:sz w:val="20"/>
              </w:rPr>
              <w:t>0-3</w:t>
            </w:r>
          </w:p>
        </w:tc>
        <w:tc>
          <w:tcPr>
            <w:tcW w:w="380" w:type="dxa"/>
            <w:tcBorders>
              <w:top w:val="nil"/>
              <w:bottom w:val="nil"/>
              <w:right w:val="nil"/>
            </w:tcBorders>
            <w:shd w:val="clear" w:color="auto" w:fill="auto"/>
          </w:tcPr>
          <w:p w:rsidR="00061906" w:rsidRPr="00C31DE7" w:rsidRDefault="00061906" w:rsidP="001052F9">
            <w:pPr>
              <w:spacing w:line="360" w:lineRule="auto"/>
              <w:rPr>
                <w:sz w:val="20"/>
              </w:rPr>
            </w:pPr>
          </w:p>
        </w:tc>
      </w:tr>
      <w:tr w:rsidR="00061906" w:rsidRPr="00F93CB1" w:rsidTr="00061906">
        <w:trPr>
          <w:gridAfter w:val="2"/>
          <w:wAfter w:w="3860" w:type="dxa"/>
          <w:jc w:val="center"/>
        </w:trPr>
        <w:tc>
          <w:tcPr>
            <w:tcW w:w="3028" w:type="dxa"/>
            <w:shd w:val="clear" w:color="auto" w:fill="auto"/>
            <w:vAlign w:val="center"/>
          </w:tcPr>
          <w:p w:rsidR="00061906" w:rsidRPr="00C31DE7" w:rsidRDefault="00061906" w:rsidP="001052F9">
            <w:pPr>
              <w:spacing w:line="360" w:lineRule="auto"/>
              <w:rPr>
                <w:b/>
                <w:sz w:val="20"/>
              </w:rPr>
            </w:pPr>
            <w:r>
              <w:rPr>
                <w:b/>
                <w:sz w:val="20"/>
              </w:rPr>
              <w:t>Total</w:t>
            </w:r>
          </w:p>
        </w:tc>
        <w:tc>
          <w:tcPr>
            <w:tcW w:w="1074" w:type="dxa"/>
            <w:shd w:val="clear" w:color="auto" w:fill="auto"/>
            <w:vAlign w:val="center"/>
          </w:tcPr>
          <w:p w:rsidR="00061906" w:rsidRPr="00C31DE7" w:rsidRDefault="00061906" w:rsidP="001052F9">
            <w:pPr>
              <w:spacing w:line="360" w:lineRule="auto"/>
              <w:rPr>
                <w:b/>
                <w:sz w:val="20"/>
              </w:rPr>
            </w:pPr>
            <w:r>
              <w:rPr>
                <w:b/>
                <w:sz w:val="20"/>
              </w:rPr>
              <w:t>0-12</w:t>
            </w:r>
          </w:p>
        </w:tc>
        <w:tc>
          <w:tcPr>
            <w:tcW w:w="380" w:type="dxa"/>
            <w:tcBorders>
              <w:top w:val="nil"/>
              <w:bottom w:val="nil"/>
              <w:right w:val="nil"/>
            </w:tcBorders>
            <w:shd w:val="clear" w:color="auto" w:fill="auto"/>
          </w:tcPr>
          <w:p w:rsidR="00061906" w:rsidRPr="00C31DE7" w:rsidRDefault="00061906" w:rsidP="001052F9">
            <w:pPr>
              <w:spacing w:line="360" w:lineRule="auto"/>
              <w:rPr>
                <w:sz w:val="20"/>
              </w:rPr>
            </w:pPr>
          </w:p>
        </w:tc>
      </w:tr>
    </w:tbl>
    <w:p w:rsidR="00B402BF" w:rsidRPr="00F93CB1" w:rsidRDefault="00B402BF" w:rsidP="00A60AD1">
      <w:pPr>
        <w:spacing w:after="160" w:line="360" w:lineRule="auto"/>
        <w:jc w:val="both"/>
        <w:rPr>
          <w:sz w:val="18"/>
          <w:lang w:val="en-US"/>
        </w:rPr>
      </w:pPr>
    </w:p>
    <w:p w:rsidR="00EF5B51" w:rsidRPr="00F93CB1" w:rsidRDefault="00EF5B51" w:rsidP="00EF5B51">
      <w:pPr>
        <w:spacing w:after="160" w:line="360" w:lineRule="auto"/>
        <w:jc w:val="both"/>
        <w:rPr>
          <w:sz w:val="18"/>
          <w:lang w:val="en-US"/>
        </w:rPr>
      </w:pPr>
      <w:r w:rsidRPr="00F93CB1">
        <w:rPr>
          <w:rFonts w:ascii="Calibri" w:eastAsia="Calibri" w:hAnsi="Calibri" w:cs="Times New Roman"/>
          <w:color w:val="auto"/>
          <w:sz w:val="18"/>
          <w:szCs w:val="22"/>
          <w:lang w:val="en-US" w:eastAsia="en-US"/>
        </w:rPr>
        <w:t xml:space="preserve">Table </w:t>
      </w:r>
      <w:r w:rsidR="00A60AD1">
        <w:rPr>
          <w:rFonts w:ascii="Calibri" w:eastAsia="Calibri" w:hAnsi="Calibri" w:cs="Times New Roman"/>
          <w:color w:val="auto"/>
          <w:sz w:val="18"/>
          <w:szCs w:val="22"/>
          <w:lang w:val="en-US" w:eastAsia="en-US"/>
        </w:rPr>
        <w:t>3</w:t>
      </w:r>
      <w:r w:rsidRPr="00F93CB1">
        <w:rPr>
          <w:rFonts w:ascii="Calibri" w:eastAsia="Calibri" w:hAnsi="Calibri" w:cs="Times New Roman"/>
          <w:color w:val="auto"/>
          <w:sz w:val="18"/>
          <w:szCs w:val="22"/>
          <w:lang w:val="en-US" w:eastAsia="en-US"/>
        </w:rPr>
        <w:t xml:space="preserve"> – </w:t>
      </w:r>
      <w:r w:rsidR="009E2E02" w:rsidRPr="00F93CB1">
        <w:rPr>
          <w:rFonts w:ascii="Calibri" w:eastAsia="Calibri" w:hAnsi="Calibri" w:cs="Times New Roman"/>
          <w:color w:val="auto"/>
          <w:sz w:val="18"/>
          <w:szCs w:val="22"/>
          <w:lang w:val="en-US" w:eastAsia="en-US"/>
        </w:rPr>
        <w:t xml:space="preserve">Renal </w:t>
      </w:r>
      <w:r w:rsidRPr="00F93CB1">
        <w:rPr>
          <w:rFonts w:ascii="Calibri" w:eastAsia="Calibri" w:hAnsi="Calibri" w:cs="Times New Roman"/>
          <w:color w:val="auto"/>
          <w:sz w:val="18"/>
          <w:szCs w:val="22"/>
          <w:lang w:val="en-US" w:eastAsia="en-US"/>
        </w:rPr>
        <w:t>Clinical characteristics and histomorphology findings:</w:t>
      </w:r>
    </w:p>
    <w:tbl>
      <w:tblPr>
        <w:tblStyle w:val="TableGrid"/>
        <w:tblW w:w="8492" w:type="dxa"/>
        <w:jc w:val="center"/>
        <w:tblLook w:val="04A0" w:firstRow="1" w:lastRow="0" w:firstColumn="1" w:lastColumn="0" w:noHBand="0" w:noVBand="1"/>
      </w:tblPr>
      <w:tblGrid>
        <w:gridCol w:w="1565"/>
        <w:gridCol w:w="939"/>
        <w:gridCol w:w="836"/>
        <w:gridCol w:w="726"/>
        <w:gridCol w:w="727"/>
        <w:gridCol w:w="724"/>
        <w:gridCol w:w="966"/>
        <w:gridCol w:w="1157"/>
        <w:gridCol w:w="852"/>
      </w:tblGrid>
      <w:tr w:rsidR="0046613E" w:rsidRPr="00F93CB1" w:rsidTr="0046613E">
        <w:trPr>
          <w:jc w:val="center"/>
        </w:trPr>
        <w:tc>
          <w:tcPr>
            <w:tcW w:w="0" w:type="auto"/>
            <w:tcBorders>
              <w:bottom w:val="single" w:sz="4" w:space="0" w:color="auto"/>
            </w:tcBorders>
            <w:shd w:val="clear" w:color="auto" w:fill="E6E6E6"/>
            <w:vAlign w:val="center"/>
          </w:tcPr>
          <w:p w:rsidR="0046613E" w:rsidRPr="00F93CB1" w:rsidRDefault="0046613E" w:rsidP="0046613E">
            <w:pPr>
              <w:spacing w:line="360" w:lineRule="auto"/>
              <w:jc w:val="center"/>
              <w:rPr>
                <w:sz w:val="20"/>
              </w:rPr>
            </w:pPr>
            <w:r w:rsidRPr="00F93CB1">
              <w:rPr>
                <w:sz w:val="20"/>
              </w:rPr>
              <w:t>Clinical presentation</w:t>
            </w:r>
          </w:p>
        </w:tc>
        <w:tc>
          <w:tcPr>
            <w:tcW w:w="0" w:type="auto"/>
            <w:shd w:val="clear" w:color="auto" w:fill="E6E6E6"/>
            <w:vAlign w:val="center"/>
          </w:tcPr>
          <w:p w:rsidR="0046613E" w:rsidRPr="00F93CB1" w:rsidRDefault="0046613E" w:rsidP="0046613E">
            <w:pPr>
              <w:spacing w:line="360" w:lineRule="auto"/>
              <w:jc w:val="center"/>
              <w:rPr>
                <w:sz w:val="20"/>
              </w:rPr>
            </w:pPr>
            <w:r w:rsidRPr="00F93CB1">
              <w:rPr>
                <w:sz w:val="20"/>
              </w:rPr>
              <w:t>Patients</w:t>
            </w:r>
          </w:p>
        </w:tc>
        <w:tc>
          <w:tcPr>
            <w:tcW w:w="0" w:type="auto"/>
            <w:shd w:val="clear" w:color="auto" w:fill="E6E6E6"/>
            <w:vAlign w:val="center"/>
          </w:tcPr>
          <w:p w:rsidR="0046613E" w:rsidRPr="00F93CB1" w:rsidRDefault="0046613E" w:rsidP="0046613E">
            <w:pPr>
              <w:spacing w:line="360" w:lineRule="auto"/>
              <w:jc w:val="center"/>
              <w:rPr>
                <w:sz w:val="20"/>
              </w:rPr>
            </w:pPr>
            <w:proofErr w:type="spellStart"/>
            <w:r w:rsidRPr="00F93CB1">
              <w:rPr>
                <w:sz w:val="20"/>
              </w:rPr>
              <w:t>Class</w:t>
            </w:r>
            <w:proofErr w:type="spellEnd"/>
            <w:r w:rsidRPr="00F93CB1">
              <w:rPr>
                <w:sz w:val="20"/>
              </w:rPr>
              <w:t xml:space="preserve"> II</w:t>
            </w:r>
          </w:p>
        </w:tc>
        <w:tc>
          <w:tcPr>
            <w:tcW w:w="0" w:type="auto"/>
            <w:shd w:val="clear" w:color="auto" w:fill="E6E6E6"/>
            <w:vAlign w:val="center"/>
          </w:tcPr>
          <w:p w:rsidR="0046613E" w:rsidRPr="00F93CB1" w:rsidRDefault="0046613E" w:rsidP="0046613E">
            <w:pPr>
              <w:spacing w:line="360" w:lineRule="auto"/>
              <w:jc w:val="center"/>
              <w:rPr>
                <w:sz w:val="20"/>
              </w:rPr>
            </w:pPr>
            <w:proofErr w:type="spellStart"/>
            <w:r w:rsidRPr="00F93CB1">
              <w:rPr>
                <w:sz w:val="20"/>
              </w:rPr>
              <w:t>Class</w:t>
            </w:r>
            <w:proofErr w:type="spellEnd"/>
            <w:r w:rsidRPr="00F93CB1">
              <w:rPr>
                <w:sz w:val="20"/>
              </w:rPr>
              <w:t xml:space="preserve"> III</w:t>
            </w:r>
          </w:p>
        </w:tc>
        <w:tc>
          <w:tcPr>
            <w:tcW w:w="0" w:type="auto"/>
            <w:shd w:val="clear" w:color="auto" w:fill="E6E6E6"/>
            <w:vAlign w:val="center"/>
          </w:tcPr>
          <w:p w:rsidR="0046613E" w:rsidRPr="00F93CB1" w:rsidRDefault="0046613E" w:rsidP="0046613E">
            <w:pPr>
              <w:spacing w:line="360" w:lineRule="auto"/>
              <w:jc w:val="center"/>
              <w:rPr>
                <w:sz w:val="20"/>
              </w:rPr>
            </w:pPr>
            <w:proofErr w:type="spellStart"/>
            <w:r w:rsidRPr="00F93CB1">
              <w:rPr>
                <w:sz w:val="20"/>
              </w:rPr>
              <w:t>Class</w:t>
            </w:r>
            <w:proofErr w:type="spellEnd"/>
            <w:r w:rsidRPr="00F93CB1">
              <w:rPr>
                <w:sz w:val="20"/>
              </w:rPr>
              <w:t xml:space="preserve"> IV</w:t>
            </w:r>
          </w:p>
        </w:tc>
        <w:tc>
          <w:tcPr>
            <w:tcW w:w="0" w:type="auto"/>
            <w:shd w:val="clear" w:color="auto" w:fill="E6E6E6"/>
            <w:vAlign w:val="center"/>
          </w:tcPr>
          <w:p w:rsidR="0046613E" w:rsidRPr="00F93CB1" w:rsidRDefault="0046613E" w:rsidP="0046613E">
            <w:pPr>
              <w:spacing w:line="360" w:lineRule="auto"/>
              <w:jc w:val="center"/>
              <w:rPr>
                <w:sz w:val="20"/>
              </w:rPr>
            </w:pPr>
            <w:proofErr w:type="spellStart"/>
            <w:r w:rsidRPr="00F93CB1">
              <w:rPr>
                <w:sz w:val="20"/>
              </w:rPr>
              <w:t>Class</w:t>
            </w:r>
            <w:proofErr w:type="spellEnd"/>
            <w:r w:rsidRPr="00F93CB1">
              <w:rPr>
                <w:sz w:val="20"/>
              </w:rPr>
              <w:t xml:space="preserve"> V</w:t>
            </w:r>
          </w:p>
        </w:tc>
        <w:tc>
          <w:tcPr>
            <w:tcW w:w="0" w:type="auto"/>
            <w:shd w:val="clear" w:color="auto" w:fill="E6E6E6"/>
            <w:vAlign w:val="center"/>
          </w:tcPr>
          <w:p w:rsidR="0046613E" w:rsidRPr="00F93CB1" w:rsidRDefault="003B3C6F" w:rsidP="0046613E">
            <w:pPr>
              <w:spacing w:line="360" w:lineRule="auto"/>
              <w:jc w:val="center"/>
              <w:rPr>
                <w:sz w:val="20"/>
              </w:rPr>
            </w:pPr>
            <w:proofErr w:type="spellStart"/>
            <w:r w:rsidRPr="00F93CB1">
              <w:rPr>
                <w:sz w:val="20"/>
              </w:rPr>
              <w:t>Austin’s</w:t>
            </w:r>
            <w:proofErr w:type="spellEnd"/>
            <w:r w:rsidRPr="00F93CB1">
              <w:rPr>
                <w:sz w:val="20"/>
              </w:rPr>
              <w:t xml:space="preserve"> </w:t>
            </w:r>
            <w:r w:rsidR="0046613E" w:rsidRPr="00F93CB1">
              <w:rPr>
                <w:sz w:val="20"/>
              </w:rPr>
              <w:t>Activity Index</w:t>
            </w:r>
          </w:p>
        </w:tc>
        <w:tc>
          <w:tcPr>
            <w:tcW w:w="0" w:type="auto"/>
            <w:shd w:val="clear" w:color="auto" w:fill="E6E6E6"/>
            <w:vAlign w:val="center"/>
          </w:tcPr>
          <w:p w:rsidR="0046613E" w:rsidRPr="00F93CB1" w:rsidRDefault="003B3C6F" w:rsidP="0046613E">
            <w:pPr>
              <w:spacing w:line="360" w:lineRule="auto"/>
              <w:jc w:val="center"/>
              <w:rPr>
                <w:sz w:val="20"/>
              </w:rPr>
            </w:pPr>
            <w:proofErr w:type="spellStart"/>
            <w:r w:rsidRPr="00F93CB1">
              <w:rPr>
                <w:sz w:val="20"/>
              </w:rPr>
              <w:t>Austin’s</w:t>
            </w:r>
            <w:proofErr w:type="spellEnd"/>
            <w:r w:rsidRPr="00F93CB1">
              <w:rPr>
                <w:sz w:val="20"/>
              </w:rPr>
              <w:t xml:space="preserve"> </w:t>
            </w:r>
            <w:r w:rsidR="0046613E" w:rsidRPr="00F93CB1">
              <w:rPr>
                <w:sz w:val="20"/>
              </w:rPr>
              <w:t>Chronicity Index</w:t>
            </w:r>
          </w:p>
        </w:tc>
        <w:tc>
          <w:tcPr>
            <w:tcW w:w="0" w:type="auto"/>
            <w:shd w:val="clear" w:color="auto" w:fill="E6E6E6"/>
            <w:vAlign w:val="center"/>
          </w:tcPr>
          <w:p w:rsidR="0046613E" w:rsidRPr="00F93CB1" w:rsidRDefault="0046613E" w:rsidP="0046613E">
            <w:pPr>
              <w:spacing w:line="360" w:lineRule="auto"/>
              <w:jc w:val="center"/>
              <w:rPr>
                <w:sz w:val="20"/>
              </w:rPr>
            </w:pPr>
            <w:r w:rsidRPr="00F93CB1">
              <w:rPr>
                <w:sz w:val="20"/>
              </w:rPr>
              <w:t>Hill Biopsy Index</w:t>
            </w:r>
          </w:p>
        </w:tc>
      </w:tr>
      <w:tr w:rsidR="0046613E" w:rsidRPr="00F93CB1" w:rsidTr="0046613E">
        <w:trPr>
          <w:trHeight w:val="438"/>
          <w:jc w:val="center"/>
        </w:trPr>
        <w:tc>
          <w:tcPr>
            <w:tcW w:w="0" w:type="auto"/>
            <w:shd w:val="clear" w:color="auto" w:fill="E6E6E6"/>
            <w:vAlign w:val="center"/>
          </w:tcPr>
          <w:p w:rsidR="0046613E" w:rsidRPr="00F93CB1" w:rsidRDefault="0046613E" w:rsidP="0046613E">
            <w:pPr>
              <w:spacing w:line="360" w:lineRule="auto"/>
              <w:jc w:val="center"/>
              <w:rPr>
                <w:sz w:val="20"/>
              </w:rPr>
            </w:pPr>
            <w:proofErr w:type="spellStart"/>
            <w:r w:rsidRPr="00F93CB1">
              <w:rPr>
                <w:sz w:val="20"/>
              </w:rPr>
              <w:t>Asymptomatic</w:t>
            </w:r>
            <w:proofErr w:type="spellEnd"/>
            <w:r w:rsidRPr="00F93CB1">
              <w:rPr>
                <w:sz w:val="20"/>
              </w:rPr>
              <w:t xml:space="preserve"> </w:t>
            </w:r>
            <w:proofErr w:type="spellStart"/>
            <w:r w:rsidRPr="00F93CB1">
              <w:rPr>
                <w:sz w:val="20"/>
              </w:rPr>
              <w:t>urinary</w:t>
            </w:r>
            <w:proofErr w:type="spellEnd"/>
            <w:r w:rsidRPr="00F93CB1">
              <w:rPr>
                <w:sz w:val="20"/>
              </w:rPr>
              <w:t xml:space="preserve"> </w:t>
            </w:r>
            <w:proofErr w:type="spellStart"/>
            <w:r w:rsidRPr="00F93CB1">
              <w:rPr>
                <w:sz w:val="20"/>
              </w:rPr>
              <w:t>abnormalities</w:t>
            </w:r>
            <w:proofErr w:type="spellEnd"/>
          </w:p>
        </w:tc>
        <w:tc>
          <w:tcPr>
            <w:tcW w:w="0" w:type="auto"/>
            <w:vAlign w:val="center"/>
          </w:tcPr>
          <w:p w:rsidR="0046613E" w:rsidRPr="00F93CB1" w:rsidRDefault="0046613E" w:rsidP="0046613E">
            <w:pPr>
              <w:spacing w:line="360" w:lineRule="auto"/>
              <w:jc w:val="center"/>
              <w:rPr>
                <w:sz w:val="20"/>
              </w:rPr>
            </w:pPr>
            <w:r w:rsidRPr="00F93CB1">
              <w:rPr>
                <w:sz w:val="20"/>
              </w:rPr>
              <w:t>18</w:t>
            </w:r>
          </w:p>
        </w:tc>
        <w:tc>
          <w:tcPr>
            <w:tcW w:w="0" w:type="auto"/>
            <w:vAlign w:val="center"/>
          </w:tcPr>
          <w:p w:rsidR="0046613E" w:rsidRPr="00F93CB1" w:rsidRDefault="0046613E" w:rsidP="0046613E">
            <w:pPr>
              <w:spacing w:line="360" w:lineRule="auto"/>
              <w:jc w:val="center"/>
              <w:rPr>
                <w:sz w:val="20"/>
              </w:rPr>
            </w:pPr>
            <w:r w:rsidRPr="00F93CB1">
              <w:rPr>
                <w:sz w:val="20"/>
              </w:rPr>
              <w:t>44%</w:t>
            </w:r>
          </w:p>
        </w:tc>
        <w:tc>
          <w:tcPr>
            <w:tcW w:w="0" w:type="auto"/>
            <w:vAlign w:val="center"/>
          </w:tcPr>
          <w:p w:rsidR="0046613E" w:rsidRPr="00F93CB1" w:rsidRDefault="0046613E" w:rsidP="0046613E">
            <w:pPr>
              <w:spacing w:line="360" w:lineRule="auto"/>
              <w:jc w:val="center"/>
              <w:rPr>
                <w:sz w:val="20"/>
              </w:rPr>
            </w:pPr>
            <w:r w:rsidRPr="00F93CB1">
              <w:rPr>
                <w:sz w:val="20"/>
              </w:rPr>
              <w:t>17%</w:t>
            </w:r>
          </w:p>
        </w:tc>
        <w:tc>
          <w:tcPr>
            <w:tcW w:w="0" w:type="auto"/>
            <w:vAlign w:val="center"/>
          </w:tcPr>
          <w:p w:rsidR="0046613E" w:rsidRPr="00F93CB1" w:rsidRDefault="0046613E" w:rsidP="0046613E">
            <w:pPr>
              <w:spacing w:line="360" w:lineRule="auto"/>
              <w:jc w:val="center"/>
              <w:rPr>
                <w:sz w:val="20"/>
              </w:rPr>
            </w:pPr>
            <w:r w:rsidRPr="00F93CB1">
              <w:rPr>
                <w:sz w:val="20"/>
              </w:rPr>
              <w:t>28%</w:t>
            </w:r>
          </w:p>
        </w:tc>
        <w:tc>
          <w:tcPr>
            <w:tcW w:w="0" w:type="auto"/>
            <w:vAlign w:val="center"/>
          </w:tcPr>
          <w:p w:rsidR="0046613E" w:rsidRPr="00F93CB1" w:rsidRDefault="0046613E" w:rsidP="0046613E">
            <w:pPr>
              <w:spacing w:line="360" w:lineRule="auto"/>
              <w:jc w:val="center"/>
              <w:rPr>
                <w:sz w:val="20"/>
              </w:rPr>
            </w:pPr>
            <w:r w:rsidRPr="00F93CB1">
              <w:rPr>
                <w:sz w:val="20"/>
              </w:rPr>
              <w:t>11%</w:t>
            </w:r>
          </w:p>
        </w:tc>
        <w:tc>
          <w:tcPr>
            <w:tcW w:w="0" w:type="auto"/>
            <w:vAlign w:val="center"/>
          </w:tcPr>
          <w:p w:rsidR="0046613E" w:rsidRPr="00F93CB1" w:rsidRDefault="0046613E" w:rsidP="0046613E">
            <w:pPr>
              <w:spacing w:line="360" w:lineRule="auto"/>
              <w:jc w:val="center"/>
              <w:rPr>
                <w:sz w:val="20"/>
              </w:rPr>
            </w:pPr>
            <w:r w:rsidRPr="00F93CB1">
              <w:rPr>
                <w:sz w:val="20"/>
              </w:rPr>
              <w:t>3.03 (0-6)</w:t>
            </w:r>
          </w:p>
        </w:tc>
        <w:tc>
          <w:tcPr>
            <w:tcW w:w="0" w:type="auto"/>
            <w:vAlign w:val="center"/>
          </w:tcPr>
          <w:p w:rsidR="0046613E" w:rsidRPr="00F93CB1" w:rsidRDefault="0046613E" w:rsidP="0046613E">
            <w:pPr>
              <w:spacing w:line="360" w:lineRule="auto"/>
              <w:jc w:val="center"/>
              <w:rPr>
                <w:sz w:val="20"/>
              </w:rPr>
            </w:pPr>
            <w:r w:rsidRPr="00F93CB1">
              <w:rPr>
                <w:sz w:val="20"/>
              </w:rPr>
              <w:t>1.50 (0-2.63)</w:t>
            </w:r>
          </w:p>
        </w:tc>
        <w:tc>
          <w:tcPr>
            <w:tcW w:w="0" w:type="auto"/>
            <w:vAlign w:val="center"/>
          </w:tcPr>
          <w:p w:rsidR="0046613E" w:rsidRPr="00F93CB1" w:rsidRDefault="0046613E" w:rsidP="0046613E">
            <w:pPr>
              <w:spacing w:line="360" w:lineRule="auto"/>
              <w:jc w:val="center"/>
              <w:rPr>
                <w:sz w:val="20"/>
              </w:rPr>
            </w:pPr>
            <w:r w:rsidRPr="00F93CB1">
              <w:rPr>
                <w:sz w:val="20"/>
              </w:rPr>
              <w:t>0.86 (0.14-1.53)</w:t>
            </w:r>
          </w:p>
        </w:tc>
      </w:tr>
      <w:tr w:rsidR="0046613E" w:rsidRPr="00F93CB1" w:rsidTr="0046613E">
        <w:trPr>
          <w:trHeight w:val="361"/>
          <w:jc w:val="center"/>
        </w:trPr>
        <w:tc>
          <w:tcPr>
            <w:tcW w:w="0" w:type="auto"/>
            <w:shd w:val="clear" w:color="auto" w:fill="E6E6E6"/>
            <w:vAlign w:val="center"/>
          </w:tcPr>
          <w:p w:rsidR="0046613E" w:rsidRPr="00F93CB1" w:rsidRDefault="0046613E" w:rsidP="0046613E">
            <w:pPr>
              <w:spacing w:line="360" w:lineRule="auto"/>
              <w:jc w:val="center"/>
              <w:rPr>
                <w:sz w:val="20"/>
              </w:rPr>
            </w:pPr>
            <w:r w:rsidRPr="00F93CB1">
              <w:rPr>
                <w:sz w:val="20"/>
              </w:rPr>
              <w:lastRenderedPageBreak/>
              <w:t>Nephrotic syndrome (proteinuria &gt;3.5g/d)</w:t>
            </w:r>
          </w:p>
        </w:tc>
        <w:tc>
          <w:tcPr>
            <w:tcW w:w="0" w:type="auto"/>
            <w:vAlign w:val="center"/>
          </w:tcPr>
          <w:p w:rsidR="0046613E" w:rsidRPr="00F93CB1" w:rsidRDefault="0046613E" w:rsidP="0046613E">
            <w:pPr>
              <w:spacing w:line="360" w:lineRule="auto"/>
              <w:jc w:val="center"/>
              <w:rPr>
                <w:sz w:val="20"/>
              </w:rPr>
            </w:pPr>
            <w:r w:rsidRPr="00F93CB1">
              <w:rPr>
                <w:sz w:val="20"/>
              </w:rPr>
              <w:t>16</w:t>
            </w:r>
          </w:p>
        </w:tc>
        <w:tc>
          <w:tcPr>
            <w:tcW w:w="0" w:type="auto"/>
            <w:vAlign w:val="center"/>
          </w:tcPr>
          <w:p w:rsidR="0046613E" w:rsidRPr="00F93CB1" w:rsidRDefault="0046613E" w:rsidP="0046613E">
            <w:pPr>
              <w:spacing w:line="360" w:lineRule="auto"/>
              <w:jc w:val="center"/>
              <w:rPr>
                <w:sz w:val="20"/>
              </w:rPr>
            </w:pPr>
            <w:r w:rsidRPr="00F93CB1">
              <w:rPr>
                <w:sz w:val="20"/>
              </w:rPr>
              <w:t>0%</w:t>
            </w:r>
          </w:p>
        </w:tc>
        <w:tc>
          <w:tcPr>
            <w:tcW w:w="0" w:type="auto"/>
            <w:vAlign w:val="center"/>
          </w:tcPr>
          <w:p w:rsidR="0046613E" w:rsidRPr="00F93CB1" w:rsidRDefault="0046613E" w:rsidP="0046613E">
            <w:pPr>
              <w:spacing w:line="360" w:lineRule="auto"/>
              <w:jc w:val="center"/>
              <w:rPr>
                <w:sz w:val="20"/>
              </w:rPr>
            </w:pPr>
            <w:r w:rsidRPr="00F93CB1">
              <w:rPr>
                <w:sz w:val="20"/>
              </w:rPr>
              <w:t>25%</w:t>
            </w:r>
          </w:p>
        </w:tc>
        <w:tc>
          <w:tcPr>
            <w:tcW w:w="0" w:type="auto"/>
            <w:vAlign w:val="center"/>
          </w:tcPr>
          <w:p w:rsidR="0046613E" w:rsidRPr="00F93CB1" w:rsidRDefault="0046613E" w:rsidP="0046613E">
            <w:pPr>
              <w:spacing w:line="360" w:lineRule="auto"/>
              <w:jc w:val="center"/>
              <w:rPr>
                <w:sz w:val="20"/>
              </w:rPr>
            </w:pPr>
            <w:r w:rsidRPr="00F93CB1">
              <w:rPr>
                <w:sz w:val="20"/>
              </w:rPr>
              <w:t>63%</w:t>
            </w:r>
          </w:p>
        </w:tc>
        <w:tc>
          <w:tcPr>
            <w:tcW w:w="0" w:type="auto"/>
            <w:vAlign w:val="center"/>
          </w:tcPr>
          <w:p w:rsidR="0046613E" w:rsidRPr="00F93CB1" w:rsidRDefault="0046613E" w:rsidP="0046613E">
            <w:pPr>
              <w:spacing w:line="360" w:lineRule="auto"/>
              <w:jc w:val="center"/>
              <w:rPr>
                <w:sz w:val="20"/>
              </w:rPr>
            </w:pPr>
            <w:r w:rsidRPr="00F93CB1">
              <w:rPr>
                <w:sz w:val="20"/>
              </w:rPr>
              <w:t>31%</w:t>
            </w:r>
          </w:p>
        </w:tc>
        <w:tc>
          <w:tcPr>
            <w:tcW w:w="0" w:type="auto"/>
            <w:vAlign w:val="center"/>
          </w:tcPr>
          <w:p w:rsidR="0046613E" w:rsidRPr="00F93CB1" w:rsidRDefault="0046613E" w:rsidP="0046613E">
            <w:pPr>
              <w:spacing w:line="360" w:lineRule="auto"/>
              <w:jc w:val="center"/>
              <w:rPr>
                <w:sz w:val="20"/>
              </w:rPr>
            </w:pPr>
            <w:r w:rsidRPr="00F93CB1">
              <w:rPr>
                <w:sz w:val="20"/>
              </w:rPr>
              <w:t>6.59 (1.65-10)</w:t>
            </w:r>
          </w:p>
        </w:tc>
        <w:tc>
          <w:tcPr>
            <w:tcW w:w="0" w:type="auto"/>
            <w:vAlign w:val="center"/>
          </w:tcPr>
          <w:p w:rsidR="0046613E" w:rsidRPr="00F93CB1" w:rsidRDefault="0046613E" w:rsidP="0046613E">
            <w:pPr>
              <w:spacing w:line="360" w:lineRule="auto"/>
              <w:jc w:val="center"/>
              <w:rPr>
                <w:sz w:val="20"/>
              </w:rPr>
            </w:pPr>
            <w:r w:rsidRPr="00F93CB1">
              <w:rPr>
                <w:sz w:val="20"/>
              </w:rPr>
              <w:t>2.66 (1-3)</w:t>
            </w:r>
          </w:p>
        </w:tc>
        <w:tc>
          <w:tcPr>
            <w:tcW w:w="0" w:type="auto"/>
            <w:vAlign w:val="center"/>
          </w:tcPr>
          <w:p w:rsidR="0046613E" w:rsidRPr="00F93CB1" w:rsidRDefault="0046613E" w:rsidP="0046613E">
            <w:pPr>
              <w:spacing w:line="360" w:lineRule="auto"/>
              <w:jc w:val="center"/>
              <w:rPr>
                <w:sz w:val="20"/>
              </w:rPr>
            </w:pPr>
            <w:r w:rsidRPr="00F93CB1">
              <w:rPr>
                <w:sz w:val="20"/>
              </w:rPr>
              <w:t>1.63 (0.76-2.27)</w:t>
            </w:r>
          </w:p>
        </w:tc>
      </w:tr>
      <w:tr w:rsidR="0046613E" w:rsidRPr="00F93CB1" w:rsidTr="0046613E">
        <w:trPr>
          <w:jc w:val="center"/>
        </w:trPr>
        <w:tc>
          <w:tcPr>
            <w:tcW w:w="0" w:type="auto"/>
            <w:shd w:val="clear" w:color="auto" w:fill="E6E6E6"/>
            <w:vAlign w:val="center"/>
          </w:tcPr>
          <w:p w:rsidR="0046613E" w:rsidRPr="00F93CB1" w:rsidRDefault="0046613E" w:rsidP="0046613E">
            <w:pPr>
              <w:spacing w:line="360" w:lineRule="auto"/>
              <w:jc w:val="center"/>
              <w:rPr>
                <w:sz w:val="20"/>
                <w:lang w:val="en-US"/>
              </w:rPr>
            </w:pPr>
            <w:r w:rsidRPr="00F93CB1">
              <w:rPr>
                <w:sz w:val="20"/>
                <w:lang w:val="en-US"/>
              </w:rPr>
              <w:t>Renal insufficiency (eGFR &lt;</w:t>
            </w:r>
            <w:r w:rsidR="000428CE" w:rsidRPr="00F93CB1">
              <w:rPr>
                <w:sz w:val="20"/>
                <w:lang w:val="en-US"/>
              </w:rPr>
              <w:t>45</w:t>
            </w:r>
            <w:r w:rsidRPr="00F93CB1">
              <w:rPr>
                <w:sz w:val="20"/>
                <w:lang w:val="en-US"/>
              </w:rPr>
              <w:t xml:space="preserve"> ml/min)</w:t>
            </w:r>
          </w:p>
        </w:tc>
        <w:tc>
          <w:tcPr>
            <w:tcW w:w="0" w:type="auto"/>
            <w:vAlign w:val="center"/>
          </w:tcPr>
          <w:p w:rsidR="0046613E" w:rsidRPr="00F93CB1" w:rsidRDefault="0046613E" w:rsidP="0046613E">
            <w:pPr>
              <w:spacing w:line="360" w:lineRule="auto"/>
              <w:jc w:val="center"/>
              <w:rPr>
                <w:sz w:val="20"/>
              </w:rPr>
            </w:pPr>
            <w:r w:rsidRPr="00F93CB1">
              <w:rPr>
                <w:sz w:val="20"/>
              </w:rPr>
              <w:t>12</w:t>
            </w:r>
          </w:p>
        </w:tc>
        <w:tc>
          <w:tcPr>
            <w:tcW w:w="0" w:type="auto"/>
            <w:vAlign w:val="center"/>
          </w:tcPr>
          <w:p w:rsidR="0046613E" w:rsidRPr="00F93CB1" w:rsidRDefault="0046613E" w:rsidP="0046613E">
            <w:pPr>
              <w:spacing w:line="360" w:lineRule="auto"/>
              <w:jc w:val="center"/>
              <w:rPr>
                <w:sz w:val="20"/>
              </w:rPr>
            </w:pPr>
            <w:r w:rsidRPr="00F93CB1">
              <w:rPr>
                <w:sz w:val="20"/>
              </w:rPr>
              <w:t>0%</w:t>
            </w:r>
          </w:p>
        </w:tc>
        <w:tc>
          <w:tcPr>
            <w:tcW w:w="0" w:type="auto"/>
            <w:vAlign w:val="center"/>
          </w:tcPr>
          <w:p w:rsidR="0046613E" w:rsidRPr="00F93CB1" w:rsidRDefault="0046613E" w:rsidP="0046613E">
            <w:pPr>
              <w:spacing w:line="360" w:lineRule="auto"/>
              <w:jc w:val="center"/>
              <w:rPr>
                <w:sz w:val="20"/>
              </w:rPr>
            </w:pPr>
            <w:r w:rsidRPr="00F93CB1">
              <w:rPr>
                <w:sz w:val="20"/>
              </w:rPr>
              <w:t>8%</w:t>
            </w:r>
          </w:p>
        </w:tc>
        <w:tc>
          <w:tcPr>
            <w:tcW w:w="0" w:type="auto"/>
            <w:vAlign w:val="center"/>
          </w:tcPr>
          <w:p w:rsidR="0046613E" w:rsidRPr="00F93CB1" w:rsidRDefault="0046613E" w:rsidP="0046613E">
            <w:pPr>
              <w:spacing w:line="360" w:lineRule="auto"/>
              <w:jc w:val="center"/>
              <w:rPr>
                <w:sz w:val="20"/>
              </w:rPr>
            </w:pPr>
            <w:r w:rsidRPr="00F93CB1">
              <w:rPr>
                <w:sz w:val="20"/>
              </w:rPr>
              <w:t>75%</w:t>
            </w:r>
          </w:p>
        </w:tc>
        <w:tc>
          <w:tcPr>
            <w:tcW w:w="0" w:type="auto"/>
            <w:vAlign w:val="center"/>
          </w:tcPr>
          <w:p w:rsidR="0046613E" w:rsidRPr="00F93CB1" w:rsidRDefault="0046613E" w:rsidP="0046613E">
            <w:pPr>
              <w:spacing w:line="360" w:lineRule="auto"/>
              <w:jc w:val="center"/>
              <w:rPr>
                <w:sz w:val="20"/>
              </w:rPr>
            </w:pPr>
            <w:r w:rsidRPr="00F93CB1">
              <w:rPr>
                <w:sz w:val="20"/>
              </w:rPr>
              <w:t>17%</w:t>
            </w:r>
          </w:p>
        </w:tc>
        <w:tc>
          <w:tcPr>
            <w:tcW w:w="0" w:type="auto"/>
            <w:vAlign w:val="center"/>
          </w:tcPr>
          <w:p w:rsidR="0046613E" w:rsidRPr="00F93CB1" w:rsidRDefault="0046613E" w:rsidP="0046613E">
            <w:pPr>
              <w:spacing w:line="360" w:lineRule="auto"/>
              <w:jc w:val="center"/>
              <w:rPr>
                <w:sz w:val="20"/>
              </w:rPr>
            </w:pPr>
            <w:r w:rsidRPr="00F93CB1">
              <w:rPr>
                <w:sz w:val="20"/>
              </w:rPr>
              <w:t>6.95 (0.5-13)</w:t>
            </w:r>
          </w:p>
        </w:tc>
        <w:tc>
          <w:tcPr>
            <w:tcW w:w="0" w:type="auto"/>
            <w:vAlign w:val="center"/>
          </w:tcPr>
          <w:p w:rsidR="0046613E" w:rsidRPr="00F93CB1" w:rsidRDefault="0046613E" w:rsidP="0046613E">
            <w:pPr>
              <w:spacing w:line="360" w:lineRule="auto"/>
              <w:jc w:val="center"/>
              <w:rPr>
                <w:sz w:val="20"/>
              </w:rPr>
            </w:pPr>
            <w:r w:rsidRPr="00F93CB1">
              <w:rPr>
                <w:sz w:val="20"/>
              </w:rPr>
              <w:t>3.73 (0.5-7)</w:t>
            </w:r>
          </w:p>
        </w:tc>
        <w:tc>
          <w:tcPr>
            <w:tcW w:w="0" w:type="auto"/>
            <w:vAlign w:val="center"/>
          </w:tcPr>
          <w:p w:rsidR="0046613E" w:rsidRPr="00F93CB1" w:rsidRDefault="0046613E" w:rsidP="0046613E">
            <w:pPr>
              <w:spacing w:line="360" w:lineRule="auto"/>
              <w:jc w:val="center"/>
              <w:rPr>
                <w:sz w:val="20"/>
              </w:rPr>
            </w:pPr>
            <w:r w:rsidRPr="00F93CB1">
              <w:rPr>
                <w:sz w:val="20"/>
              </w:rPr>
              <w:t>1.96 (1.56-2.56)</w:t>
            </w:r>
          </w:p>
        </w:tc>
      </w:tr>
      <w:tr w:rsidR="0046613E" w:rsidRPr="00F93CB1" w:rsidTr="0046613E">
        <w:trPr>
          <w:jc w:val="center"/>
        </w:trPr>
        <w:tc>
          <w:tcPr>
            <w:tcW w:w="0" w:type="auto"/>
            <w:shd w:val="clear" w:color="auto" w:fill="E6E6E6"/>
            <w:vAlign w:val="center"/>
          </w:tcPr>
          <w:p w:rsidR="0046613E" w:rsidRPr="00F93CB1" w:rsidRDefault="0046613E" w:rsidP="0046613E">
            <w:pPr>
              <w:spacing w:line="360" w:lineRule="auto"/>
              <w:jc w:val="center"/>
              <w:rPr>
                <w:sz w:val="20"/>
              </w:rPr>
            </w:pPr>
            <w:r w:rsidRPr="00F93CB1">
              <w:rPr>
                <w:i/>
                <w:sz w:val="20"/>
              </w:rPr>
              <w:t>p</w:t>
            </w:r>
            <w:r w:rsidRPr="00F93CB1">
              <w:rPr>
                <w:sz w:val="20"/>
              </w:rPr>
              <w:t>-value</w:t>
            </w:r>
          </w:p>
        </w:tc>
        <w:tc>
          <w:tcPr>
            <w:tcW w:w="0" w:type="auto"/>
            <w:vAlign w:val="center"/>
          </w:tcPr>
          <w:p w:rsidR="0046613E" w:rsidRPr="00F93CB1" w:rsidRDefault="0046613E" w:rsidP="0046613E">
            <w:pPr>
              <w:spacing w:line="360" w:lineRule="auto"/>
              <w:jc w:val="center"/>
              <w:rPr>
                <w:sz w:val="20"/>
              </w:rPr>
            </w:pPr>
            <w:r w:rsidRPr="00F93CB1">
              <w:rPr>
                <w:sz w:val="20"/>
              </w:rPr>
              <w:t>-</w:t>
            </w:r>
          </w:p>
        </w:tc>
        <w:tc>
          <w:tcPr>
            <w:tcW w:w="0" w:type="auto"/>
            <w:vAlign w:val="center"/>
          </w:tcPr>
          <w:p w:rsidR="0046613E" w:rsidRPr="00F93CB1" w:rsidRDefault="0046613E" w:rsidP="0046613E">
            <w:pPr>
              <w:spacing w:line="360" w:lineRule="auto"/>
              <w:jc w:val="center"/>
              <w:rPr>
                <w:sz w:val="20"/>
              </w:rPr>
            </w:pPr>
            <w:r w:rsidRPr="00F93CB1">
              <w:rPr>
                <w:sz w:val="20"/>
              </w:rPr>
              <w:t>&lt;0.001</w:t>
            </w:r>
          </w:p>
        </w:tc>
        <w:tc>
          <w:tcPr>
            <w:tcW w:w="0" w:type="auto"/>
            <w:vAlign w:val="center"/>
          </w:tcPr>
          <w:p w:rsidR="0046613E" w:rsidRPr="00F93CB1" w:rsidRDefault="0046613E" w:rsidP="0046613E">
            <w:pPr>
              <w:spacing w:line="360" w:lineRule="auto"/>
              <w:jc w:val="center"/>
              <w:rPr>
                <w:sz w:val="20"/>
              </w:rPr>
            </w:pPr>
            <w:r w:rsidRPr="00F93CB1">
              <w:rPr>
                <w:sz w:val="20"/>
              </w:rPr>
              <w:t>NS</w:t>
            </w:r>
          </w:p>
        </w:tc>
        <w:tc>
          <w:tcPr>
            <w:tcW w:w="0" w:type="auto"/>
            <w:vAlign w:val="center"/>
          </w:tcPr>
          <w:p w:rsidR="0046613E" w:rsidRPr="00F93CB1" w:rsidRDefault="0046613E" w:rsidP="0046613E">
            <w:pPr>
              <w:spacing w:line="360" w:lineRule="auto"/>
              <w:jc w:val="center"/>
              <w:rPr>
                <w:sz w:val="20"/>
              </w:rPr>
            </w:pPr>
            <w:r w:rsidRPr="00F93CB1">
              <w:rPr>
                <w:sz w:val="20"/>
              </w:rPr>
              <w:t>0.02</w:t>
            </w:r>
          </w:p>
        </w:tc>
        <w:tc>
          <w:tcPr>
            <w:tcW w:w="0" w:type="auto"/>
            <w:vAlign w:val="center"/>
          </w:tcPr>
          <w:p w:rsidR="0046613E" w:rsidRPr="00F93CB1" w:rsidRDefault="0046613E" w:rsidP="0046613E">
            <w:pPr>
              <w:spacing w:line="360" w:lineRule="auto"/>
              <w:jc w:val="center"/>
              <w:rPr>
                <w:sz w:val="20"/>
              </w:rPr>
            </w:pPr>
            <w:r w:rsidRPr="00F93CB1">
              <w:rPr>
                <w:sz w:val="20"/>
              </w:rPr>
              <w:t>NS</w:t>
            </w:r>
          </w:p>
        </w:tc>
        <w:tc>
          <w:tcPr>
            <w:tcW w:w="0" w:type="auto"/>
            <w:vAlign w:val="center"/>
          </w:tcPr>
          <w:p w:rsidR="0046613E" w:rsidRPr="00F93CB1" w:rsidRDefault="0046613E" w:rsidP="0046613E">
            <w:pPr>
              <w:spacing w:line="360" w:lineRule="auto"/>
              <w:jc w:val="center"/>
              <w:rPr>
                <w:sz w:val="20"/>
              </w:rPr>
            </w:pPr>
            <w:r w:rsidRPr="00F93CB1">
              <w:rPr>
                <w:sz w:val="20"/>
              </w:rPr>
              <w:t>0.07</w:t>
            </w:r>
          </w:p>
        </w:tc>
        <w:tc>
          <w:tcPr>
            <w:tcW w:w="0" w:type="auto"/>
            <w:vAlign w:val="center"/>
          </w:tcPr>
          <w:p w:rsidR="0046613E" w:rsidRPr="00F93CB1" w:rsidRDefault="0046613E" w:rsidP="0046613E">
            <w:pPr>
              <w:spacing w:line="360" w:lineRule="auto"/>
              <w:jc w:val="center"/>
              <w:rPr>
                <w:sz w:val="20"/>
              </w:rPr>
            </w:pPr>
            <w:r w:rsidRPr="00F93CB1">
              <w:rPr>
                <w:sz w:val="20"/>
              </w:rPr>
              <w:t>0.08</w:t>
            </w:r>
          </w:p>
        </w:tc>
        <w:tc>
          <w:tcPr>
            <w:tcW w:w="0" w:type="auto"/>
            <w:vAlign w:val="center"/>
          </w:tcPr>
          <w:p w:rsidR="0046613E" w:rsidRPr="00F93CB1" w:rsidRDefault="0046613E" w:rsidP="0046613E">
            <w:pPr>
              <w:spacing w:line="360" w:lineRule="auto"/>
              <w:jc w:val="center"/>
              <w:rPr>
                <w:sz w:val="20"/>
              </w:rPr>
            </w:pPr>
            <w:r w:rsidRPr="00F93CB1">
              <w:rPr>
                <w:sz w:val="20"/>
              </w:rPr>
              <w:t>0.007</w:t>
            </w:r>
          </w:p>
        </w:tc>
      </w:tr>
    </w:tbl>
    <w:p w:rsidR="00761396" w:rsidRPr="00F93CB1" w:rsidRDefault="00761396" w:rsidP="003B3C6F">
      <w:pPr>
        <w:spacing w:line="360" w:lineRule="auto"/>
        <w:ind w:firstLine="720"/>
        <w:jc w:val="both"/>
        <w:rPr>
          <w:sz w:val="16"/>
          <w:lang w:val="en-US"/>
        </w:rPr>
      </w:pPr>
      <w:r w:rsidRPr="00F93CB1">
        <w:rPr>
          <w:sz w:val="16"/>
          <w:lang w:val="en-US"/>
        </w:rPr>
        <w:t>Legend:</w:t>
      </w:r>
    </w:p>
    <w:p w:rsidR="00EF5B51" w:rsidRPr="00F93CB1" w:rsidRDefault="0046613E" w:rsidP="003B3C6F">
      <w:pPr>
        <w:spacing w:line="360" w:lineRule="auto"/>
        <w:ind w:firstLine="720"/>
        <w:jc w:val="both"/>
        <w:rPr>
          <w:sz w:val="16"/>
          <w:lang w:val="en-US"/>
        </w:rPr>
      </w:pPr>
      <w:r w:rsidRPr="00F93CB1">
        <w:rPr>
          <w:sz w:val="16"/>
          <w:lang w:val="en-US"/>
        </w:rPr>
        <w:t>eGFR</w:t>
      </w:r>
      <w:r w:rsidR="003B3C6F" w:rsidRPr="00F93CB1">
        <w:rPr>
          <w:sz w:val="16"/>
          <w:lang w:val="en-US"/>
        </w:rPr>
        <w:t xml:space="preserve"> – estimated glomerular filtration rate</w:t>
      </w:r>
      <w:r w:rsidR="009E2E02" w:rsidRPr="00F93CB1">
        <w:rPr>
          <w:sz w:val="16"/>
          <w:lang w:val="en-US"/>
        </w:rPr>
        <w:t xml:space="preserve">; NS – </w:t>
      </w:r>
      <w:r w:rsidR="009E2E02" w:rsidRPr="00F93CB1">
        <w:rPr>
          <w:sz w:val="16"/>
          <w:highlight w:val="yellow"/>
          <w:lang w:val="en-US"/>
        </w:rPr>
        <w:t>non-</w:t>
      </w:r>
      <w:r w:rsidR="00F93CB1" w:rsidRPr="00F93CB1">
        <w:rPr>
          <w:sz w:val="16"/>
          <w:highlight w:val="yellow"/>
          <w:lang w:val="en-US"/>
        </w:rPr>
        <w:t>significant</w:t>
      </w:r>
    </w:p>
    <w:p w:rsidR="00761396" w:rsidRPr="00F93CB1" w:rsidRDefault="00761396" w:rsidP="00761396">
      <w:pPr>
        <w:spacing w:line="360" w:lineRule="auto"/>
        <w:ind w:firstLine="720"/>
        <w:jc w:val="both"/>
        <w:rPr>
          <w:sz w:val="16"/>
          <w:lang w:val="en-US"/>
        </w:rPr>
      </w:pPr>
      <w:r w:rsidRPr="00F93CB1">
        <w:rPr>
          <w:sz w:val="16"/>
          <w:lang w:val="en-US"/>
        </w:rPr>
        <w:t>LN Classes (from II to V) frequencies are expressed for each renal clinical characteristic (asymptomatic urinary abnormalities | nephrotic syndrome | renal disease)</w:t>
      </w:r>
    </w:p>
    <w:p w:rsidR="009E2E02" w:rsidRPr="00F93CB1" w:rsidRDefault="00761396" w:rsidP="003B3C6F">
      <w:pPr>
        <w:spacing w:line="360" w:lineRule="auto"/>
        <w:ind w:firstLine="720"/>
        <w:jc w:val="both"/>
        <w:rPr>
          <w:sz w:val="16"/>
          <w:lang w:val="en-US"/>
        </w:rPr>
      </w:pPr>
      <w:r w:rsidRPr="00F93CB1">
        <w:rPr>
          <w:sz w:val="16"/>
          <w:lang w:val="en-US"/>
        </w:rPr>
        <w:t>M</w:t>
      </w:r>
      <w:r w:rsidR="009E2E02" w:rsidRPr="00F93CB1">
        <w:rPr>
          <w:sz w:val="16"/>
          <w:lang w:val="en-US"/>
        </w:rPr>
        <w:t>edian index</w:t>
      </w:r>
      <w:r w:rsidRPr="00F93CB1">
        <w:rPr>
          <w:sz w:val="16"/>
          <w:lang w:val="en-US"/>
        </w:rPr>
        <w:t>es (Austin activity and chronicity and Hill biopsy) are expressed for each renal clinical characteristic (asymptomatic urinary abnormalities | nephrotic syndrome | renal disease)</w:t>
      </w:r>
    </w:p>
    <w:p w:rsidR="007B483A" w:rsidRPr="00F93CB1" w:rsidRDefault="007B483A" w:rsidP="003B3C6F">
      <w:pPr>
        <w:spacing w:line="360" w:lineRule="auto"/>
        <w:ind w:firstLine="720"/>
        <w:jc w:val="both"/>
        <w:rPr>
          <w:sz w:val="16"/>
          <w:lang w:val="en-US"/>
        </w:rPr>
      </w:pPr>
    </w:p>
    <w:p w:rsidR="007B483A" w:rsidRPr="00F93CB1" w:rsidRDefault="007B483A" w:rsidP="00246829">
      <w:pPr>
        <w:rPr>
          <w:rFonts w:asciiTheme="minorHAnsi" w:hAnsiTheme="minorHAnsi" w:cstheme="minorHAnsi"/>
          <w:shd w:val="clear" w:color="auto" w:fill="FFFFFF"/>
          <w:lang w:val="en-US"/>
        </w:rPr>
      </w:pPr>
      <w:r w:rsidRPr="00F93CB1">
        <w:rPr>
          <w:rFonts w:asciiTheme="minorHAnsi" w:hAnsiTheme="minorHAnsi" w:cstheme="minorHAnsi"/>
          <w:shd w:val="clear" w:color="auto" w:fill="FFFFFF"/>
          <w:lang w:val="en-US"/>
        </w:rPr>
        <w:t>The analysis of the proportions between renal characteristics and LN classes was performed using Fisher exact test; the analysis of the variance of the different indexes was performed using one-way ANOVA.</w:t>
      </w:r>
    </w:p>
    <w:p w:rsidR="00246829" w:rsidRPr="00F93CB1" w:rsidRDefault="00246829">
      <w:pPr>
        <w:spacing w:after="160" w:line="259" w:lineRule="auto"/>
        <w:rPr>
          <w:sz w:val="16"/>
          <w:lang w:val="en-US"/>
        </w:rPr>
      </w:pPr>
    </w:p>
    <w:p w:rsidR="00EF5B51" w:rsidRPr="00F93CB1" w:rsidRDefault="00EF5B51" w:rsidP="00EF5B51">
      <w:pPr>
        <w:spacing w:after="160" w:line="360" w:lineRule="auto"/>
        <w:jc w:val="both"/>
        <w:rPr>
          <w:rFonts w:ascii="Calibri" w:eastAsia="Calibri" w:hAnsi="Calibri" w:cs="Times New Roman"/>
          <w:color w:val="auto"/>
          <w:sz w:val="18"/>
          <w:szCs w:val="22"/>
          <w:lang w:val="en-US" w:eastAsia="en-US"/>
        </w:rPr>
      </w:pPr>
      <w:r w:rsidRPr="00F93CB1">
        <w:rPr>
          <w:rFonts w:ascii="Calibri" w:eastAsia="Calibri" w:hAnsi="Calibri" w:cs="Times New Roman"/>
          <w:color w:val="auto"/>
          <w:sz w:val="18"/>
          <w:szCs w:val="22"/>
          <w:lang w:val="en-US" w:eastAsia="en-US"/>
        </w:rPr>
        <w:t xml:space="preserve">Table </w:t>
      </w:r>
      <w:r w:rsidR="00A60AD1">
        <w:rPr>
          <w:rFonts w:ascii="Calibri" w:eastAsia="Calibri" w:hAnsi="Calibri" w:cs="Times New Roman"/>
          <w:color w:val="auto"/>
          <w:sz w:val="18"/>
          <w:szCs w:val="22"/>
          <w:lang w:val="en-US" w:eastAsia="en-US"/>
        </w:rPr>
        <w:t>4</w:t>
      </w:r>
      <w:r w:rsidRPr="00F93CB1">
        <w:rPr>
          <w:rFonts w:ascii="Calibri" w:eastAsia="Calibri" w:hAnsi="Calibri" w:cs="Times New Roman"/>
          <w:color w:val="auto"/>
          <w:sz w:val="18"/>
          <w:szCs w:val="22"/>
          <w:lang w:val="en-US" w:eastAsia="en-US"/>
        </w:rPr>
        <w:t xml:space="preserve"> – Correlations between clinical parameters and histomorphological indexes</w:t>
      </w:r>
      <w:r w:rsidR="00E05FFF" w:rsidRPr="00F93CB1">
        <w:rPr>
          <w:rFonts w:ascii="Calibri" w:eastAsia="Calibri" w:hAnsi="Calibri" w:cs="Times New Roman"/>
          <w:color w:val="auto"/>
          <w:sz w:val="18"/>
          <w:szCs w:val="22"/>
          <w:lang w:val="en-US" w:eastAsia="en-US"/>
        </w:rPr>
        <w:t>:</w:t>
      </w:r>
    </w:p>
    <w:tbl>
      <w:tblPr>
        <w:tblStyle w:val="TableGrid"/>
        <w:tblW w:w="3205" w:type="pct"/>
        <w:jc w:val="center"/>
        <w:tblBorders>
          <w:top w:val="none" w:sz="0" w:space="0" w:color="auto"/>
          <w:left w:val="none" w:sz="0" w:space="0" w:color="auto"/>
        </w:tblBorders>
        <w:tblLook w:val="04A0" w:firstRow="1" w:lastRow="0" w:firstColumn="1" w:lastColumn="0" w:noHBand="0" w:noVBand="1"/>
      </w:tblPr>
      <w:tblGrid>
        <w:gridCol w:w="1091"/>
        <w:gridCol w:w="769"/>
        <w:gridCol w:w="669"/>
        <w:gridCol w:w="750"/>
        <w:gridCol w:w="811"/>
        <w:gridCol w:w="955"/>
        <w:gridCol w:w="952"/>
      </w:tblGrid>
      <w:tr w:rsidR="0046613E" w:rsidRPr="00F93CB1" w:rsidTr="003B3C6F">
        <w:trPr>
          <w:jc w:val="center"/>
        </w:trPr>
        <w:tc>
          <w:tcPr>
            <w:tcW w:w="910" w:type="pct"/>
            <w:vMerge w:val="restart"/>
            <w:vAlign w:val="center"/>
          </w:tcPr>
          <w:p w:rsidR="0046613E" w:rsidRPr="00F93CB1" w:rsidRDefault="0046613E" w:rsidP="001546DC">
            <w:pPr>
              <w:spacing w:line="360" w:lineRule="auto"/>
              <w:jc w:val="center"/>
              <w:rPr>
                <w:sz w:val="18"/>
                <w:szCs w:val="18"/>
                <w:lang w:val="en-US"/>
              </w:rPr>
            </w:pPr>
          </w:p>
        </w:tc>
        <w:tc>
          <w:tcPr>
            <w:tcW w:w="1199" w:type="pct"/>
            <w:gridSpan w:val="2"/>
            <w:tcBorders>
              <w:top w:val="single" w:sz="4" w:space="0" w:color="auto"/>
            </w:tcBorders>
            <w:shd w:val="clear" w:color="auto" w:fill="E0E0E0"/>
            <w:vAlign w:val="center"/>
          </w:tcPr>
          <w:p w:rsidR="0046613E" w:rsidRPr="00F93CB1" w:rsidRDefault="0046613E" w:rsidP="001546DC">
            <w:pPr>
              <w:spacing w:line="360" w:lineRule="auto"/>
              <w:jc w:val="center"/>
              <w:rPr>
                <w:sz w:val="18"/>
                <w:szCs w:val="18"/>
              </w:rPr>
            </w:pPr>
            <w:proofErr w:type="spellStart"/>
            <w:r w:rsidRPr="00F93CB1">
              <w:rPr>
                <w:sz w:val="18"/>
                <w:szCs w:val="18"/>
              </w:rPr>
              <w:t>Austin’s</w:t>
            </w:r>
            <w:proofErr w:type="spellEnd"/>
            <w:r w:rsidRPr="00F93CB1">
              <w:rPr>
                <w:sz w:val="18"/>
                <w:szCs w:val="18"/>
              </w:rPr>
              <w:t xml:space="preserve"> Activity Index</w:t>
            </w:r>
          </w:p>
        </w:tc>
        <w:tc>
          <w:tcPr>
            <w:tcW w:w="1301" w:type="pct"/>
            <w:gridSpan w:val="2"/>
            <w:tcBorders>
              <w:top w:val="single" w:sz="4" w:space="0" w:color="auto"/>
            </w:tcBorders>
            <w:shd w:val="clear" w:color="auto" w:fill="E0E0E0"/>
            <w:vAlign w:val="center"/>
          </w:tcPr>
          <w:p w:rsidR="0046613E" w:rsidRPr="00F93CB1" w:rsidRDefault="0046613E" w:rsidP="001546DC">
            <w:pPr>
              <w:spacing w:line="360" w:lineRule="auto"/>
              <w:jc w:val="center"/>
              <w:rPr>
                <w:sz w:val="18"/>
                <w:szCs w:val="18"/>
              </w:rPr>
            </w:pPr>
            <w:proofErr w:type="spellStart"/>
            <w:r w:rsidRPr="00F93CB1">
              <w:rPr>
                <w:sz w:val="18"/>
                <w:szCs w:val="18"/>
              </w:rPr>
              <w:t>Austin’s</w:t>
            </w:r>
            <w:proofErr w:type="spellEnd"/>
            <w:r w:rsidRPr="00F93CB1">
              <w:rPr>
                <w:sz w:val="18"/>
                <w:szCs w:val="18"/>
              </w:rPr>
              <w:t xml:space="preserve"> Chronicity Index</w:t>
            </w:r>
          </w:p>
        </w:tc>
        <w:tc>
          <w:tcPr>
            <w:tcW w:w="1590" w:type="pct"/>
            <w:gridSpan w:val="2"/>
            <w:tcBorders>
              <w:top w:val="single" w:sz="4" w:space="0" w:color="auto"/>
            </w:tcBorders>
            <w:shd w:val="clear" w:color="auto" w:fill="E0E0E0"/>
            <w:vAlign w:val="center"/>
          </w:tcPr>
          <w:p w:rsidR="0046613E" w:rsidRPr="00F93CB1" w:rsidRDefault="0046613E" w:rsidP="0046613E">
            <w:pPr>
              <w:spacing w:line="360" w:lineRule="auto"/>
              <w:jc w:val="center"/>
              <w:rPr>
                <w:sz w:val="18"/>
                <w:szCs w:val="18"/>
              </w:rPr>
            </w:pPr>
            <w:r w:rsidRPr="00F93CB1">
              <w:rPr>
                <w:sz w:val="18"/>
                <w:szCs w:val="18"/>
              </w:rPr>
              <w:t>Hill Biopsy Index</w:t>
            </w:r>
          </w:p>
        </w:tc>
      </w:tr>
      <w:tr w:rsidR="0046613E" w:rsidRPr="00F93CB1" w:rsidTr="003B3C6F">
        <w:trPr>
          <w:jc w:val="center"/>
        </w:trPr>
        <w:tc>
          <w:tcPr>
            <w:tcW w:w="910" w:type="pct"/>
            <w:vMerge/>
            <w:tcBorders>
              <w:bottom w:val="single" w:sz="4" w:space="0" w:color="auto"/>
            </w:tcBorders>
            <w:vAlign w:val="center"/>
          </w:tcPr>
          <w:p w:rsidR="0046613E" w:rsidRPr="00F93CB1" w:rsidRDefault="0046613E" w:rsidP="0046613E">
            <w:pPr>
              <w:spacing w:line="360" w:lineRule="auto"/>
              <w:jc w:val="center"/>
              <w:rPr>
                <w:sz w:val="18"/>
                <w:szCs w:val="18"/>
              </w:rPr>
            </w:pPr>
          </w:p>
        </w:tc>
        <w:tc>
          <w:tcPr>
            <w:tcW w:w="641" w:type="pct"/>
            <w:shd w:val="clear" w:color="auto" w:fill="E0E0E0"/>
            <w:vAlign w:val="center"/>
          </w:tcPr>
          <w:p w:rsidR="0046613E" w:rsidRPr="00F93CB1" w:rsidRDefault="0046613E" w:rsidP="0046613E">
            <w:pPr>
              <w:spacing w:line="360" w:lineRule="auto"/>
              <w:jc w:val="center"/>
              <w:rPr>
                <w:sz w:val="18"/>
                <w:szCs w:val="18"/>
              </w:rPr>
            </w:pPr>
            <w:r w:rsidRPr="00F93CB1">
              <w:rPr>
                <w:sz w:val="18"/>
                <w:szCs w:val="18"/>
              </w:rPr>
              <w:t>R</w:t>
            </w:r>
          </w:p>
        </w:tc>
        <w:tc>
          <w:tcPr>
            <w:tcW w:w="558" w:type="pct"/>
            <w:shd w:val="clear" w:color="auto" w:fill="E0E0E0"/>
            <w:vAlign w:val="center"/>
          </w:tcPr>
          <w:p w:rsidR="0046613E" w:rsidRPr="00F93CB1" w:rsidRDefault="0046613E" w:rsidP="0046613E">
            <w:pPr>
              <w:spacing w:line="360" w:lineRule="auto"/>
              <w:jc w:val="center"/>
              <w:rPr>
                <w:sz w:val="18"/>
                <w:szCs w:val="18"/>
              </w:rPr>
            </w:pPr>
            <w:r w:rsidRPr="00F93CB1">
              <w:rPr>
                <w:i/>
                <w:sz w:val="18"/>
                <w:szCs w:val="18"/>
              </w:rPr>
              <w:t>p</w:t>
            </w:r>
          </w:p>
        </w:tc>
        <w:tc>
          <w:tcPr>
            <w:tcW w:w="625" w:type="pct"/>
            <w:shd w:val="clear" w:color="auto" w:fill="E0E0E0"/>
            <w:vAlign w:val="center"/>
          </w:tcPr>
          <w:p w:rsidR="0046613E" w:rsidRPr="00F93CB1" w:rsidRDefault="0046613E" w:rsidP="0046613E">
            <w:pPr>
              <w:spacing w:line="360" w:lineRule="auto"/>
              <w:jc w:val="center"/>
              <w:rPr>
                <w:sz w:val="18"/>
                <w:szCs w:val="18"/>
              </w:rPr>
            </w:pPr>
            <w:r w:rsidRPr="00F93CB1">
              <w:rPr>
                <w:sz w:val="18"/>
                <w:szCs w:val="18"/>
              </w:rPr>
              <w:t>R</w:t>
            </w:r>
          </w:p>
        </w:tc>
        <w:tc>
          <w:tcPr>
            <w:tcW w:w="676" w:type="pct"/>
            <w:shd w:val="clear" w:color="auto" w:fill="E0E0E0"/>
            <w:vAlign w:val="center"/>
          </w:tcPr>
          <w:p w:rsidR="0046613E" w:rsidRPr="00F93CB1" w:rsidRDefault="0046613E" w:rsidP="0046613E">
            <w:pPr>
              <w:spacing w:line="360" w:lineRule="auto"/>
              <w:jc w:val="center"/>
              <w:rPr>
                <w:sz w:val="18"/>
                <w:szCs w:val="18"/>
              </w:rPr>
            </w:pPr>
            <w:r w:rsidRPr="00F93CB1">
              <w:rPr>
                <w:i/>
                <w:sz w:val="18"/>
                <w:szCs w:val="18"/>
              </w:rPr>
              <w:t>p</w:t>
            </w:r>
          </w:p>
        </w:tc>
        <w:tc>
          <w:tcPr>
            <w:tcW w:w="796" w:type="pct"/>
            <w:shd w:val="clear" w:color="auto" w:fill="E0E0E0"/>
            <w:vAlign w:val="center"/>
          </w:tcPr>
          <w:p w:rsidR="0046613E" w:rsidRPr="00F93CB1" w:rsidRDefault="0046613E" w:rsidP="0046613E">
            <w:pPr>
              <w:spacing w:line="360" w:lineRule="auto"/>
              <w:jc w:val="center"/>
              <w:rPr>
                <w:sz w:val="18"/>
                <w:szCs w:val="18"/>
              </w:rPr>
            </w:pPr>
            <w:r w:rsidRPr="00F93CB1">
              <w:rPr>
                <w:sz w:val="18"/>
                <w:szCs w:val="18"/>
              </w:rPr>
              <w:t>R</w:t>
            </w:r>
          </w:p>
        </w:tc>
        <w:tc>
          <w:tcPr>
            <w:tcW w:w="794" w:type="pct"/>
            <w:shd w:val="clear" w:color="auto" w:fill="E0E0E0"/>
            <w:vAlign w:val="center"/>
          </w:tcPr>
          <w:p w:rsidR="0046613E" w:rsidRPr="00F93CB1" w:rsidRDefault="0046613E" w:rsidP="0046613E">
            <w:pPr>
              <w:spacing w:line="360" w:lineRule="auto"/>
              <w:jc w:val="center"/>
              <w:rPr>
                <w:sz w:val="18"/>
                <w:szCs w:val="18"/>
              </w:rPr>
            </w:pPr>
            <w:r w:rsidRPr="00F93CB1">
              <w:rPr>
                <w:i/>
                <w:sz w:val="18"/>
                <w:szCs w:val="18"/>
              </w:rPr>
              <w:t>p</w:t>
            </w:r>
          </w:p>
        </w:tc>
      </w:tr>
      <w:tr w:rsidR="0046613E" w:rsidRPr="00F93CB1" w:rsidTr="0046613E">
        <w:trPr>
          <w:trHeight w:val="341"/>
          <w:jc w:val="center"/>
        </w:trPr>
        <w:tc>
          <w:tcPr>
            <w:tcW w:w="5000" w:type="pct"/>
            <w:gridSpan w:val="7"/>
            <w:tcBorders>
              <w:top w:val="single" w:sz="4" w:space="0" w:color="auto"/>
              <w:left w:val="single" w:sz="4" w:space="0" w:color="auto"/>
            </w:tcBorders>
            <w:shd w:val="clear" w:color="auto" w:fill="E0E0E0"/>
            <w:vAlign w:val="bottom"/>
          </w:tcPr>
          <w:p w:rsidR="0046613E" w:rsidRPr="00F93CB1" w:rsidRDefault="0046613E" w:rsidP="0046613E">
            <w:pPr>
              <w:spacing w:line="360" w:lineRule="auto"/>
              <w:jc w:val="center"/>
              <w:rPr>
                <w:sz w:val="18"/>
                <w:szCs w:val="18"/>
              </w:rPr>
            </w:pPr>
            <w:r w:rsidRPr="00F93CB1">
              <w:rPr>
                <w:sz w:val="18"/>
                <w:szCs w:val="18"/>
              </w:rPr>
              <w:t>Presentation</w:t>
            </w:r>
          </w:p>
        </w:tc>
      </w:tr>
      <w:tr w:rsidR="0046613E" w:rsidRPr="00F93CB1" w:rsidTr="003B3C6F">
        <w:trPr>
          <w:trHeight w:val="438"/>
          <w:jc w:val="center"/>
        </w:trPr>
        <w:tc>
          <w:tcPr>
            <w:tcW w:w="910" w:type="pct"/>
            <w:tcBorders>
              <w:top w:val="single" w:sz="4" w:space="0" w:color="auto"/>
              <w:left w:val="single" w:sz="4" w:space="0" w:color="auto"/>
            </w:tcBorders>
            <w:shd w:val="clear" w:color="auto" w:fill="E0E0E0"/>
            <w:vAlign w:val="center"/>
          </w:tcPr>
          <w:p w:rsidR="0046613E" w:rsidRPr="00F93CB1" w:rsidRDefault="0046613E" w:rsidP="0046613E">
            <w:pPr>
              <w:spacing w:line="360" w:lineRule="auto"/>
              <w:jc w:val="center"/>
              <w:rPr>
                <w:sz w:val="18"/>
                <w:szCs w:val="18"/>
              </w:rPr>
            </w:pPr>
            <w:proofErr w:type="spellStart"/>
            <w:r w:rsidRPr="00F93CB1">
              <w:rPr>
                <w:sz w:val="18"/>
                <w:szCs w:val="18"/>
              </w:rPr>
              <w:t>Anti-dsDNA</w:t>
            </w:r>
            <w:proofErr w:type="spellEnd"/>
            <w:r w:rsidRPr="00F93CB1">
              <w:rPr>
                <w:sz w:val="18"/>
                <w:szCs w:val="18"/>
              </w:rPr>
              <w:t xml:space="preserve"> (IU/ml)</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0.3</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0.05</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-0.07</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NS</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0.2</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NS</w:t>
            </w:r>
          </w:p>
        </w:tc>
      </w:tr>
      <w:tr w:rsidR="0046613E" w:rsidRPr="00F93CB1" w:rsidTr="003B3C6F">
        <w:trPr>
          <w:trHeight w:val="361"/>
          <w:jc w:val="center"/>
        </w:trPr>
        <w:tc>
          <w:tcPr>
            <w:tcW w:w="910" w:type="pct"/>
            <w:tcBorders>
              <w:top w:val="single" w:sz="4" w:space="0" w:color="auto"/>
              <w:left w:val="single" w:sz="4" w:space="0" w:color="auto"/>
            </w:tcBorders>
            <w:shd w:val="clear" w:color="auto" w:fill="E0E0E0"/>
            <w:vAlign w:val="center"/>
          </w:tcPr>
          <w:p w:rsidR="0046613E" w:rsidRPr="00F93CB1" w:rsidRDefault="0046613E" w:rsidP="0046613E">
            <w:pPr>
              <w:spacing w:line="360" w:lineRule="auto"/>
              <w:jc w:val="center"/>
              <w:rPr>
                <w:sz w:val="18"/>
                <w:szCs w:val="18"/>
              </w:rPr>
            </w:pPr>
            <w:r w:rsidRPr="00F93CB1">
              <w:rPr>
                <w:sz w:val="18"/>
                <w:szCs w:val="18"/>
              </w:rPr>
              <w:t>C3 (mg/dl)</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-0.3</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0.03</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0.1</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NS</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-0.2</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NS</w:t>
            </w:r>
          </w:p>
        </w:tc>
      </w:tr>
      <w:tr w:rsidR="0046613E" w:rsidRPr="00F93CB1" w:rsidTr="003B3C6F">
        <w:trPr>
          <w:jc w:val="center"/>
        </w:trPr>
        <w:tc>
          <w:tcPr>
            <w:tcW w:w="910" w:type="pct"/>
            <w:tcBorders>
              <w:top w:val="single" w:sz="4" w:space="0" w:color="auto"/>
              <w:left w:val="single" w:sz="4" w:space="0" w:color="auto"/>
            </w:tcBorders>
            <w:shd w:val="clear" w:color="auto" w:fill="E0E0E0"/>
            <w:vAlign w:val="center"/>
          </w:tcPr>
          <w:p w:rsidR="0046613E" w:rsidRPr="00F93CB1" w:rsidRDefault="0046613E" w:rsidP="0046613E">
            <w:pPr>
              <w:spacing w:line="360" w:lineRule="auto"/>
              <w:jc w:val="center"/>
              <w:rPr>
                <w:sz w:val="18"/>
                <w:szCs w:val="18"/>
              </w:rPr>
            </w:pPr>
            <w:r w:rsidRPr="00F93CB1">
              <w:rPr>
                <w:sz w:val="18"/>
                <w:szCs w:val="18"/>
              </w:rPr>
              <w:t>C4 (mg/dl)</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-0.3</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0.04</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0.1</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NS</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-0.2</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NS</w:t>
            </w:r>
          </w:p>
        </w:tc>
      </w:tr>
      <w:tr w:rsidR="0046613E" w:rsidRPr="00F93CB1" w:rsidTr="003B3C6F">
        <w:trPr>
          <w:jc w:val="center"/>
        </w:trPr>
        <w:tc>
          <w:tcPr>
            <w:tcW w:w="910" w:type="pct"/>
            <w:tcBorders>
              <w:top w:val="single" w:sz="4" w:space="0" w:color="auto"/>
              <w:left w:val="single" w:sz="4" w:space="0" w:color="auto"/>
            </w:tcBorders>
            <w:shd w:val="clear" w:color="auto" w:fill="E0E0E0"/>
            <w:vAlign w:val="center"/>
          </w:tcPr>
          <w:p w:rsidR="0046613E" w:rsidRPr="00F93CB1" w:rsidRDefault="0046613E" w:rsidP="0046613E">
            <w:pPr>
              <w:spacing w:line="360" w:lineRule="auto"/>
              <w:jc w:val="center"/>
              <w:rPr>
                <w:sz w:val="18"/>
                <w:szCs w:val="18"/>
                <w:lang w:val="en-US"/>
              </w:rPr>
            </w:pPr>
            <w:r w:rsidRPr="00F93CB1">
              <w:rPr>
                <w:sz w:val="18"/>
                <w:szCs w:val="18"/>
                <w:lang w:val="en-US"/>
              </w:rPr>
              <w:t>Serum creatinine (mg/dl)</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0.1</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NS</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0.3</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0.03</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0.3</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0.03</w:t>
            </w:r>
          </w:p>
        </w:tc>
      </w:tr>
      <w:tr w:rsidR="0046613E" w:rsidRPr="00F93CB1" w:rsidTr="003B3C6F">
        <w:trPr>
          <w:jc w:val="center"/>
        </w:trPr>
        <w:tc>
          <w:tcPr>
            <w:tcW w:w="910" w:type="pct"/>
            <w:tcBorders>
              <w:top w:val="single" w:sz="4" w:space="0" w:color="auto"/>
              <w:left w:val="single" w:sz="4" w:space="0" w:color="auto"/>
            </w:tcBorders>
            <w:shd w:val="clear" w:color="auto" w:fill="E0E0E0"/>
            <w:vAlign w:val="center"/>
          </w:tcPr>
          <w:p w:rsidR="0046613E" w:rsidRPr="00F93CB1" w:rsidRDefault="0046613E" w:rsidP="0046613E">
            <w:pPr>
              <w:spacing w:line="360" w:lineRule="auto"/>
              <w:jc w:val="center"/>
              <w:rPr>
                <w:sz w:val="18"/>
                <w:szCs w:val="18"/>
              </w:rPr>
            </w:pPr>
            <w:r w:rsidRPr="00F93CB1">
              <w:rPr>
                <w:sz w:val="18"/>
                <w:szCs w:val="18"/>
              </w:rPr>
              <w:t>eGFR (ml/min)</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-0.3</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NS</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-0.4</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0.004</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-0.5</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0.0</w:t>
            </w:r>
            <w:r w:rsidR="00761396" w:rsidRPr="00F93CB1">
              <w:rPr>
                <w:sz w:val="18"/>
                <w:szCs w:val="18"/>
              </w:rPr>
              <w:t>0</w:t>
            </w:r>
            <w:r w:rsidRPr="00F93CB1">
              <w:rPr>
                <w:sz w:val="18"/>
                <w:szCs w:val="18"/>
              </w:rPr>
              <w:t>1</w:t>
            </w:r>
          </w:p>
        </w:tc>
      </w:tr>
      <w:tr w:rsidR="0046613E" w:rsidRPr="00F93CB1" w:rsidTr="003B3C6F">
        <w:trPr>
          <w:jc w:val="center"/>
        </w:trPr>
        <w:tc>
          <w:tcPr>
            <w:tcW w:w="910" w:type="pct"/>
            <w:tcBorders>
              <w:top w:val="single" w:sz="4" w:space="0" w:color="auto"/>
              <w:left w:val="single" w:sz="4" w:space="0" w:color="auto"/>
            </w:tcBorders>
            <w:shd w:val="clear" w:color="auto" w:fill="E0E0E0"/>
            <w:vAlign w:val="center"/>
          </w:tcPr>
          <w:p w:rsidR="0046613E" w:rsidRPr="00F93CB1" w:rsidRDefault="0046613E" w:rsidP="0046613E">
            <w:pPr>
              <w:spacing w:line="360" w:lineRule="auto"/>
              <w:jc w:val="center"/>
              <w:rPr>
                <w:sz w:val="18"/>
                <w:szCs w:val="18"/>
              </w:rPr>
            </w:pPr>
            <w:r w:rsidRPr="00F93CB1">
              <w:rPr>
                <w:sz w:val="18"/>
                <w:szCs w:val="18"/>
              </w:rPr>
              <w:t>Proteinuria (g/24h)</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0.4</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0.009</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-0.3</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0.006</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0.6</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0.00</w:t>
            </w:r>
            <w:r w:rsidR="00761396" w:rsidRPr="00F93CB1">
              <w:rPr>
                <w:sz w:val="18"/>
                <w:szCs w:val="18"/>
              </w:rPr>
              <w:t>0</w:t>
            </w:r>
            <w:r w:rsidRPr="00F93CB1">
              <w:rPr>
                <w:sz w:val="18"/>
                <w:szCs w:val="18"/>
              </w:rPr>
              <w:t>1</w:t>
            </w:r>
          </w:p>
        </w:tc>
      </w:tr>
      <w:tr w:rsidR="0046613E" w:rsidRPr="00F93CB1" w:rsidTr="0046613E">
        <w:trPr>
          <w:trHeight w:val="377"/>
          <w:jc w:val="center"/>
        </w:trPr>
        <w:tc>
          <w:tcPr>
            <w:tcW w:w="5000" w:type="pct"/>
            <w:gridSpan w:val="7"/>
            <w:tcBorders>
              <w:top w:val="single" w:sz="4" w:space="0" w:color="auto"/>
              <w:left w:val="single" w:sz="4" w:space="0" w:color="auto"/>
            </w:tcBorders>
            <w:shd w:val="clear" w:color="auto" w:fill="E0E0E0"/>
            <w:vAlign w:val="bottom"/>
          </w:tcPr>
          <w:p w:rsidR="0046613E" w:rsidRPr="00F93CB1" w:rsidRDefault="0046613E" w:rsidP="0046613E">
            <w:pPr>
              <w:spacing w:line="360" w:lineRule="auto"/>
              <w:jc w:val="center"/>
              <w:rPr>
                <w:sz w:val="18"/>
                <w:szCs w:val="18"/>
              </w:rPr>
            </w:pPr>
            <w:r w:rsidRPr="00F93CB1">
              <w:rPr>
                <w:sz w:val="18"/>
                <w:szCs w:val="18"/>
              </w:rPr>
              <w:t>End of follow-up</w:t>
            </w:r>
          </w:p>
        </w:tc>
      </w:tr>
      <w:tr w:rsidR="0046613E" w:rsidRPr="00F93CB1" w:rsidTr="003B3C6F">
        <w:trPr>
          <w:jc w:val="center"/>
        </w:trPr>
        <w:tc>
          <w:tcPr>
            <w:tcW w:w="910" w:type="pct"/>
            <w:tcBorders>
              <w:top w:val="single" w:sz="4" w:space="0" w:color="auto"/>
              <w:left w:val="single" w:sz="4" w:space="0" w:color="auto"/>
              <w:bottom w:val="single" w:sz="4" w:space="0" w:color="auto"/>
            </w:tcBorders>
            <w:shd w:val="clear" w:color="auto" w:fill="E0E0E0"/>
            <w:vAlign w:val="center"/>
          </w:tcPr>
          <w:p w:rsidR="0046613E" w:rsidRPr="00F93CB1" w:rsidRDefault="0046613E" w:rsidP="0046613E">
            <w:pPr>
              <w:spacing w:line="360" w:lineRule="auto"/>
              <w:jc w:val="center"/>
              <w:rPr>
                <w:sz w:val="18"/>
                <w:szCs w:val="18"/>
                <w:lang w:val="en-US"/>
              </w:rPr>
            </w:pPr>
            <w:r w:rsidRPr="00F93CB1">
              <w:rPr>
                <w:sz w:val="18"/>
                <w:szCs w:val="18"/>
                <w:lang w:val="en-US"/>
              </w:rPr>
              <w:lastRenderedPageBreak/>
              <w:t>Serum creatinine (mg/dl)</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0.07</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NS</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0.4</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0.002</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0.3</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0.046</w:t>
            </w:r>
          </w:p>
        </w:tc>
      </w:tr>
      <w:tr w:rsidR="0046613E" w:rsidRPr="00F93CB1" w:rsidTr="003B3C6F">
        <w:trPr>
          <w:jc w:val="center"/>
        </w:trPr>
        <w:tc>
          <w:tcPr>
            <w:tcW w:w="910" w:type="pct"/>
            <w:tcBorders>
              <w:top w:val="single" w:sz="4" w:space="0" w:color="auto"/>
              <w:left w:val="single" w:sz="4" w:space="0" w:color="auto"/>
            </w:tcBorders>
            <w:shd w:val="clear" w:color="auto" w:fill="E0E0E0"/>
            <w:vAlign w:val="center"/>
          </w:tcPr>
          <w:p w:rsidR="0046613E" w:rsidRPr="00F93CB1" w:rsidRDefault="0046613E" w:rsidP="0046613E">
            <w:pPr>
              <w:spacing w:line="360" w:lineRule="auto"/>
              <w:jc w:val="center"/>
              <w:rPr>
                <w:sz w:val="18"/>
                <w:szCs w:val="18"/>
                <w:lang w:val="en-US"/>
              </w:rPr>
            </w:pPr>
            <w:r w:rsidRPr="00F93CB1">
              <w:rPr>
                <w:sz w:val="18"/>
                <w:szCs w:val="18"/>
                <w:lang w:val="en-US"/>
              </w:rPr>
              <w:t>eGFR (ml/min)</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0.09</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NS</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-0.5</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0.002</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-0.2</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NS</w:t>
            </w:r>
          </w:p>
        </w:tc>
      </w:tr>
      <w:tr w:rsidR="0046613E" w:rsidRPr="00F93CB1" w:rsidTr="003B3C6F">
        <w:trPr>
          <w:jc w:val="center"/>
        </w:trPr>
        <w:tc>
          <w:tcPr>
            <w:tcW w:w="910" w:type="pct"/>
            <w:tcBorders>
              <w:top w:val="single" w:sz="4" w:space="0" w:color="auto"/>
              <w:left w:val="single" w:sz="4" w:space="0" w:color="auto"/>
            </w:tcBorders>
            <w:shd w:val="clear" w:color="auto" w:fill="E0E0E0"/>
            <w:vAlign w:val="center"/>
          </w:tcPr>
          <w:p w:rsidR="0046613E" w:rsidRPr="00F93CB1" w:rsidRDefault="0046613E" w:rsidP="0046613E">
            <w:pPr>
              <w:spacing w:line="360" w:lineRule="auto"/>
              <w:jc w:val="center"/>
              <w:rPr>
                <w:sz w:val="18"/>
                <w:szCs w:val="18"/>
                <w:lang w:val="en-US"/>
              </w:rPr>
            </w:pPr>
            <w:r w:rsidRPr="00F93CB1">
              <w:rPr>
                <w:sz w:val="18"/>
                <w:szCs w:val="18"/>
                <w:lang w:val="en-US"/>
              </w:rPr>
              <w:t>Proteinuria (g/24h)</w:t>
            </w:r>
          </w:p>
        </w:tc>
        <w:tc>
          <w:tcPr>
            <w:tcW w:w="641"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0.2</w:t>
            </w:r>
          </w:p>
        </w:tc>
        <w:tc>
          <w:tcPr>
            <w:tcW w:w="558" w:type="pct"/>
            <w:tcBorders>
              <w:righ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NS</w:t>
            </w:r>
          </w:p>
        </w:tc>
        <w:tc>
          <w:tcPr>
            <w:tcW w:w="625" w:type="pct"/>
            <w:tcBorders>
              <w:left w:val="double" w:sz="4" w:space="0" w:color="auto"/>
            </w:tcBorders>
            <w:vAlign w:val="center"/>
          </w:tcPr>
          <w:p w:rsidR="0046613E" w:rsidRPr="00F93CB1" w:rsidRDefault="0046613E" w:rsidP="0046613E">
            <w:pPr>
              <w:spacing w:line="360" w:lineRule="auto"/>
              <w:jc w:val="center"/>
              <w:rPr>
                <w:sz w:val="18"/>
                <w:szCs w:val="18"/>
              </w:rPr>
            </w:pPr>
            <w:r w:rsidRPr="00F93CB1">
              <w:rPr>
                <w:sz w:val="18"/>
                <w:szCs w:val="18"/>
              </w:rPr>
              <w:t>0.3</w:t>
            </w:r>
          </w:p>
        </w:tc>
        <w:tc>
          <w:tcPr>
            <w:tcW w:w="676" w:type="pct"/>
            <w:vAlign w:val="center"/>
          </w:tcPr>
          <w:p w:rsidR="0046613E" w:rsidRPr="00F93CB1" w:rsidRDefault="0046613E" w:rsidP="0046613E">
            <w:pPr>
              <w:spacing w:line="360" w:lineRule="auto"/>
              <w:jc w:val="center"/>
              <w:rPr>
                <w:sz w:val="18"/>
                <w:szCs w:val="18"/>
              </w:rPr>
            </w:pPr>
            <w:r w:rsidRPr="00F93CB1">
              <w:rPr>
                <w:sz w:val="18"/>
                <w:szCs w:val="18"/>
              </w:rPr>
              <w:t>0.03</w:t>
            </w:r>
          </w:p>
        </w:tc>
        <w:tc>
          <w:tcPr>
            <w:tcW w:w="796" w:type="pct"/>
            <w:vAlign w:val="center"/>
          </w:tcPr>
          <w:p w:rsidR="0046613E" w:rsidRPr="00F93CB1" w:rsidRDefault="0046613E" w:rsidP="0046613E">
            <w:pPr>
              <w:spacing w:line="360" w:lineRule="auto"/>
              <w:jc w:val="center"/>
              <w:rPr>
                <w:sz w:val="18"/>
                <w:szCs w:val="18"/>
              </w:rPr>
            </w:pPr>
            <w:r w:rsidRPr="00F93CB1">
              <w:rPr>
                <w:sz w:val="18"/>
                <w:szCs w:val="18"/>
              </w:rPr>
              <w:t>0.4</w:t>
            </w:r>
          </w:p>
        </w:tc>
        <w:tc>
          <w:tcPr>
            <w:tcW w:w="794" w:type="pct"/>
            <w:vAlign w:val="center"/>
          </w:tcPr>
          <w:p w:rsidR="0046613E" w:rsidRPr="00F93CB1" w:rsidRDefault="0046613E" w:rsidP="0046613E">
            <w:pPr>
              <w:spacing w:line="360" w:lineRule="auto"/>
              <w:jc w:val="center"/>
              <w:rPr>
                <w:sz w:val="18"/>
                <w:szCs w:val="18"/>
              </w:rPr>
            </w:pPr>
            <w:r w:rsidRPr="00F93CB1">
              <w:rPr>
                <w:sz w:val="18"/>
                <w:szCs w:val="18"/>
              </w:rPr>
              <w:t>0.02</w:t>
            </w:r>
          </w:p>
        </w:tc>
      </w:tr>
    </w:tbl>
    <w:p w:rsidR="0077203C" w:rsidRPr="00F93CB1" w:rsidRDefault="0077203C" w:rsidP="003B3C6F">
      <w:pPr>
        <w:spacing w:line="360" w:lineRule="auto"/>
        <w:ind w:left="1440" w:firstLine="720"/>
        <w:jc w:val="both"/>
        <w:rPr>
          <w:sz w:val="16"/>
          <w:lang w:val="en-US"/>
        </w:rPr>
      </w:pPr>
      <w:r w:rsidRPr="00F93CB1">
        <w:rPr>
          <w:sz w:val="16"/>
          <w:lang w:val="en-US"/>
        </w:rPr>
        <w:t>Legend</w:t>
      </w:r>
      <w:r w:rsidR="00246829" w:rsidRPr="00F93CB1">
        <w:rPr>
          <w:sz w:val="16"/>
          <w:lang w:val="en-US"/>
        </w:rPr>
        <w:t>:</w:t>
      </w:r>
    </w:p>
    <w:p w:rsidR="003B3C6F" w:rsidRPr="00F93CB1" w:rsidRDefault="003B3C6F" w:rsidP="003B3C6F">
      <w:pPr>
        <w:spacing w:line="360" w:lineRule="auto"/>
        <w:ind w:left="1440" w:firstLine="720"/>
        <w:jc w:val="both"/>
        <w:rPr>
          <w:sz w:val="16"/>
          <w:lang w:val="en-US"/>
        </w:rPr>
      </w:pPr>
      <w:r w:rsidRPr="00F93CB1">
        <w:rPr>
          <w:sz w:val="16"/>
          <w:lang w:val="en-US"/>
        </w:rPr>
        <w:t>eGFR – estimated glomerular filtration rate</w:t>
      </w:r>
    </w:p>
    <w:p w:rsidR="00EF5B51" w:rsidRPr="00F33069" w:rsidRDefault="002E3003" w:rsidP="00F33069">
      <w:pPr>
        <w:spacing w:line="360" w:lineRule="auto"/>
        <w:ind w:left="1440" w:firstLine="720"/>
        <w:jc w:val="both"/>
        <w:rPr>
          <w:sz w:val="16"/>
          <w:lang w:val="en-US"/>
        </w:rPr>
      </w:pPr>
      <w:r w:rsidRPr="00F93CB1">
        <w:rPr>
          <w:sz w:val="16"/>
          <w:lang w:val="en-US"/>
        </w:rPr>
        <w:t>All correlations were</w:t>
      </w:r>
      <w:r w:rsidR="0077203C" w:rsidRPr="00F93CB1">
        <w:rPr>
          <w:sz w:val="16"/>
          <w:lang w:val="en-US"/>
        </w:rPr>
        <w:t xml:space="preserve"> made using </w:t>
      </w:r>
      <w:r w:rsidRPr="00F93CB1">
        <w:rPr>
          <w:sz w:val="16"/>
          <w:lang w:val="en-US"/>
        </w:rPr>
        <w:t>Spe</w:t>
      </w:r>
      <w:r w:rsidR="008E590D" w:rsidRPr="00F93CB1">
        <w:rPr>
          <w:sz w:val="16"/>
          <w:lang w:val="en-US"/>
        </w:rPr>
        <w:t>a</w:t>
      </w:r>
      <w:r w:rsidRPr="00F93CB1">
        <w:rPr>
          <w:sz w:val="16"/>
          <w:lang w:val="en-US"/>
        </w:rPr>
        <w:t xml:space="preserve">rman </w:t>
      </w:r>
      <w:r w:rsidR="00ED07E7" w:rsidRPr="00F93CB1">
        <w:rPr>
          <w:sz w:val="16"/>
          <w:lang w:val="en-US"/>
        </w:rPr>
        <w:t>correlation</w:t>
      </w:r>
      <w:r w:rsidRPr="00F93CB1">
        <w:rPr>
          <w:sz w:val="16"/>
          <w:lang w:val="en-US"/>
        </w:rPr>
        <w:t xml:space="preserve"> in </w:t>
      </w:r>
      <w:r w:rsidR="00ED07E7" w:rsidRPr="00F93CB1">
        <w:rPr>
          <w:sz w:val="16"/>
          <w:lang w:val="en-US"/>
        </w:rPr>
        <w:t xml:space="preserve">a </w:t>
      </w:r>
      <w:r w:rsidR="0077203C" w:rsidRPr="00F93CB1">
        <w:rPr>
          <w:sz w:val="16"/>
          <w:lang w:val="en-US"/>
        </w:rPr>
        <w:t>univariate analysis</w:t>
      </w:r>
      <w:r w:rsidR="0005149E" w:rsidRPr="00F93CB1">
        <w:rPr>
          <w:sz w:val="16"/>
          <w:lang w:val="en-US"/>
        </w:rPr>
        <w:t>.</w:t>
      </w:r>
    </w:p>
    <w:p w:rsidR="0046613E" w:rsidRPr="00F67053" w:rsidRDefault="0046613E" w:rsidP="002447C6">
      <w:pPr>
        <w:spacing w:line="360" w:lineRule="auto"/>
        <w:jc w:val="both"/>
        <w:rPr>
          <w:lang w:val="en-US"/>
        </w:rPr>
      </w:pPr>
    </w:p>
    <w:sectPr w:rsidR="0046613E" w:rsidRPr="00F67053" w:rsidSect="00456765">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AE2" w:rsidRDefault="00A87AE2">
      <w:pPr>
        <w:spacing w:line="240" w:lineRule="auto"/>
      </w:pPr>
      <w:r>
        <w:separator/>
      </w:r>
    </w:p>
  </w:endnote>
  <w:endnote w:type="continuationSeparator" w:id="0">
    <w:p w:rsidR="00A87AE2" w:rsidRDefault="00A87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ADF" w:rsidRDefault="00E76ADF">
    <w:pPr>
      <w:pStyle w:val="Normal1"/>
      <w:jc w:val="right"/>
    </w:pPr>
    <w:r>
      <w:fldChar w:fldCharType="begin"/>
    </w:r>
    <w:r>
      <w:instrText>PAGE</w:instrText>
    </w:r>
    <w:r>
      <w:fldChar w:fldCharType="separate"/>
    </w:r>
    <w:r w:rsidR="009D0F4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AE2" w:rsidRDefault="00A87AE2">
      <w:pPr>
        <w:spacing w:line="240" w:lineRule="auto"/>
      </w:pPr>
      <w:r>
        <w:separator/>
      </w:r>
    </w:p>
  </w:footnote>
  <w:footnote w:type="continuationSeparator" w:id="0">
    <w:p w:rsidR="00A87AE2" w:rsidRDefault="00A87A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143" style="width:0;height:1.5pt" o:hralign="center" o:bullet="t" o:hrstd="t" o:hr="t" fillcolor="#a0a0a0" stroked="f"/>
    </w:pict>
  </w:numPicBullet>
  <w:abstractNum w:abstractNumId="0" w15:restartNumberingAfterBreak="0">
    <w:nsid w:val="002C4CEF"/>
    <w:multiLevelType w:val="hybridMultilevel"/>
    <w:tmpl w:val="DE389710"/>
    <w:lvl w:ilvl="0" w:tplc="E3060414">
      <w:start w:val="1"/>
      <w:numFmt w:val="decimal"/>
      <w:lvlText w:val="%1."/>
      <w:lvlJc w:val="left"/>
      <w:pPr>
        <w:ind w:left="381" w:hanging="360"/>
      </w:pPr>
      <w:rPr>
        <w:rFonts w:hint="default"/>
      </w:rPr>
    </w:lvl>
    <w:lvl w:ilvl="1" w:tplc="08160019" w:tentative="1">
      <w:start w:val="1"/>
      <w:numFmt w:val="lowerLetter"/>
      <w:lvlText w:val="%2."/>
      <w:lvlJc w:val="left"/>
      <w:pPr>
        <w:ind w:left="1101" w:hanging="360"/>
      </w:pPr>
    </w:lvl>
    <w:lvl w:ilvl="2" w:tplc="0816001B" w:tentative="1">
      <w:start w:val="1"/>
      <w:numFmt w:val="lowerRoman"/>
      <w:lvlText w:val="%3."/>
      <w:lvlJc w:val="right"/>
      <w:pPr>
        <w:ind w:left="1821" w:hanging="180"/>
      </w:pPr>
    </w:lvl>
    <w:lvl w:ilvl="3" w:tplc="0816000F" w:tentative="1">
      <w:start w:val="1"/>
      <w:numFmt w:val="decimal"/>
      <w:lvlText w:val="%4."/>
      <w:lvlJc w:val="left"/>
      <w:pPr>
        <w:ind w:left="2541" w:hanging="360"/>
      </w:pPr>
    </w:lvl>
    <w:lvl w:ilvl="4" w:tplc="08160019" w:tentative="1">
      <w:start w:val="1"/>
      <w:numFmt w:val="lowerLetter"/>
      <w:lvlText w:val="%5."/>
      <w:lvlJc w:val="left"/>
      <w:pPr>
        <w:ind w:left="3261" w:hanging="360"/>
      </w:pPr>
    </w:lvl>
    <w:lvl w:ilvl="5" w:tplc="0816001B" w:tentative="1">
      <w:start w:val="1"/>
      <w:numFmt w:val="lowerRoman"/>
      <w:lvlText w:val="%6."/>
      <w:lvlJc w:val="right"/>
      <w:pPr>
        <w:ind w:left="3981" w:hanging="180"/>
      </w:pPr>
    </w:lvl>
    <w:lvl w:ilvl="6" w:tplc="0816000F" w:tentative="1">
      <w:start w:val="1"/>
      <w:numFmt w:val="decimal"/>
      <w:lvlText w:val="%7."/>
      <w:lvlJc w:val="left"/>
      <w:pPr>
        <w:ind w:left="4701" w:hanging="360"/>
      </w:pPr>
    </w:lvl>
    <w:lvl w:ilvl="7" w:tplc="08160019" w:tentative="1">
      <w:start w:val="1"/>
      <w:numFmt w:val="lowerLetter"/>
      <w:lvlText w:val="%8."/>
      <w:lvlJc w:val="left"/>
      <w:pPr>
        <w:ind w:left="5421" w:hanging="360"/>
      </w:pPr>
    </w:lvl>
    <w:lvl w:ilvl="8" w:tplc="0816001B" w:tentative="1">
      <w:start w:val="1"/>
      <w:numFmt w:val="lowerRoman"/>
      <w:lvlText w:val="%9."/>
      <w:lvlJc w:val="right"/>
      <w:pPr>
        <w:ind w:left="6141" w:hanging="180"/>
      </w:pPr>
    </w:lvl>
  </w:abstractNum>
  <w:abstractNum w:abstractNumId="1" w15:restartNumberingAfterBreak="0">
    <w:nsid w:val="088621A3"/>
    <w:multiLevelType w:val="hybridMultilevel"/>
    <w:tmpl w:val="4CDE500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8400853"/>
    <w:multiLevelType w:val="hybridMultilevel"/>
    <w:tmpl w:val="0D8298FC"/>
    <w:lvl w:ilvl="0" w:tplc="7B0AAD10">
      <w:start w:val="1"/>
      <w:numFmt w:val="bullet"/>
      <w:lvlText w:val="•"/>
      <w:lvlJc w:val="left"/>
      <w:pPr>
        <w:tabs>
          <w:tab w:val="num" w:pos="1440"/>
        </w:tabs>
        <w:ind w:left="1440" w:hanging="360"/>
      </w:pPr>
      <w:rPr>
        <w:rFonts w:ascii="Tahoma" w:hAnsi="Tahoma" w:hint="default"/>
      </w:rPr>
    </w:lvl>
    <w:lvl w:ilvl="1" w:tplc="AD5AFB4E" w:tentative="1">
      <w:start w:val="1"/>
      <w:numFmt w:val="bullet"/>
      <w:lvlText w:val="•"/>
      <w:lvlJc w:val="left"/>
      <w:pPr>
        <w:tabs>
          <w:tab w:val="num" w:pos="2160"/>
        </w:tabs>
        <w:ind w:left="2160" w:hanging="360"/>
      </w:pPr>
      <w:rPr>
        <w:rFonts w:ascii="Tahoma" w:hAnsi="Tahoma" w:hint="default"/>
      </w:rPr>
    </w:lvl>
    <w:lvl w:ilvl="2" w:tplc="633EB952" w:tentative="1">
      <w:start w:val="1"/>
      <w:numFmt w:val="bullet"/>
      <w:lvlText w:val="•"/>
      <w:lvlJc w:val="left"/>
      <w:pPr>
        <w:tabs>
          <w:tab w:val="num" w:pos="2880"/>
        </w:tabs>
        <w:ind w:left="2880" w:hanging="360"/>
      </w:pPr>
      <w:rPr>
        <w:rFonts w:ascii="Tahoma" w:hAnsi="Tahoma" w:hint="default"/>
      </w:rPr>
    </w:lvl>
    <w:lvl w:ilvl="3" w:tplc="10CA6A3C" w:tentative="1">
      <w:start w:val="1"/>
      <w:numFmt w:val="bullet"/>
      <w:lvlText w:val="•"/>
      <w:lvlJc w:val="left"/>
      <w:pPr>
        <w:tabs>
          <w:tab w:val="num" w:pos="3600"/>
        </w:tabs>
        <w:ind w:left="3600" w:hanging="360"/>
      </w:pPr>
      <w:rPr>
        <w:rFonts w:ascii="Tahoma" w:hAnsi="Tahoma" w:hint="default"/>
      </w:rPr>
    </w:lvl>
    <w:lvl w:ilvl="4" w:tplc="2250992A" w:tentative="1">
      <w:start w:val="1"/>
      <w:numFmt w:val="bullet"/>
      <w:lvlText w:val="•"/>
      <w:lvlJc w:val="left"/>
      <w:pPr>
        <w:tabs>
          <w:tab w:val="num" w:pos="4320"/>
        </w:tabs>
        <w:ind w:left="4320" w:hanging="360"/>
      </w:pPr>
      <w:rPr>
        <w:rFonts w:ascii="Tahoma" w:hAnsi="Tahoma" w:hint="default"/>
      </w:rPr>
    </w:lvl>
    <w:lvl w:ilvl="5" w:tplc="56187092" w:tentative="1">
      <w:start w:val="1"/>
      <w:numFmt w:val="bullet"/>
      <w:lvlText w:val="•"/>
      <w:lvlJc w:val="left"/>
      <w:pPr>
        <w:tabs>
          <w:tab w:val="num" w:pos="5040"/>
        </w:tabs>
        <w:ind w:left="5040" w:hanging="360"/>
      </w:pPr>
      <w:rPr>
        <w:rFonts w:ascii="Tahoma" w:hAnsi="Tahoma" w:hint="default"/>
      </w:rPr>
    </w:lvl>
    <w:lvl w:ilvl="6" w:tplc="F32EB744" w:tentative="1">
      <w:start w:val="1"/>
      <w:numFmt w:val="bullet"/>
      <w:lvlText w:val="•"/>
      <w:lvlJc w:val="left"/>
      <w:pPr>
        <w:tabs>
          <w:tab w:val="num" w:pos="5760"/>
        </w:tabs>
        <w:ind w:left="5760" w:hanging="360"/>
      </w:pPr>
      <w:rPr>
        <w:rFonts w:ascii="Tahoma" w:hAnsi="Tahoma" w:hint="default"/>
      </w:rPr>
    </w:lvl>
    <w:lvl w:ilvl="7" w:tplc="254E9D16" w:tentative="1">
      <w:start w:val="1"/>
      <w:numFmt w:val="bullet"/>
      <w:lvlText w:val="•"/>
      <w:lvlJc w:val="left"/>
      <w:pPr>
        <w:tabs>
          <w:tab w:val="num" w:pos="6480"/>
        </w:tabs>
        <w:ind w:left="6480" w:hanging="360"/>
      </w:pPr>
      <w:rPr>
        <w:rFonts w:ascii="Tahoma" w:hAnsi="Tahoma" w:hint="default"/>
      </w:rPr>
    </w:lvl>
    <w:lvl w:ilvl="8" w:tplc="C0865A62" w:tentative="1">
      <w:start w:val="1"/>
      <w:numFmt w:val="bullet"/>
      <w:lvlText w:val="•"/>
      <w:lvlJc w:val="left"/>
      <w:pPr>
        <w:tabs>
          <w:tab w:val="num" w:pos="7200"/>
        </w:tabs>
        <w:ind w:left="7200" w:hanging="360"/>
      </w:pPr>
      <w:rPr>
        <w:rFonts w:ascii="Tahoma" w:hAnsi="Tahoma" w:hint="default"/>
      </w:rPr>
    </w:lvl>
  </w:abstractNum>
  <w:abstractNum w:abstractNumId="3" w15:restartNumberingAfterBreak="0">
    <w:nsid w:val="21695EC7"/>
    <w:multiLevelType w:val="hybridMultilevel"/>
    <w:tmpl w:val="F9B05F70"/>
    <w:lvl w:ilvl="0" w:tplc="39CEDBC0">
      <w:numFmt w:val="bullet"/>
      <w:lvlText w:val="-"/>
      <w:lvlJc w:val="left"/>
      <w:pPr>
        <w:ind w:left="1080" w:hanging="720"/>
      </w:pPr>
      <w:rPr>
        <w:rFonts w:ascii="Calibri" w:eastAsia="Calibri" w:hAnsi="Calibri"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EFD3E25"/>
    <w:multiLevelType w:val="hybridMultilevel"/>
    <w:tmpl w:val="B60C5E0A"/>
    <w:lvl w:ilvl="0" w:tplc="39CEDBC0">
      <w:numFmt w:val="bullet"/>
      <w:lvlText w:val="-"/>
      <w:lvlJc w:val="left"/>
      <w:pPr>
        <w:ind w:left="1080" w:hanging="720"/>
      </w:pPr>
      <w:rPr>
        <w:rFonts w:ascii="Calibri" w:eastAsia="Calibri" w:hAnsi="Calibri"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FC03D66"/>
    <w:multiLevelType w:val="hybridMultilevel"/>
    <w:tmpl w:val="7278056E"/>
    <w:lvl w:ilvl="0" w:tplc="08160001">
      <w:start w:val="1"/>
      <w:numFmt w:val="bullet"/>
      <w:lvlText w:val=""/>
      <w:lvlJc w:val="left"/>
      <w:pPr>
        <w:ind w:left="1080" w:hanging="72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6FC2D09"/>
    <w:multiLevelType w:val="hybridMultilevel"/>
    <w:tmpl w:val="9664E05C"/>
    <w:lvl w:ilvl="0" w:tplc="A84A90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5A"/>
    <w:rsid w:val="000145B8"/>
    <w:rsid w:val="00024D17"/>
    <w:rsid w:val="000428CE"/>
    <w:rsid w:val="0005149E"/>
    <w:rsid w:val="00055C36"/>
    <w:rsid w:val="00060A57"/>
    <w:rsid w:val="00061906"/>
    <w:rsid w:val="00070175"/>
    <w:rsid w:val="0009167C"/>
    <w:rsid w:val="000B115E"/>
    <w:rsid w:val="000B1627"/>
    <w:rsid w:val="000C403A"/>
    <w:rsid w:val="000C786B"/>
    <w:rsid w:val="000E43B1"/>
    <w:rsid w:val="000F28BC"/>
    <w:rsid w:val="00100422"/>
    <w:rsid w:val="00101022"/>
    <w:rsid w:val="00123B1F"/>
    <w:rsid w:val="001546DC"/>
    <w:rsid w:val="001551DA"/>
    <w:rsid w:val="00163BCD"/>
    <w:rsid w:val="001714C8"/>
    <w:rsid w:val="001742A8"/>
    <w:rsid w:val="00175D37"/>
    <w:rsid w:val="0018370C"/>
    <w:rsid w:val="00184E29"/>
    <w:rsid w:val="00192551"/>
    <w:rsid w:val="00193AFE"/>
    <w:rsid w:val="001B42C6"/>
    <w:rsid w:val="001B5223"/>
    <w:rsid w:val="001B5D51"/>
    <w:rsid w:val="001D3453"/>
    <w:rsid w:val="001D6763"/>
    <w:rsid w:val="001D6C5D"/>
    <w:rsid w:val="001E7A32"/>
    <w:rsid w:val="00202A1D"/>
    <w:rsid w:val="00203D2E"/>
    <w:rsid w:val="00232F4A"/>
    <w:rsid w:val="0024083E"/>
    <w:rsid w:val="002447C6"/>
    <w:rsid w:val="00246829"/>
    <w:rsid w:val="0026574C"/>
    <w:rsid w:val="00275DDD"/>
    <w:rsid w:val="0028253D"/>
    <w:rsid w:val="002833A7"/>
    <w:rsid w:val="00285A09"/>
    <w:rsid w:val="002864B6"/>
    <w:rsid w:val="00286706"/>
    <w:rsid w:val="002955BC"/>
    <w:rsid w:val="002B193A"/>
    <w:rsid w:val="002B3E98"/>
    <w:rsid w:val="002B5F71"/>
    <w:rsid w:val="002C6488"/>
    <w:rsid w:val="002C69EE"/>
    <w:rsid w:val="002D331F"/>
    <w:rsid w:val="002D4D1F"/>
    <w:rsid w:val="002D50D9"/>
    <w:rsid w:val="002E3003"/>
    <w:rsid w:val="002E31B1"/>
    <w:rsid w:val="002E54C8"/>
    <w:rsid w:val="002F2374"/>
    <w:rsid w:val="003072D5"/>
    <w:rsid w:val="0031755D"/>
    <w:rsid w:val="003630E7"/>
    <w:rsid w:val="003631DB"/>
    <w:rsid w:val="003B3C6F"/>
    <w:rsid w:val="003B5EAF"/>
    <w:rsid w:val="003B7572"/>
    <w:rsid w:val="003C0D68"/>
    <w:rsid w:val="0040475A"/>
    <w:rsid w:val="00404CD6"/>
    <w:rsid w:val="00407DE2"/>
    <w:rsid w:val="004431A7"/>
    <w:rsid w:val="00443479"/>
    <w:rsid w:val="00446DB4"/>
    <w:rsid w:val="00456765"/>
    <w:rsid w:val="0046613E"/>
    <w:rsid w:val="00467701"/>
    <w:rsid w:val="004718A0"/>
    <w:rsid w:val="0047563B"/>
    <w:rsid w:val="00485021"/>
    <w:rsid w:val="00493532"/>
    <w:rsid w:val="00494D95"/>
    <w:rsid w:val="00497A2B"/>
    <w:rsid w:val="004E3C4E"/>
    <w:rsid w:val="004E529F"/>
    <w:rsid w:val="004E734B"/>
    <w:rsid w:val="004F1266"/>
    <w:rsid w:val="00516AFC"/>
    <w:rsid w:val="0052007B"/>
    <w:rsid w:val="00527B47"/>
    <w:rsid w:val="00542AE7"/>
    <w:rsid w:val="00550D94"/>
    <w:rsid w:val="00560DC0"/>
    <w:rsid w:val="00563E3A"/>
    <w:rsid w:val="00574B6A"/>
    <w:rsid w:val="005A3DA8"/>
    <w:rsid w:val="005B735D"/>
    <w:rsid w:val="005D619B"/>
    <w:rsid w:val="005E1D04"/>
    <w:rsid w:val="005E41C3"/>
    <w:rsid w:val="005E551A"/>
    <w:rsid w:val="005F1DC6"/>
    <w:rsid w:val="005F2E26"/>
    <w:rsid w:val="00606D4E"/>
    <w:rsid w:val="006139A9"/>
    <w:rsid w:val="00614977"/>
    <w:rsid w:val="00626C4F"/>
    <w:rsid w:val="00646170"/>
    <w:rsid w:val="00646EE0"/>
    <w:rsid w:val="006527B8"/>
    <w:rsid w:val="006655AB"/>
    <w:rsid w:val="00673541"/>
    <w:rsid w:val="0067785B"/>
    <w:rsid w:val="006A3F62"/>
    <w:rsid w:val="006B2748"/>
    <w:rsid w:val="006C1EC0"/>
    <w:rsid w:val="007158EA"/>
    <w:rsid w:val="00724CFF"/>
    <w:rsid w:val="0072779A"/>
    <w:rsid w:val="007321A4"/>
    <w:rsid w:val="00735B86"/>
    <w:rsid w:val="00745E66"/>
    <w:rsid w:val="00761396"/>
    <w:rsid w:val="0077203C"/>
    <w:rsid w:val="00784F7A"/>
    <w:rsid w:val="007A5649"/>
    <w:rsid w:val="007B2E8E"/>
    <w:rsid w:val="007B483A"/>
    <w:rsid w:val="007C60E4"/>
    <w:rsid w:val="007D3AA2"/>
    <w:rsid w:val="007E45F7"/>
    <w:rsid w:val="007E73D6"/>
    <w:rsid w:val="007F2A0D"/>
    <w:rsid w:val="00821E93"/>
    <w:rsid w:val="008327ED"/>
    <w:rsid w:val="0084301B"/>
    <w:rsid w:val="00845354"/>
    <w:rsid w:val="00847AE8"/>
    <w:rsid w:val="00864B32"/>
    <w:rsid w:val="00865E3E"/>
    <w:rsid w:val="008E590D"/>
    <w:rsid w:val="008E6451"/>
    <w:rsid w:val="00904AAB"/>
    <w:rsid w:val="009247DC"/>
    <w:rsid w:val="00944854"/>
    <w:rsid w:val="00945D39"/>
    <w:rsid w:val="00986982"/>
    <w:rsid w:val="009C0F5F"/>
    <w:rsid w:val="009C1B0D"/>
    <w:rsid w:val="009C5C60"/>
    <w:rsid w:val="009D0F40"/>
    <w:rsid w:val="009E0B57"/>
    <w:rsid w:val="009E2E02"/>
    <w:rsid w:val="009E436E"/>
    <w:rsid w:val="009F1DE2"/>
    <w:rsid w:val="00A01F00"/>
    <w:rsid w:val="00A1185A"/>
    <w:rsid w:val="00A13FCB"/>
    <w:rsid w:val="00A367DA"/>
    <w:rsid w:val="00A5777C"/>
    <w:rsid w:val="00A60AD1"/>
    <w:rsid w:val="00A66F3F"/>
    <w:rsid w:val="00A87AE2"/>
    <w:rsid w:val="00AA058F"/>
    <w:rsid w:val="00AA1F80"/>
    <w:rsid w:val="00AB06E2"/>
    <w:rsid w:val="00AC1091"/>
    <w:rsid w:val="00AE1E2E"/>
    <w:rsid w:val="00AE5A6C"/>
    <w:rsid w:val="00AE68D3"/>
    <w:rsid w:val="00AF7E73"/>
    <w:rsid w:val="00B038F4"/>
    <w:rsid w:val="00B05E44"/>
    <w:rsid w:val="00B21E67"/>
    <w:rsid w:val="00B26654"/>
    <w:rsid w:val="00B402BF"/>
    <w:rsid w:val="00B47768"/>
    <w:rsid w:val="00B52BC5"/>
    <w:rsid w:val="00B55E4F"/>
    <w:rsid w:val="00BA63EE"/>
    <w:rsid w:val="00BD1B4D"/>
    <w:rsid w:val="00BD4B44"/>
    <w:rsid w:val="00BE02EF"/>
    <w:rsid w:val="00BE0CDB"/>
    <w:rsid w:val="00C05085"/>
    <w:rsid w:val="00C105BE"/>
    <w:rsid w:val="00C12605"/>
    <w:rsid w:val="00C17D0D"/>
    <w:rsid w:val="00C31DE7"/>
    <w:rsid w:val="00C4187C"/>
    <w:rsid w:val="00C518A8"/>
    <w:rsid w:val="00C5358B"/>
    <w:rsid w:val="00C56367"/>
    <w:rsid w:val="00C63FEC"/>
    <w:rsid w:val="00C6649D"/>
    <w:rsid w:val="00CA1DD0"/>
    <w:rsid w:val="00CA284A"/>
    <w:rsid w:val="00CB5211"/>
    <w:rsid w:val="00CE7856"/>
    <w:rsid w:val="00D50372"/>
    <w:rsid w:val="00D87B03"/>
    <w:rsid w:val="00D90630"/>
    <w:rsid w:val="00DB12BB"/>
    <w:rsid w:val="00DB36EA"/>
    <w:rsid w:val="00DC0A07"/>
    <w:rsid w:val="00DD7501"/>
    <w:rsid w:val="00E05FFF"/>
    <w:rsid w:val="00E21709"/>
    <w:rsid w:val="00E26369"/>
    <w:rsid w:val="00E27E99"/>
    <w:rsid w:val="00E36D9C"/>
    <w:rsid w:val="00E403A5"/>
    <w:rsid w:val="00E53AEF"/>
    <w:rsid w:val="00E5519A"/>
    <w:rsid w:val="00E576A6"/>
    <w:rsid w:val="00E7287C"/>
    <w:rsid w:val="00E76ADF"/>
    <w:rsid w:val="00E96271"/>
    <w:rsid w:val="00EA5CA5"/>
    <w:rsid w:val="00EB5C89"/>
    <w:rsid w:val="00EB6A85"/>
    <w:rsid w:val="00ED07E7"/>
    <w:rsid w:val="00EE041B"/>
    <w:rsid w:val="00EE25D8"/>
    <w:rsid w:val="00EE4159"/>
    <w:rsid w:val="00EF5B51"/>
    <w:rsid w:val="00EF7A73"/>
    <w:rsid w:val="00F034A6"/>
    <w:rsid w:val="00F118FA"/>
    <w:rsid w:val="00F27785"/>
    <w:rsid w:val="00F33069"/>
    <w:rsid w:val="00F67053"/>
    <w:rsid w:val="00F679EF"/>
    <w:rsid w:val="00F87346"/>
    <w:rsid w:val="00F93CB1"/>
    <w:rsid w:val="00FA56A1"/>
    <w:rsid w:val="00FB4133"/>
    <w:rsid w:val="00FD1AD1"/>
    <w:rsid w:val="00FD7829"/>
    <w:rsid w:val="00FE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82DE5B"/>
  <w15:docId w15:val="{10EAE516-E22A-4D7C-8C12-EFE21CC7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785"/>
    <w:pPr>
      <w:spacing w:after="0" w:line="276" w:lineRule="auto"/>
    </w:pPr>
    <w:rPr>
      <w:rFonts w:ascii="Arial" w:eastAsia="Arial" w:hAnsi="Arial" w:cs="Arial"/>
      <w:color w:val="000000"/>
      <w:szCs w:val="20"/>
      <w:lang w:val="pt-PT" w:eastAsia="pt-PT"/>
    </w:rPr>
  </w:style>
  <w:style w:type="paragraph" w:styleId="Heading1">
    <w:name w:val="heading 1"/>
    <w:basedOn w:val="Normal"/>
    <w:next w:val="Normal"/>
    <w:link w:val="Heading1Char"/>
    <w:uiPriority w:val="9"/>
    <w:qFormat/>
    <w:rsid w:val="00F2778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785"/>
    <w:rPr>
      <w:rFonts w:asciiTheme="majorHAnsi" w:eastAsiaTheme="majorEastAsia" w:hAnsiTheme="majorHAnsi" w:cstheme="majorBidi"/>
      <w:color w:val="2F5496" w:themeColor="accent1" w:themeShade="BF"/>
      <w:sz w:val="32"/>
      <w:szCs w:val="32"/>
    </w:rPr>
  </w:style>
  <w:style w:type="paragraph" w:customStyle="1" w:styleId="Cabealho1">
    <w:name w:val="Cabeçalho 1"/>
    <w:basedOn w:val="Normal1"/>
    <w:next w:val="Normal1"/>
    <w:rsid w:val="00F27785"/>
    <w:pPr>
      <w:keepNext/>
      <w:keepLines/>
      <w:spacing w:before="200"/>
      <w:contextualSpacing/>
      <w:outlineLvl w:val="0"/>
    </w:pPr>
    <w:rPr>
      <w:rFonts w:ascii="Trebuchet MS" w:eastAsia="Trebuchet MS" w:hAnsi="Trebuchet MS" w:cs="Trebuchet MS"/>
      <w:sz w:val="32"/>
    </w:rPr>
  </w:style>
  <w:style w:type="paragraph" w:customStyle="1" w:styleId="Cabealho2">
    <w:name w:val="Cabeçalho 2"/>
    <w:basedOn w:val="Normal1"/>
    <w:next w:val="Normal1"/>
    <w:rsid w:val="00F27785"/>
    <w:pPr>
      <w:keepNext/>
      <w:keepLines/>
      <w:spacing w:before="200"/>
      <w:contextualSpacing/>
      <w:outlineLvl w:val="1"/>
    </w:pPr>
    <w:rPr>
      <w:rFonts w:ascii="Trebuchet MS" w:eastAsia="Trebuchet MS" w:hAnsi="Trebuchet MS" w:cs="Trebuchet MS"/>
      <w:b/>
      <w:sz w:val="26"/>
    </w:rPr>
  </w:style>
  <w:style w:type="paragraph" w:customStyle="1" w:styleId="Cabealho3">
    <w:name w:val="Cabeçalho 3"/>
    <w:basedOn w:val="Normal1"/>
    <w:next w:val="Normal1"/>
    <w:rsid w:val="00F27785"/>
    <w:pPr>
      <w:keepNext/>
      <w:keepLines/>
      <w:spacing w:before="160"/>
      <w:contextualSpacing/>
      <w:outlineLvl w:val="2"/>
    </w:pPr>
    <w:rPr>
      <w:rFonts w:ascii="Trebuchet MS" w:eastAsia="Trebuchet MS" w:hAnsi="Trebuchet MS" w:cs="Trebuchet MS"/>
      <w:b/>
      <w:color w:val="666666"/>
      <w:sz w:val="24"/>
    </w:rPr>
  </w:style>
  <w:style w:type="paragraph" w:customStyle="1" w:styleId="Cabealho4">
    <w:name w:val="Cabeçalho 4"/>
    <w:basedOn w:val="Normal1"/>
    <w:next w:val="Normal1"/>
    <w:rsid w:val="00F27785"/>
    <w:pPr>
      <w:keepNext/>
      <w:keepLines/>
      <w:spacing w:before="160"/>
      <w:contextualSpacing/>
      <w:outlineLvl w:val="3"/>
    </w:pPr>
    <w:rPr>
      <w:rFonts w:ascii="Trebuchet MS" w:eastAsia="Trebuchet MS" w:hAnsi="Trebuchet MS" w:cs="Trebuchet MS"/>
      <w:color w:val="666666"/>
      <w:u w:val="single"/>
    </w:rPr>
  </w:style>
  <w:style w:type="paragraph" w:customStyle="1" w:styleId="Cabealho5">
    <w:name w:val="Cabeçalho 5"/>
    <w:basedOn w:val="Normal1"/>
    <w:next w:val="Normal1"/>
    <w:rsid w:val="00F27785"/>
    <w:pPr>
      <w:keepNext/>
      <w:keepLines/>
      <w:spacing w:before="160"/>
      <w:contextualSpacing/>
      <w:outlineLvl w:val="4"/>
    </w:pPr>
    <w:rPr>
      <w:rFonts w:ascii="Trebuchet MS" w:eastAsia="Trebuchet MS" w:hAnsi="Trebuchet MS" w:cs="Trebuchet MS"/>
      <w:color w:val="666666"/>
    </w:rPr>
  </w:style>
  <w:style w:type="paragraph" w:customStyle="1" w:styleId="Cabealho6">
    <w:name w:val="Cabeçalho 6"/>
    <w:basedOn w:val="Normal1"/>
    <w:next w:val="Normal1"/>
    <w:rsid w:val="00F27785"/>
    <w:pPr>
      <w:keepNext/>
      <w:keepLines/>
      <w:spacing w:before="160"/>
      <w:contextualSpacing/>
      <w:outlineLvl w:val="5"/>
    </w:pPr>
    <w:rPr>
      <w:rFonts w:ascii="Trebuchet MS" w:eastAsia="Trebuchet MS" w:hAnsi="Trebuchet MS" w:cs="Trebuchet MS"/>
      <w:i/>
      <w:color w:val="666666"/>
    </w:rPr>
  </w:style>
  <w:style w:type="paragraph" w:customStyle="1" w:styleId="Normal1">
    <w:name w:val="Normal1"/>
    <w:rsid w:val="00F27785"/>
    <w:pPr>
      <w:spacing w:after="0" w:line="276" w:lineRule="auto"/>
    </w:pPr>
    <w:rPr>
      <w:rFonts w:ascii="Arial" w:eastAsia="Arial" w:hAnsi="Arial" w:cs="Arial"/>
      <w:color w:val="000000"/>
      <w:szCs w:val="20"/>
      <w:lang w:val="pt-PT" w:eastAsia="pt-PT"/>
    </w:rPr>
  </w:style>
  <w:style w:type="table" w:customStyle="1" w:styleId="TableNormal1">
    <w:name w:val="Table Normal1"/>
    <w:rsid w:val="00F27785"/>
    <w:pPr>
      <w:spacing w:after="0" w:line="276" w:lineRule="auto"/>
    </w:pPr>
    <w:rPr>
      <w:rFonts w:ascii="Arial" w:eastAsia="Arial" w:hAnsi="Arial" w:cs="Arial"/>
      <w:color w:val="000000"/>
      <w:szCs w:val="20"/>
      <w:lang w:val="pt-PT" w:eastAsia="pt-PT"/>
    </w:rPr>
    <w:tblPr>
      <w:tblCellMar>
        <w:top w:w="0" w:type="dxa"/>
        <w:left w:w="0" w:type="dxa"/>
        <w:bottom w:w="0" w:type="dxa"/>
        <w:right w:w="0" w:type="dxa"/>
      </w:tblCellMar>
    </w:tblPr>
  </w:style>
  <w:style w:type="paragraph" w:styleId="Title">
    <w:name w:val="Title"/>
    <w:basedOn w:val="Normal1"/>
    <w:next w:val="Normal1"/>
    <w:link w:val="TitleChar"/>
    <w:rsid w:val="00F27785"/>
    <w:pPr>
      <w:keepNext/>
      <w:keepLines/>
      <w:contextualSpacing/>
    </w:pPr>
    <w:rPr>
      <w:rFonts w:ascii="Trebuchet MS" w:eastAsia="Trebuchet MS" w:hAnsi="Trebuchet MS" w:cs="Trebuchet MS"/>
      <w:sz w:val="42"/>
    </w:rPr>
  </w:style>
  <w:style w:type="character" w:customStyle="1" w:styleId="TitleChar">
    <w:name w:val="Title Char"/>
    <w:basedOn w:val="DefaultParagraphFont"/>
    <w:link w:val="Title"/>
    <w:rsid w:val="00F27785"/>
    <w:rPr>
      <w:rFonts w:ascii="Trebuchet MS" w:eastAsia="Trebuchet MS" w:hAnsi="Trebuchet MS" w:cs="Trebuchet MS"/>
      <w:color w:val="000000"/>
      <w:sz w:val="42"/>
      <w:szCs w:val="20"/>
      <w:lang w:val="pt-PT" w:eastAsia="pt-PT"/>
    </w:rPr>
  </w:style>
  <w:style w:type="paragraph" w:styleId="Subtitle">
    <w:name w:val="Subtitle"/>
    <w:basedOn w:val="Normal1"/>
    <w:next w:val="Normal1"/>
    <w:link w:val="SubtitleChar"/>
    <w:rsid w:val="00F27785"/>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F27785"/>
    <w:rPr>
      <w:rFonts w:ascii="Trebuchet MS" w:eastAsia="Trebuchet MS" w:hAnsi="Trebuchet MS" w:cs="Trebuchet MS"/>
      <w:i/>
      <w:color w:val="666666"/>
      <w:sz w:val="26"/>
      <w:szCs w:val="20"/>
      <w:lang w:val="pt-PT" w:eastAsia="pt-PT"/>
    </w:rPr>
  </w:style>
  <w:style w:type="paragraph" w:styleId="Revision">
    <w:name w:val="Revision"/>
    <w:hidden/>
    <w:uiPriority w:val="99"/>
    <w:semiHidden/>
    <w:rsid w:val="00F27785"/>
    <w:pPr>
      <w:spacing w:after="0" w:line="240" w:lineRule="auto"/>
    </w:pPr>
    <w:rPr>
      <w:rFonts w:ascii="Arial" w:eastAsia="Arial" w:hAnsi="Arial" w:cs="Arial"/>
      <w:color w:val="000000"/>
      <w:szCs w:val="20"/>
      <w:lang w:val="pt-PT" w:eastAsia="pt-PT"/>
    </w:rPr>
  </w:style>
  <w:style w:type="paragraph" w:styleId="BalloonText">
    <w:name w:val="Balloon Text"/>
    <w:basedOn w:val="Normal"/>
    <w:link w:val="BalloonTextChar"/>
    <w:uiPriority w:val="99"/>
    <w:semiHidden/>
    <w:unhideWhenUsed/>
    <w:rsid w:val="00F277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85"/>
    <w:rPr>
      <w:rFonts w:ascii="Tahoma" w:eastAsia="Arial" w:hAnsi="Tahoma" w:cs="Tahoma"/>
      <w:color w:val="000000"/>
      <w:sz w:val="16"/>
      <w:szCs w:val="16"/>
      <w:lang w:val="pt-PT" w:eastAsia="pt-PT"/>
    </w:rPr>
  </w:style>
  <w:style w:type="character" w:styleId="CommentReference">
    <w:name w:val="annotation reference"/>
    <w:uiPriority w:val="99"/>
    <w:semiHidden/>
    <w:unhideWhenUsed/>
    <w:rsid w:val="00F27785"/>
    <w:rPr>
      <w:sz w:val="16"/>
      <w:szCs w:val="16"/>
    </w:rPr>
  </w:style>
  <w:style w:type="paragraph" w:styleId="CommentText">
    <w:name w:val="annotation text"/>
    <w:basedOn w:val="Normal"/>
    <w:link w:val="CommentTextChar"/>
    <w:uiPriority w:val="99"/>
    <w:semiHidden/>
    <w:unhideWhenUsed/>
    <w:rsid w:val="00F27785"/>
    <w:pPr>
      <w:spacing w:line="240" w:lineRule="auto"/>
    </w:pPr>
    <w:rPr>
      <w:sz w:val="20"/>
    </w:rPr>
  </w:style>
  <w:style w:type="character" w:customStyle="1" w:styleId="CommentTextChar">
    <w:name w:val="Comment Text Char"/>
    <w:basedOn w:val="DefaultParagraphFont"/>
    <w:link w:val="CommentText"/>
    <w:uiPriority w:val="99"/>
    <w:semiHidden/>
    <w:rsid w:val="00F27785"/>
    <w:rPr>
      <w:rFonts w:ascii="Arial" w:eastAsia="Arial" w:hAnsi="Arial" w:cs="Arial"/>
      <w:color w:val="000000"/>
      <w:sz w:val="20"/>
      <w:szCs w:val="20"/>
      <w:lang w:val="pt-PT" w:eastAsia="pt-PT"/>
    </w:rPr>
  </w:style>
  <w:style w:type="paragraph" w:styleId="CommentSubject">
    <w:name w:val="annotation subject"/>
    <w:basedOn w:val="CommentText"/>
    <w:next w:val="CommentText"/>
    <w:link w:val="CommentSubjectChar"/>
    <w:uiPriority w:val="99"/>
    <w:semiHidden/>
    <w:unhideWhenUsed/>
    <w:rsid w:val="00F27785"/>
    <w:rPr>
      <w:b/>
      <w:bCs/>
    </w:rPr>
  </w:style>
  <w:style w:type="character" w:customStyle="1" w:styleId="CommentSubjectChar">
    <w:name w:val="Comment Subject Char"/>
    <w:basedOn w:val="CommentTextChar"/>
    <w:link w:val="CommentSubject"/>
    <w:uiPriority w:val="99"/>
    <w:semiHidden/>
    <w:rsid w:val="00F27785"/>
    <w:rPr>
      <w:rFonts w:ascii="Arial" w:eastAsia="Arial" w:hAnsi="Arial" w:cs="Arial"/>
      <w:b/>
      <w:bCs/>
      <w:color w:val="000000"/>
      <w:sz w:val="20"/>
      <w:szCs w:val="20"/>
      <w:lang w:val="pt-PT" w:eastAsia="pt-PT"/>
    </w:rPr>
  </w:style>
  <w:style w:type="table" w:customStyle="1" w:styleId="PlainTable21">
    <w:name w:val="Plain Table 21"/>
    <w:basedOn w:val="TableNormal"/>
    <w:uiPriority w:val="42"/>
    <w:rsid w:val="00F27785"/>
    <w:pPr>
      <w:spacing w:after="0" w:line="240" w:lineRule="auto"/>
    </w:pPr>
    <w:rPr>
      <w:lang w:val="pt-P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2778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27785"/>
    <w:pPr>
      <w:tabs>
        <w:tab w:val="center" w:pos="4252"/>
        <w:tab w:val="right" w:pos="8504"/>
      </w:tabs>
      <w:spacing w:line="240" w:lineRule="auto"/>
    </w:pPr>
  </w:style>
  <w:style w:type="character" w:customStyle="1" w:styleId="HeaderChar">
    <w:name w:val="Header Char"/>
    <w:basedOn w:val="DefaultParagraphFont"/>
    <w:link w:val="Header"/>
    <w:uiPriority w:val="99"/>
    <w:rsid w:val="00F27785"/>
    <w:rPr>
      <w:rFonts w:ascii="Arial" w:eastAsia="Arial" w:hAnsi="Arial" w:cs="Arial"/>
      <w:color w:val="000000"/>
      <w:szCs w:val="20"/>
      <w:lang w:val="pt-PT" w:eastAsia="pt-PT"/>
    </w:rPr>
  </w:style>
  <w:style w:type="paragraph" w:styleId="Bibliography">
    <w:name w:val="Bibliography"/>
    <w:basedOn w:val="Normal"/>
    <w:next w:val="Normal"/>
    <w:uiPriority w:val="37"/>
    <w:unhideWhenUsed/>
    <w:rsid w:val="00F27785"/>
  </w:style>
  <w:style w:type="paragraph" w:styleId="ListParagraph">
    <w:name w:val="List Paragraph"/>
    <w:basedOn w:val="Normal"/>
    <w:uiPriority w:val="34"/>
    <w:qFormat/>
    <w:rsid w:val="00F27785"/>
    <w:pPr>
      <w:ind w:left="720"/>
      <w:contextualSpacing/>
    </w:pPr>
  </w:style>
  <w:style w:type="table" w:styleId="TableGrid">
    <w:name w:val="Table Grid"/>
    <w:basedOn w:val="TableNormal"/>
    <w:uiPriority w:val="39"/>
    <w:rsid w:val="00F27785"/>
    <w:pPr>
      <w:spacing w:after="0" w:line="240" w:lineRule="auto"/>
    </w:pPr>
    <w:rPr>
      <w:rFonts w:eastAsiaTheme="minorEastAsia"/>
      <w:sz w:val="24"/>
      <w:szCs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7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navar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bnavar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8FB9-19BC-4C80-9280-4F34FBB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13</Pages>
  <Words>15778</Words>
  <Characters>89935</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Navarro</dc:creator>
  <cp:keywords/>
  <dc:description/>
  <cp:lastModifiedBy>David Navarro</cp:lastModifiedBy>
  <cp:revision>7</cp:revision>
  <dcterms:created xsi:type="dcterms:W3CDTF">2018-11-24T12:00:00Z</dcterms:created>
  <dcterms:modified xsi:type="dcterms:W3CDTF">2019-01-27T13:21:00Z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http://csl.mendeley.com/styles/26355781/vancouver-4</vt:lpwstr>
  </property>
  <property fmtid="{D5CDD505-2E9C-101B-9397-08002B2CF9AE}" pid="21" name="Mendeley Recent Style Name 9_1">
    <vt:lpwstr>Vancouver - David Navarro</vt:lpwstr>
  </property>
  <property fmtid="{D5CDD505-2E9C-101B-9397-08002B2CF9AE}" pid="22" name="Mendeley Document_1">
    <vt:lpwstr>True</vt:lpwstr>
  </property>
  <property fmtid="{D5CDD505-2E9C-101B-9397-08002B2CF9AE}" pid="23" name="Mendeley Unique User Id_1">
    <vt:lpwstr>199b35b2-f0a9-37b6-a8d6-6c01544e0b26</vt:lpwstr>
  </property>
  <property fmtid="{D5CDD505-2E9C-101B-9397-08002B2CF9AE}" pid="24" name="Mendeley Citation Style_1">
    <vt:lpwstr>http://www.zotero.org/styles/vancouver</vt:lpwstr>
  </property>
</Properties>
</file>