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C6D9C" w14:textId="1969A1B3" w:rsidR="00CD291D" w:rsidRPr="00AB7504" w:rsidRDefault="001445F1" w:rsidP="00A14B97">
      <w:pPr>
        <w:pStyle w:val="SemEspaamento"/>
        <w:spacing w:beforeLines="80" w:before="192" w:afterLines="80" w:after="192" w:line="480" w:lineRule="auto"/>
        <w:jc w:val="both"/>
        <w:rPr>
          <w:rFonts w:cs="Times New Roman"/>
          <w:b/>
          <w:sz w:val="24"/>
          <w:szCs w:val="24"/>
          <w:lang w:val="en-US"/>
        </w:rPr>
      </w:pPr>
      <w:r w:rsidRPr="00AB7504">
        <w:rPr>
          <w:rFonts w:cs="Times New Roman"/>
          <w:b/>
          <w:sz w:val="24"/>
          <w:szCs w:val="24"/>
          <w:lang w:val="en-US"/>
        </w:rPr>
        <w:t>How</w:t>
      </w:r>
      <w:r w:rsidR="009C3615" w:rsidRPr="00AB7504">
        <w:rPr>
          <w:rFonts w:cs="Times New Roman"/>
          <w:b/>
          <w:sz w:val="24"/>
          <w:szCs w:val="24"/>
          <w:lang w:val="en-US"/>
        </w:rPr>
        <w:t xml:space="preserve"> allogeneic</w:t>
      </w:r>
      <w:r w:rsidRPr="00AB7504">
        <w:rPr>
          <w:rFonts w:cs="Times New Roman"/>
          <w:b/>
          <w:sz w:val="24"/>
          <w:szCs w:val="24"/>
          <w:lang w:val="en-US"/>
        </w:rPr>
        <w:t xml:space="preserve"> hematopoietic stem cell transplantation has evolve</w:t>
      </w:r>
      <w:r w:rsidR="006321FC" w:rsidRPr="00AB7504">
        <w:rPr>
          <w:rFonts w:cs="Times New Roman"/>
          <w:b/>
          <w:sz w:val="24"/>
          <w:szCs w:val="24"/>
          <w:lang w:val="en-US"/>
        </w:rPr>
        <w:t xml:space="preserve">d over time </w:t>
      </w:r>
      <w:r w:rsidR="00565161">
        <w:rPr>
          <w:rFonts w:cs="Times New Roman"/>
          <w:b/>
          <w:sz w:val="24"/>
          <w:szCs w:val="24"/>
          <w:lang w:val="en-US"/>
        </w:rPr>
        <w:t>:</w:t>
      </w:r>
      <w:r w:rsidRPr="00AB7504">
        <w:rPr>
          <w:rFonts w:cs="Times New Roman"/>
          <w:b/>
          <w:sz w:val="24"/>
          <w:szCs w:val="24"/>
          <w:lang w:val="en-US"/>
        </w:rPr>
        <w:t xml:space="preserve"> 30-years’ experience at a single institution</w:t>
      </w:r>
      <w:r w:rsidR="00306138">
        <w:rPr>
          <w:rFonts w:cs="Times New Roman"/>
          <w:b/>
          <w:sz w:val="24"/>
          <w:szCs w:val="24"/>
          <w:lang w:val="en-US"/>
        </w:rPr>
        <w:t xml:space="preserve">  </w:t>
      </w:r>
    </w:p>
    <w:p w14:paraId="0BCDFAEC" w14:textId="630811DC" w:rsidR="00766FF6" w:rsidRDefault="00766FF6" w:rsidP="00A14B97">
      <w:pPr>
        <w:spacing w:line="480" w:lineRule="auto"/>
        <w:rPr>
          <w:lang w:val="en-US"/>
        </w:rPr>
      </w:pPr>
      <w:r w:rsidRPr="00ED569A">
        <w:rPr>
          <w:b/>
          <w:lang w:val="en-US"/>
        </w:rPr>
        <w:t>Running title:</w:t>
      </w:r>
      <w:r>
        <w:rPr>
          <w:lang w:val="en-US"/>
        </w:rPr>
        <w:t xml:space="preserve"> 30-years of allogeneic transplantation at a single centre</w:t>
      </w:r>
    </w:p>
    <w:p w14:paraId="352D29EA" w14:textId="77777777" w:rsidR="00766FF6" w:rsidRDefault="00766FF6" w:rsidP="00A14B97">
      <w:pPr>
        <w:spacing w:line="480" w:lineRule="auto"/>
        <w:rPr>
          <w:lang w:val="en-US"/>
        </w:rPr>
      </w:pPr>
    </w:p>
    <w:p w14:paraId="31E1F3E4" w14:textId="16153064" w:rsidR="00766FF6" w:rsidRPr="00ED569A" w:rsidRDefault="00766FF6" w:rsidP="00A14B97">
      <w:pPr>
        <w:spacing w:line="480" w:lineRule="auto"/>
        <w:rPr>
          <w:vertAlign w:val="superscript"/>
        </w:rPr>
      </w:pPr>
      <w:r w:rsidRPr="00ED569A">
        <w:rPr>
          <w:b/>
        </w:rPr>
        <w:t>Authors</w:t>
      </w:r>
      <w:r w:rsidR="00ED569A" w:rsidRPr="00ED569A">
        <w:rPr>
          <w:b/>
        </w:rPr>
        <w:t>:</w:t>
      </w:r>
      <w:r w:rsidR="00ED569A" w:rsidRPr="00ED569A">
        <w:t xml:space="preserve"> </w:t>
      </w:r>
      <w:r w:rsidRPr="00ED569A">
        <w:t>Manuel Abecasis</w:t>
      </w:r>
      <w:r w:rsidR="00ED569A" w:rsidRPr="00ED569A">
        <w:rPr>
          <w:vertAlign w:val="superscript"/>
        </w:rPr>
        <w:t>1</w:t>
      </w:r>
      <w:r w:rsidR="00ED569A" w:rsidRPr="00ED569A">
        <w:t>, Nuno Miranda</w:t>
      </w:r>
      <w:r w:rsidR="00ED569A" w:rsidRPr="00ED569A">
        <w:rPr>
          <w:vertAlign w:val="superscript"/>
        </w:rPr>
        <w:t>1</w:t>
      </w:r>
      <w:r w:rsidR="00ED569A" w:rsidRPr="00ED569A">
        <w:t>, Isabelina Ferreira</w:t>
      </w:r>
      <w:r w:rsidR="00ED569A" w:rsidRPr="00ED569A">
        <w:rPr>
          <w:vertAlign w:val="superscript"/>
        </w:rPr>
        <w:t>1</w:t>
      </w:r>
      <w:r w:rsidR="00ED569A" w:rsidRPr="00ED569A">
        <w:t>, Gilda Teixeira</w:t>
      </w:r>
      <w:r w:rsidR="00ED569A" w:rsidRPr="00ED569A">
        <w:rPr>
          <w:vertAlign w:val="superscript"/>
        </w:rPr>
        <w:t>1</w:t>
      </w:r>
      <w:r w:rsidR="00ED569A" w:rsidRPr="00ED569A">
        <w:t>, Filipa Moita</w:t>
      </w:r>
      <w:r w:rsidR="00ED569A" w:rsidRPr="00ED569A">
        <w:rPr>
          <w:vertAlign w:val="superscript"/>
        </w:rPr>
        <w:t>1</w:t>
      </w:r>
      <w:r w:rsidR="00ED569A" w:rsidRPr="00ED569A">
        <w:t>, Fernando Leal da Costa</w:t>
      </w:r>
      <w:r w:rsidR="00ED569A" w:rsidRPr="00ED569A">
        <w:rPr>
          <w:vertAlign w:val="superscript"/>
        </w:rPr>
        <w:t>1</w:t>
      </w:r>
      <w:r w:rsidR="00ED569A" w:rsidRPr="00ED569A">
        <w:t>, Maria Jo</w:t>
      </w:r>
      <w:r w:rsidR="00ED569A">
        <w:t>ão Gutierrez</w:t>
      </w:r>
      <w:r w:rsidR="00ED569A" w:rsidRPr="00ED569A">
        <w:rPr>
          <w:vertAlign w:val="superscript"/>
        </w:rPr>
        <w:t>1</w:t>
      </w:r>
      <w:r w:rsidR="00ED569A">
        <w:t>, Carla Espadinha</w:t>
      </w:r>
      <w:r w:rsidR="00ED569A" w:rsidRPr="00ED569A">
        <w:rPr>
          <w:vertAlign w:val="superscript"/>
        </w:rPr>
        <w:t>1</w:t>
      </w:r>
      <w:r w:rsidR="00ED569A">
        <w:t>, Susana Esteves</w:t>
      </w:r>
      <w:r w:rsidR="00ED569A">
        <w:rPr>
          <w:vertAlign w:val="superscript"/>
        </w:rPr>
        <w:t>2</w:t>
      </w:r>
    </w:p>
    <w:p w14:paraId="30F06CD4" w14:textId="64F41FE2" w:rsidR="00ED569A" w:rsidRPr="00ED569A" w:rsidRDefault="00ED569A" w:rsidP="00A14B97">
      <w:pPr>
        <w:spacing w:line="480" w:lineRule="auto"/>
      </w:pPr>
      <w:r w:rsidRPr="00ED569A">
        <w:rPr>
          <w:vertAlign w:val="superscript"/>
        </w:rPr>
        <w:t>1</w:t>
      </w:r>
      <w:r>
        <w:rPr>
          <w:vertAlign w:val="superscript"/>
        </w:rPr>
        <w:t xml:space="preserve"> </w:t>
      </w:r>
      <w:r>
        <w:t>Bone Marrow Transplantation Service, Instituto Português de Oncologia de Lisboa Francisco Gentil</w:t>
      </w:r>
    </w:p>
    <w:p w14:paraId="409883EE" w14:textId="482E8CB0" w:rsidR="00ED569A" w:rsidRPr="00ED569A" w:rsidRDefault="00ED569A" w:rsidP="00A14B97">
      <w:pPr>
        <w:spacing w:line="480" w:lineRule="auto"/>
      </w:pPr>
      <w:r>
        <w:rPr>
          <w:vertAlign w:val="superscript"/>
        </w:rPr>
        <w:t>2</w:t>
      </w:r>
      <w:r>
        <w:t xml:space="preserve"> Clinical Research Unit, Instituto Português de Oncologia de Lisboa Francisco Gentil</w:t>
      </w:r>
    </w:p>
    <w:p w14:paraId="1E6CFD8F" w14:textId="77777777" w:rsidR="00766FF6" w:rsidRPr="00ED569A" w:rsidRDefault="00766FF6" w:rsidP="00A14B97">
      <w:pPr>
        <w:spacing w:line="480" w:lineRule="auto"/>
      </w:pPr>
    </w:p>
    <w:p w14:paraId="62775E7A" w14:textId="162AE4C0" w:rsidR="00766FF6" w:rsidRPr="00D45CD4" w:rsidRDefault="00766FF6" w:rsidP="00A14B97">
      <w:pPr>
        <w:spacing w:line="480" w:lineRule="auto"/>
        <w:rPr>
          <w:lang w:val="en-US"/>
        </w:rPr>
      </w:pPr>
      <w:r w:rsidRPr="00D45CD4">
        <w:rPr>
          <w:b/>
          <w:lang w:val="en-US"/>
        </w:rPr>
        <w:t>Corresponding author:</w:t>
      </w:r>
      <w:r w:rsidR="00ED569A" w:rsidRPr="00D45CD4">
        <w:rPr>
          <w:lang w:val="en-US"/>
        </w:rPr>
        <w:t xml:space="preserve"> Manuel Abecasis</w:t>
      </w:r>
      <w:r w:rsidR="00D45CD4" w:rsidRPr="00D45CD4">
        <w:rPr>
          <w:lang w:val="en-US"/>
        </w:rPr>
        <w:t>, MD PhD</w:t>
      </w:r>
    </w:p>
    <w:p w14:paraId="4F885C52" w14:textId="35D48874" w:rsidR="00ED569A" w:rsidRDefault="00ED569A" w:rsidP="00A14B97">
      <w:pPr>
        <w:spacing w:line="480" w:lineRule="auto"/>
      </w:pPr>
      <w:r>
        <w:t>Bone Marrow Transplantation Service, Instituto Português de Oncologia de Lisboa Francisco Gentil, Rua Professor Lima Basto, 1099-023, Lisboa – Portugal</w:t>
      </w:r>
    </w:p>
    <w:p w14:paraId="6C207952" w14:textId="3D4A94A6" w:rsidR="00ED569A" w:rsidRPr="005B58B3" w:rsidRDefault="00ED569A" w:rsidP="00A14B97">
      <w:pPr>
        <w:spacing w:line="480" w:lineRule="auto"/>
        <w:rPr>
          <w:lang w:val="en-US"/>
        </w:rPr>
      </w:pPr>
      <w:r w:rsidRPr="005B58B3">
        <w:rPr>
          <w:lang w:val="en-US"/>
        </w:rPr>
        <w:t xml:space="preserve">+351 21722 9864; </w:t>
      </w:r>
      <w:hyperlink r:id="rId8" w:history="1">
        <w:r w:rsidRPr="005B58B3">
          <w:rPr>
            <w:rStyle w:val="Hiperligao"/>
            <w:lang w:val="en-US"/>
          </w:rPr>
          <w:t>mabecasis@ipolisboa.min-saude.pt</w:t>
        </w:r>
      </w:hyperlink>
    </w:p>
    <w:p w14:paraId="1F4E5CCC" w14:textId="77777777" w:rsidR="00766FF6" w:rsidRPr="005B58B3" w:rsidRDefault="00766FF6" w:rsidP="00A14B97">
      <w:pPr>
        <w:spacing w:line="480" w:lineRule="auto"/>
        <w:rPr>
          <w:lang w:val="en-US"/>
        </w:rPr>
      </w:pPr>
    </w:p>
    <w:p w14:paraId="42D40135" w14:textId="159868F7" w:rsidR="00766FF6" w:rsidRPr="005B58B3" w:rsidRDefault="00766FF6" w:rsidP="00BD34CC">
      <w:pPr>
        <w:spacing w:line="480" w:lineRule="auto"/>
        <w:rPr>
          <w:b/>
          <w:lang w:val="en-US"/>
        </w:rPr>
      </w:pPr>
      <w:r w:rsidRPr="00D45CD4">
        <w:rPr>
          <w:b/>
          <w:lang w:val="en-US"/>
        </w:rPr>
        <w:t>Competing interests sta</w:t>
      </w:r>
      <w:r w:rsidR="00D45CD4" w:rsidRPr="00D45CD4">
        <w:rPr>
          <w:b/>
          <w:lang w:val="en-US"/>
        </w:rPr>
        <w:t>te</w:t>
      </w:r>
      <w:r w:rsidRPr="00D45CD4">
        <w:rPr>
          <w:b/>
          <w:lang w:val="en-US"/>
        </w:rPr>
        <w:t>ment</w:t>
      </w:r>
      <w:r w:rsidR="00ED569A" w:rsidRPr="00D45CD4">
        <w:rPr>
          <w:b/>
          <w:lang w:val="en-US"/>
        </w:rPr>
        <w:t>:</w:t>
      </w:r>
      <w:r w:rsidR="00ED569A" w:rsidRPr="00D45CD4">
        <w:rPr>
          <w:lang w:val="en-US"/>
        </w:rPr>
        <w:t xml:space="preserve"> </w:t>
      </w:r>
      <w:r w:rsidR="00D45CD4" w:rsidRPr="00D45CD4">
        <w:rPr>
          <w:lang w:val="en-US"/>
        </w:rPr>
        <w:t>No</w:t>
      </w:r>
      <w:r w:rsidR="00D45CD4">
        <w:rPr>
          <w:lang w:val="en-US"/>
        </w:rPr>
        <w:t xml:space="preserve"> competing interests to disclose.</w:t>
      </w:r>
      <w:r w:rsidRPr="005B58B3">
        <w:rPr>
          <w:b/>
          <w:lang w:val="en-US"/>
        </w:rPr>
        <w:br w:type="page"/>
      </w:r>
    </w:p>
    <w:p w14:paraId="09BBFEAC" w14:textId="51D5C8B9" w:rsidR="00766FF6" w:rsidRDefault="00565161" w:rsidP="00766FF6">
      <w:pPr>
        <w:spacing w:before="80" w:after="80" w:line="480" w:lineRule="auto"/>
        <w:jc w:val="both"/>
        <w:rPr>
          <w:rFonts w:ascii="Times New Roman" w:hAnsi="Times New Roman" w:cs="Times New Roman"/>
          <w:b/>
          <w:sz w:val="24"/>
          <w:szCs w:val="24"/>
          <w:lang w:val="en-US"/>
        </w:rPr>
      </w:pPr>
      <w:r w:rsidRPr="00565161">
        <w:rPr>
          <w:rFonts w:ascii="Times New Roman" w:hAnsi="Times New Roman" w:cs="Times New Roman"/>
          <w:b/>
          <w:sz w:val="24"/>
          <w:szCs w:val="24"/>
          <w:lang w:val="en-US"/>
        </w:rPr>
        <w:lastRenderedPageBreak/>
        <w:t>How allogeneic hematopoietic stem cell transplantation h</w:t>
      </w:r>
      <w:r w:rsidR="00EF158A">
        <w:rPr>
          <w:rFonts w:ascii="Times New Roman" w:hAnsi="Times New Roman" w:cs="Times New Roman"/>
          <w:b/>
          <w:sz w:val="24"/>
          <w:szCs w:val="24"/>
          <w:lang w:val="en-US"/>
        </w:rPr>
        <w:t xml:space="preserve">as evolved over time: 30-year’s </w:t>
      </w:r>
      <w:r w:rsidRPr="00565161">
        <w:rPr>
          <w:rFonts w:ascii="Times New Roman" w:hAnsi="Times New Roman" w:cs="Times New Roman"/>
          <w:b/>
          <w:sz w:val="24"/>
          <w:szCs w:val="24"/>
          <w:lang w:val="en-US"/>
        </w:rPr>
        <w:t>experience from a single institution</w:t>
      </w:r>
    </w:p>
    <w:p w14:paraId="40C95257" w14:textId="775DAC8F" w:rsidR="00565161" w:rsidRPr="00565161" w:rsidRDefault="00565161" w:rsidP="00766FF6">
      <w:pPr>
        <w:spacing w:before="80" w:after="80" w:line="480" w:lineRule="auto"/>
        <w:jc w:val="both"/>
        <w:rPr>
          <w:rFonts w:ascii="Times New Roman" w:hAnsi="Times New Roman" w:cs="Times New Roman"/>
          <w:b/>
          <w:sz w:val="24"/>
          <w:szCs w:val="24"/>
        </w:rPr>
      </w:pPr>
      <w:r w:rsidRPr="00565161">
        <w:rPr>
          <w:rFonts w:ascii="Times New Roman" w:hAnsi="Times New Roman" w:cs="Times New Roman"/>
          <w:b/>
          <w:sz w:val="24"/>
          <w:szCs w:val="24"/>
        </w:rPr>
        <w:t xml:space="preserve">Resumo </w:t>
      </w:r>
    </w:p>
    <w:p w14:paraId="63464268" w14:textId="39DC3784" w:rsidR="00565161" w:rsidRPr="00565161" w:rsidRDefault="00565161" w:rsidP="00766FF6">
      <w:pPr>
        <w:spacing w:before="80" w:after="80" w:line="480" w:lineRule="auto"/>
        <w:jc w:val="both"/>
        <w:rPr>
          <w:rFonts w:ascii="Times New Roman" w:hAnsi="Times New Roman" w:cs="Times New Roman"/>
          <w:b/>
          <w:sz w:val="24"/>
          <w:szCs w:val="24"/>
        </w:rPr>
      </w:pPr>
      <w:r w:rsidRPr="00565161">
        <w:rPr>
          <w:rFonts w:ascii="Times New Roman" w:hAnsi="Times New Roman" w:cs="Times New Roman"/>
          <w:b/>
          <w:sz w:val="24"/>
          <w:szCs w:val="24"/>
        </w:rPr>
        <w:t>Introdução</w:t>
      </w:r>
    </w:p>
    <w:p w14:paraId="2FB0F82C" w14:textId="04641850" w:rsidR="00565161" w:rsidRDefault="00565161" w:rsidP="00766FF6">
      <w:pPr>
        <w:spacing w:before="80" w:after="80" w:line="480" w:lineRule="auto"/>
        <w:jc w:val="both"/>
        <w:rPr>
          <w:rFonts w:ascii="Times New Roman" w:hAnsi="Times New Roman" w:cs="Times New Roman"/>
          <w:sz w:val="24"/>
          <w:szCs w:val="24"/>
        </w:rPr>
      </w:pPr>
      <w:r w:rsidRPr="00565161">
        <w:rPr>
          <w:rFonts w:ascii="Times New Roman" w:hAnsi="Times New Roman" w:cs="Times New Roman"/>
          <w:sz w:val="24"/>
          <w:szCs w:val="24"/>
        </w:rPr>
        <w:t>A transplantação alogénica de c</w:t>
      </w:r>
      <w:r>
        <w:rPr>
          <w:rFonts w:ascii="Times New Roman" w:hAnsi="Times New Roman" w:cs="Times New Roman"/>
          <w:sz w:val="24"/>
          <w:szCs w:val="24"/>
        </w:rPr>
        <w:t>élulas hematopoiéticas é utilizada regularmente no tratamento de uma grande variedade de doenças hematológicas. O nosso programa de transplantação teve in</w:t>
      </w:r>
      <w:r w:rsidR="00385F4E">
        <w:rPr>
          <w:rFonts w:ascii="Times New Roman" w:hAnsi="Times New Roman" w:cs="Times New Roman"/>
          <w:sz w:val="24"/>
          <w:szCs w:val="24"/>
        </w:rPr>
        <w:t>í</w:t>
      </w:r>
      <w:r>
        <w:rPr>
          <w:rFonts w:ascii="Times New Roman" w:hAnsi="Times New Roman" w:cs="Times New Roman"/>
          <w:sz w:val="24"/>
          <w:szCs w:val="24"/>
        </w:rPr>
        <w:t>cio em 1987 e desde então têm sido numerosos os avanços nesta área. Este estudo foi conduzido para avaliar se as alterações introduzidas ao longo de 30 anos melhoraram os resultados obtidos</w:t>
      </w:r>
    </w:p>
    <w:p w14:paraId="078DA445" w14:textId="64762BCD" w:rsidR="00565161" w:rsidRDefault="00565161" w:rsidP="00766FF6">
      <w:pPr>
        <w:spacing w:before="80" w:after="80" w:line="480" w:lineRule="auto"/>
        <w:jc w:val="both"/>
        <w:rPr>
          <w:rFonts w:ascii="Times New Roman" w:hAnsi="Times New Roman" w:cs="Times New Roman"/>
          <w:b/>
          <w:sz w:val="24"/>
          <w:szCs w:val="24"/>
        </w:rPr>
      </w:pPr>
      <w:r w:rsidRPr="00565161">
        <w:rPr>
          <w:rFonts w:ascii="Times New Roman" w:hAnsi="Times New Roman" w:cs="Times New Roman"/>
          <w:b/>
          <w:sz w:val="24"/>
          <w:szCs w:val="24"/>
        </w:rPr>
        <w:t>Materiais e métodos</w:t>
      </w:r>
    </w:p>
    <w:p w14:paraId="671AA9D0" w14:textId="39782B97" w:rsidR="00565161" w:rsidRDefault="00565161" w:rsidP="00766FF6">
      <w:pPr>
        <w:spacing w:before="80" w:after="80" w:line="480" w:lineRule="auto"/>
        <w:jc w:val="both"/>
        <w:rPr>
          <w:rFonts w:ascii="Times New Roman" w:hAnsi="Times New Roman" w:cs="Times New Roman"/>
          <w:sz w:val="24"/>
          <w:szCs w:val="24"/>
        </w:rPr>
      </w:pPr>
      <w:r w:rsidRPr="00565161">
        <w:rPr>
          <w:rFonts w:ascii="Times New Roman" w:hAnsi="Times New Roman" w:cs="Times New Roman"/>
          <w:sz w:val="24"/>
          <w:szCs w:val="24"/>
        </w:rPr>
        <w:t>Analisámos os resultados numa população de 682 doentes submetidos consecutivamente a um 1º transplante alogénico entre 1987 e 2016. Para tal, os doentes foram divididos em intervalos de 10 anos e comparámos a sobrevida global (SG), a sobrevida livre de progressão (SLP), a mortalidade não associada a recaída (MNR) e as recaídas em cada década do estudo.</w:t>
      </w:r>
    </w:p>
    <w:p w14:paraId="79B3898C" w14:textId="12044A76" w:rsidR="00F44E9C" w:rsidRPr="00F44E9C" w:rsidRDefault="00F44E9C" w:rsidP="00766FF6">
      <w:pPr>
        <w:spacing w:before="80" w:after="80" w:line="480" w:lineRule="auto"/>
        <w:jc w:val="both"/>
        <w:rPr>
          <w:rFonts w:ascii="Times New Roman" w:hAnsi="Times New Roman" w:cs="Times New Roman"/>
          <w:b/>
          <w:sz w:val="24"/>
          <w:szCs w:val="24"/>
        </w:rPr>
      </w:pPr>
      <w:r w:rsidRPr="00F44E9C">
        <w:rPr>
          <w:rFonts w:ascii="Times New Roman" w:hAnsi="Times New Roman" w:cs="Times New Roman"/>
          <w:b/>
          <w:sz w:val="24"/>
          <w:szCs w:val="24"/>
        </w:rPr>
        <w:t>Resultados</w:t>
      </w:r>
    </w:p>
    <w:p w14:paraId="3B826914" w14:textId="2EC3270C" w:rsidR="00F44E9C" w:rsidRPr="00F0382C" w:rsidRDefault="00F44E9C" w:rsidP="00766FF6">
      <w:pPr>
        <w:spacing w:before="80" w:after="80" w:line="480" w:lineRule="auto"/>
        <w:jc w:val="both"/>
        <w:rPr>
          <w:rFonts w:ascii="Times New Roman" w:hAnsi="Times New Roman" w:cs="Times New Roman"/>
          <w:sz w:val="24"/>
          <w:szCs w:val="24"/>
        </w:rPr>
      </w:pPr>
      <w:r>
        <w:rPr>
          <w:rFonts w:ascii="Times New Roman" w:hAnsi="Times New Roman" w:cs="Times New Roman"/>
          <w:sz w:val="24"/>
          <w:szCs w:val="24"/>
        </w:rPr>
        <w:t xml:space="preserve">A mediana de idades dos doentes transplantados, a utilização de células progenitoras provenientes do sangue periférico e a transplantação com dadores não familiares aumentaram muito </w:t>
      </w:r>
      <w:r>
        <w:rPr>
          <w:rFonts w:ascii="Times New Roman" w:hAnsi="Times New Roman" w:cs="Times New Roman"/>
          <w:sz w:val="24"/>
          <w:szCs w:val="24"/>
        </w:rPr>
        <w:lastRenderedPageBreak/>
        <w:t xml:space="preserve">significativamente ao longo do estudo. </w:t>
      </w:r>
      <w:r w:rsidR="000F7777" w:rsidRPr="00F0382C">
        <w:rPr>
          <w:rFonts w:ascii="Times New Roman" w:hAnsi="Times New Roman" w:cs="Times New Roman"/>
          <w:sz w:val="24"/>
          <w:szCs w:val="24"/>
        </w:rPr>
        <w:t>Verificou-se, comparativamente com a 1ª década, um aumento do número</w:t>
      </w:r>
      <w:r w:rsidRPr="00F0382C">
        <w:rPr>
          <w:rFonts w:ascii="Times New Roman" w:hAnsi="Times New Roman" w:cs="Times New Roman"/>
          <w:sz w:val="24"/>
          <w:szCs w:val="24"/>
        </w:rPr>
        <w:t xml:space="preserve"> de doentes de alto risco</w:t>
      </w:r>
      <w:r w:rsidR="000F7777" w:rsidRPr="00F0382C">
        <w:rPr>
          <w:rFonts w:ascii="Times New Roman" w:hAnsi="Times New Roman" w:cs="Times New Roman"/>
          <w:sz w:val="24"/>
          <w:szCs w:val="24"/>
        </w:rPr>
        <w:t xml:space="preserve"> nas duas décadas subsequentes</w:t>
      </w:r>
      <w:r w:rsidRPr="00F0382C">
        <w:rPr>
          <w:rFonts w:ascii="Times New Roman" w:hAnsi="Times New Roman" w:cs="Times New Roman"/>
          <w:sz w:val="24"/>
          <w:szCs w:val="24"/>
        </w:rPr>
        <w:t xml:space="preserve">. </w:t>
      </w:r>
      <w:r w:rsidR="00C825E2" w:rsidRPr="00F0382C">
        <w:rPr>
          <w:rFonts w:ascii="Times New Roman" w:hAnsi="Times New Roman" w:cs="Times New Roman"/>
          <w:sz w:val="24"/>
          <w:szCs w:val="24"/>
        </w:rPr>
        <w:t>A mortalidade não relacionada com recidiva, avaliada aos 3 anos pós-transplante, diminuiu significativamente de 29% para 20% (P=0.045), mantendo-se estáveis a sobrevida global e a sobrevida livre de progressão, assim como a incidência cumulativa de recaídas.</w:t>
      </w:r>
    </w:p>
    <w:p w14:paraId="68320171" w14:textId="20CA0AB6" w:rsidR="005D6240" w:rsidRPr="00F0382C" w:rsidRDefault="005D6240" w:rsidP="00766FF6">
      <w:pPr>
        <w:spacing w:before="80" w:after="80" w:line="480" w:lineRule="auto"/>
        <w:jc w:val="both"/>
        <w:rPr>
          <w:rFonts w:ascii="Times New Roman" w:hAnsi="Times New Roman" w:cs="Times New Roman"/>
          <w:b/>
          <w:sz w:val="24"/>
          <w:szCs w:val="24"/>
        </w:rPr>
      </w:pPr>
      <w:r w:rsidRPr="00F0382C">
        <w:rPr>
          <w:rFonts w:ascii="Times New Roman" w:hAnsi="Times New Roman" w:cs="Times New Roman"/>
          <w:b/>
          <w:sz w:val="24"/>
          <w:szCs w:val="24"/>
        </w:rPr>
        <w:t xml:space="preserve">Discussão </w:t>
      </w:r>
    </w:p>
    <w:p w14:paraId="70449A94" w14:textId="5766B6FD" w:rsidR="005D6240" w:rsidRPr="00F0382C" w:rsidRDefault="005D6240" w:rsidP="00766FF6">
      <w:pPr>
        <w:spacing w:before="80" w:after="80" w:line="480" w:lineRule="auto"/>
        <w:jc w:val="both"/>
        <w:rPr>
          <w:rFonts w:ascii="Times New Roman" w:hAnsi="Times New Roman" w:cs="Times New Roman"/>
          <w:sz w:val="24"/>
          <w:szCs w:val="24"/>
        </w:rPr>
      </w:pPr>
      <w:r w:rsidRPr="00F0382C">
        <w:rPr>
          <w:rFonts w:ascii="Times New Roman" w:hAnsi="Times New Roman" w:cs="Times New Roman"/>
          <w:sz w:val="24"/>
          <w:szCs w:val="24"/>
        </w:rPr>
        <w:t>A transplantação alogénica hematopoiética tem evoluído consideravelmente desde a sua introdução na prática clinica. No presente trabalho são avaliados os reflexos dessa evolução ao longo de 30 anos sendo analisados os resultados obtidos e comparados</w:t>
      </w:r>
      <w:r w:rsidR="00F65BB2" w:rsidRPr="00F0382C">
        <w:rPr>
          <w:rFonts w:ascii="Times New Roman" w:hAnsi="Times New Roman" w:cs="Times New Roman"/>
          <w:sz w:val="24"/>
          <w:szCs w:val="24"/>
        </w:rPr>
        <w:t xml:space="preserve"> com</w:t>
      </w:r>
      <w:r w:rsidRPr="00F0382C">
        <w:rPr>
          <w:rFonts w:ascii="Times New Roman" w:hAnsi="Times New Roman" w:cs="Times New Roman"/>
          <w:sz w:val="24"/>
          <w:szCs w:val="24"/>
        </w:rPr>
        <w:t xml:space="preserve"> os referidos na literatura.</w:t>
      </w:r>
    </w:p>
    <w:p w14:paraId="0AFC2247" w14:textId="17E2E049" w:rsidR="00F44E9C" w:rsidRPr="00F44E9C" w:rsidRDefault="00F44E9C" w:rsidP="00766FF6">
      <w:pPr>
        <w:spacing w:before="80" w:after="80" w:line="480" w:lineRule="auto"/>
        <w:jc w:val="both"/>
        <w:rPr>
          <w:rFonts w:ascii="Times New Roman" w:hAnsi="Times New Roman" w:cs="Times New Roman"/>
          <w:b/>
          <w:sz w:val="24"/>
          <w:szCs w:val="24"/>
        </w:rPr>
      </w:pPr>
      <w:r w:rsidRPr="00F44E9C">
        <w:rPr>
          <w:rFonts w:ascii="Times New Roman" w:hAnsi="Times New Roman" w:cs="Times New Roman"/>
          <w:b/>
          <w:sz w:val="24"/>
          <w:szCs w:val="24"/>
        </w:rPr>
        <w:t>Conclusões</w:t>
      </w:r>
    </w:p>
    <w:p w14:paraId="23447631" w14:textId="21E76C01" w:rsidR="00F44E9C" w:rsidRPr="00F0382C" w:rsidRDefault="00F44E9C" w:rsidP="00766FF6">
      <w:pPr>
        <w:spacing w:before="80" w:after="80" w:line="480" w:lineRule="auto"/>
        <w:jc w:val="both"/>
        <w:rPr>
          <w:rFonts w:ascii="Times New Roman" w:hAnsi="Times New Roman" w:cs="Times New Roman"/>
          <w:sz w:val="24"/>
          <w:szCs w:val="24"/>
        </w:rPr>
      </w:pPr>
      <w:r>
        <w:rPr>
          <w:rFonts w:ascii="Times New Roman" w:hAnsi="Times New Roman" w:cs="Times New Roman"/>
          <w:sz w:val="24"/>
          <w:szCs w:val="24"/>
        </w:rPr>
        <w:t xml:space="preserve">Apesar das características mais desfavoráveis verificadas ao longo das 3 décadas (doentes mais idosos, doenças de risco mais elevado, aumento do nº da dadores não familiares) foi possível reduzir significativamente a mortalidade associada ao procedimento, </w:t>
      </w:r>
      <w:r w:rsidRPr="00F0382C">
        <w:rPr>
          <w:rFonts w:ascii="Times New Roman" w:hAnsi="Times New Roman" w:cs="Times New Roman"/>
          <w:sz w:val="24"/>
          <w:szCs w:val="24"/>
        </w:rPr>
        <w:t>mantendo-se estáveis a</w:t>
      </w:r>
      <w:r w:rsidR="009652D6" w:rsidRPr="00F0382C">
        <w:rPr>
          <w:rFonts w:ascii="Times New Roman" w:hAnsi="Times New Roman" w:cs="Times New Roman"/>
          <w:sz w:val="24"/>
          <w:szCs w:val="24"/>
        </w:rPr>
        <w:t xml:space="preserve"> sobrevida global e livre de progressão</w:t>
      </w:r>
      <w:r w:rsidR="0000437A" w:rsidRPr="00F0382C">
        <w:rPr>
          <w:rFonts w:ascii="Times New Roman" w:hAnsi="Times New Roman" w:cs="Times New Roman"/>
          <w:sz w:val="24"/>
          <w:szCs w:val="24"/>
        </w:rPr>
        <w:t>,</w:t>
      </w:r>
      <w:r w:rsidR="009652D6" w:rsidRPr="00F0382C">
        <w:rPr>
          <w:rFonts w:ascii="Times New Roman" w:hAnsi="Times New Roman" w:cs="Times New Roman"/>
          <w:sz w:val="24"/>
          <w:szCs w:val="24"/>
        </w:rPr>
        <w:t xml:space="preserve"> </w:t>
      </w:r>
      <w:r w:rsidRPr="00F0382C">
        <w:rPr>
          <w:rFonts w:ascii="Times New Roman" w:hAnsi="Times New Roman" w:cs="Times New Roman"/>
          <w:sz w:val="24"/>
          <w:szCs w:val="24"/>
        </w:rPr>
        <w:t xml:space="preserve"> </w:t>
      </w:r>
      <w:r w:rsidR="009652D6" w:rsidRPr="00F0382C">
        <w:rPr>
          <w:rFonts w:ascii="Times New Roman" w:hAnsi="Times New Roman" w:cs="Times New Roman"/>
          <w:sz w:val="24"/>
          <w:szCs w:val="24"/>
        </w:rPr>
        <w:t>assim como</w:t>
      </w:r>
      <w:r w:rsidRPr="00F0382C">
        <w:rPr>
          <w:rFonts w:ascii="Times New Roman" w:hAnsi="Times New Roman" w:cs="Times New Roman"/>
          <w:sz w:val="24"/>
          <w:szCs w:val="24"/>
        </w:rPr>
        <w:t xml:space="preserve"> a incidência de recaídas.</w:t>
      </w:r>
    </w:p>
    <w:p w14:paraId="0C25CECD" w14:textId="6CC29DC0" w:rsidR="00766FF6" w:rsidRDefault="00ED569A" w:rsidP="00766FF6">
      <w:pPr>
        <w:spacing w:before="80" w:after="80" w:line="480" w:lineRule="auto"/>
        <w:jc w:val="both"/>
        <w:rPr>
          <w:rFonts w:ascii="Times New Roman" w:hAnsi="Times New Roman" w:cs="Times New Roman"/>
          <w:b/>
          <w:sz w:val="24"/>
          <w:szCs w:val="24"/>
          <w:lang w:val="en-US"/>
        </w:rPr>
      </w:pPr>
      <w:r w:rsidRPr="005B58B3">
        <w:rPr>
          <w:rFonts w:ascii="Times New Roman" w:hAnsi="Times New Roman" w:cs="Times New Roman"/>
          <w:b/>
          <w:sz w:val="24"/>
          <w:szCs w:val="24"/>
          <w:lang w:val="en-US"/>
        </w:rPr>
        <w:t>ABSTRACT</w:t>
      </w:r>
      <w:r w:rsidR="00766FF6" w:rsidRPr="005B58B3">
        <w:rPr>
          <w:rFonts w:ascii="Times New Roman" w:hAnsi="Times New Roman" w:cs="Times New Roman"/>
          <w:b/>
          <w:sz w:val="24"/>
          <w:szCs w:val="24"/>
          <w:lang w:val="en-US"/>
        </w:rPr>
        <w:t xml:space="preserve"> </w:t>
      </w:r>
    </w:p>
    <w:p w14:paraId="3269B64E" w14:textId="52BD44EA" w:rsidR="00F44E9C" w:rsidRPr="005B58B3" w:rsidRDefault="00F44E9C" w:rsidP="00766FF6">
      <w:pPr>
        <w:spacing w:before="80" w:after="8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Background </w:t>
      </w:r>
    </w:p>
    <w:p w14:paraId="138D31CF" w14:textId="77777777" w:rsidR="00F44E9C" w:rsidRDefault="00766FF6" w:rsidP="00ED569A">
      <w:pPr>
        <w:spacing w:before="80" w:after="8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Allogeneic stem cell transplantation is an established procedure for a variety of diseases of the hematopoietic system. Our transplant program started in 1987 and since then advances have been made in the care of patients undergoing transplantation. </w:t>
      </w:r>
    </w:p>
    <w:p w14:paraId="1B88D814" w14:textId="7B09FC33" w:rsidR="00F44E9C" w:rsidRPr="00F44E9C" w:rsidRDefault="00F44E9C" w:rsidP="00ED569A">
      <w:pPr>
        <w:spacing w:before="80" w:after="80" w:line="480" w:lineRule="auto"/>
        <w:jc w:val="both"/>
        <w:rPr>
          <w:rFonts w:ascii="Times New Roman" w:hAnsi="Times New Roman" w:cs="Times New Roman"/>
          <w:b/>
          <w:sz w:val="24"/>
          <w:szCs w:val="24"/>
          <w:lang w:val="en-US"/>
        </w:rPr>
      </w:pPr>
      <w:r w:rsidRPr="00F44E9C">
        <w:rPr>
          <w:rFonts w:ascii="Times New Roman" w:hAnsi="Times New Roman" w:cs="Times New Roman"/>
          <w:b/>
          <w:sz w:val="24"/>
          <w:szCs w:val="24"/>
          <w:lang w:val="en-US"/>
        </w:rPr>
        <w:t xml:space="preserve">Objectives </w:t>
      </w:r>
    </w:p>
    <w:p w14:paraId="3270CB24" w14:textId="77777777" w:rsidR="00F44E9C" w:rsidRDefault="00766FF6" w:rsidP="00ED569A">
      <w:pPr>
        <w:spacing w:before="80" w:after="8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conducted a study to evaluate whether the changes implemented over time have improved the outcomes of transplantation. </w:t>
      </w:r>
    </w:p>
    <w:p w14:paraId="74F34524" w14:textId="720CFABE" w:rsidR="00F44E9C" w:rsidRPr="00F44E9C" w:rsidRDefault="00F44E9C" w:rsidP="00ED569A">
      <w:pPr>
        <w:spacing w:before="80" w:after="80" w:line="480" w:lineRule="auto"/>
        <w:jc w:val="both"/>
        <w:rPr>
          <w:rFonts w:ascii="Times New Roman" w:hAnsi="Times New Roman" w:cs="Times New Roman"/>
          <w:b/>
          <w:sz w:val="24"/>
          <w:szCs w:val="24"/>
          <w:lang w:val="en-US"/>
        </w:rPr>
      </w:pPr>
      <w:r w:rsidRPr="00F44E9C">
        <w:rPr>
          <w:rFonts w:ascii="Times New Roman" w:hAnsi="Times New Roman" w:cs="Times New Roman"/>
          <w:b/>
          <w:sz w:val="24"/>
          <w:szCs w:val="24"/>
          <w:lang w:val="en-US"/>
        </w:rPr>
        <w:t>Methods</w:t>
      </w:r>
    </w:p>
    <w:p w14:paraId="716BB96D" w14:textId="77777777" w:rsidR="003A77E5" w:rsidRDefault="00766FF6" w:rsidP="00ED569A">
      <w:pPr>
        <w:spacing w:before="80" w:after="8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analyzed changes in patients, cell source, transplantation and outcome among 682 consecutive patients receiving their first transplant between 1987 and 2016. We compared overall survival (OS), progression-free survival (PFS), the incidence of non-relapse mortality (NRM) and relapse in 10-year cohorts over the study 3 decades. </w:t>
      </w:r>
    </w:p>
    <w:p w14:paraId="7271CA83" w14:textId="5857B0EA" w:rsidR="003A77E5" w:rsidRPr="003A77E5" w:rsidRDefault="003A77E5" w:rsidP="00ED569A">
      <w:pPr>
        <w:spacing w:before="80" w:after="80" w:line="480" w:lineRule="auto"/>
        <w:jc w:val="both"/>
        <w:rPr>
          <w:rFonts w:ascii="Times New Roman" w:hAnsi="Times New Roman" w:cs="Times New Roman"/>
          <w:b/>
          <w:sz w:val="24"/>
          <w:szCs w:val="24"/>
          <w:lang w:val="en-US"/>
        </w:rPr>
      </w:pPr>
      <w:r w:rsidRPr="003A77E5">
        <w:rPr>
          <w:rFonts w:ascii="Times New Roman" w:hAnsi="Times New Roman" w:cs="Times New Roman"/>
          <w:b/>
          <w:sz w:val="24"/>
          <w:szCs w:val="24"/>
          <w:lang w:val="en-US"/>
        </w:rPr>
        <w:t>Results</w:t>
      </w:r>
    </w:p>
    <w:p w14:paraId="2E0D3A42" w14:textId="3FFC4E41" w:rsidR="003A77E5" w:rsidRPr="00F0382C" w:rsidRDefault="00766FF6" w:rsidP="00ED569A">
      <w:pPr>
        <w:spacing w:before="80" w:after="8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median age of transplanted patients, the use of peripheral blood and unrelated donors all increased very significantly. </w:t>
      </w:r>
      <w:r w:rsidR="00167376" w:rsidRPr="00F0382C">
        <w:rPr>
          <w:rFonts w:ascii="Times New Roman" w:hAnsi="Times New Roman" w:cs="Times New Roman"/>
          <w:sz w:val="24"/>
          <w:szCs w:val="24"/>
          <w:lang w:val="en-US"/>
        </w:rPr>
        <w:t>There was an increase in the number of high-risk</w:t>
      </w:r>
      <w:r w:rsidRPr="00F0382C">
        <w:rPr>
          <w:rFonts w:ascii="Times New Roman" w:hAnsi="Times New Roman" w:cs="Times New Roman"/>
          <w:sz w:val="24"/>
          <w:szCs w:val="24"/>
          <w:lang w:val="en-US"/>
        </w:rPr>
        <w:t xml:space="preserve"> patients</w:t>
      </w:r>
      <w:r w:rsidR="00167376" w:rsidRPr="00F0382C">
        <w:rPr>
          <w:rFonts w:ascii="Times New Roman" w:hAnsi="Times New Roman" w:cs="Times New Roman"/>
          <w:sz w:val="24"/>
          <w:szCs w:val="24"/>
          <w:lang w:val="en-US"/>
        </w:rPr>
        <w:t xml:space="preserve"> when comparing the first decade with the two subsequent ones. </w:t>
      </w:r>
      <w:r w:rsidRPr="00F0382C">
        <w:rPr>
          <w:rFonts w:ascii="Times New Roman" w:hAnsi="Times New Roman" w:cs="Times New Roman"/>
          <w:sz w:val="24"/>
          <w:szCs w:val="24"/>
          <w:lang w:val="en-US"/>
        </w:rPr>
        <w:t xml:space="preserve">The 3-year </w:t>
      </w:r>
      <w:r w:rsidR="0000437A" w:rsidRPr="00F0382C">
        <w:rPr>
          <w:rFonts w:ascii="Times New Roman" w:hAnsi="Times New Roman" w:cs="Times New Roman"/>
          <w:sz w:val="24"/>
          <w:szCs w:val="24"/>
          <w:lang w:val="en-US"/>
        </w:rPr>
        <w:t>nonrelapse</w:t>
      </w:r>
      <w:r w:rsidR="009652D6" w:rsidRPr="00F0382C">
        <w:rPr>
          <w:rFonts w:ascii="Times New Roman" w:hAnsi="Times New Roman" w:cs="Times New Roman"/>
          <w:sz w:val="24"/>
          <w:szCs w:val="24"/>
          <w:lang w:val="en-US"/>
        </w:rPr>
        <w:t xml:space="preserve"> </w:t>
      </w:r>
      <w:r w:rsidR="00167376" w:rsidRPr="00F0382C">
        <w:rPr>
          <w:rFonts w:ascii="Times New Roman" w:hAnsi="Times New Roman" w:cs="Times New Roman"/>
          <w:sz w:val="24"/>
          <w:szCs w:val="24"/>
          <w:lang w:val="en-US"/>
        </w:rPr>
        <w:t xml:space="preserve">mortality </w:t>
      </w:r>
      <w:r w:rsidR="009652D6" w:rsidRPr="00F0382C">
        <w:rPr>
          <w:rFonts w:ascii="Times New Roman" w:hAnsi="Times New Roman" w:cs="Times New Roman"/>
          <w:sz w:val="24"/>
          <w:szCs w:val="24"/>
          <w:lang w:val="en-US"/>
        </w:rPr>
        <w:t>decreased significantly from 29% to 20% (P=0.045), while the overall survival, progression free survival and cumulative incidence of relapse remained stable.</w:t>
      </w:r>
      <w:r w:rsidRPr="00F0382C">
        <w:rPr>
          <w:rFonts w:ascii="Times New Roman" w:hAnsi="Times New Roman" w:cs="Times New Roman"/>
          <w:sz w:val="24"/>
          <w:szCs w:val="24"/>
          <w:lang w:val="en-US"/>
        </w:rPr>
        <w:t xml:space="preserve"> </w:t>
      </w:r>
    </w:p>
    <w:p w14:paraId="5B270F42" w14:textId="647F9B06" w:rsidR="00305C62" w:rsidRPr="00F0382C" w:rsidRDefault="00305C62" w:rsidP="00ED569A">
      <w:pPr>
        <w:spacing w:before="80" w:after="80" w:line="480" w:lineRule="auto"/>
        <w:jc w:val="both"/>
        <w:rPr>
          <w:rFonts w:ascii="Times New Roman" w:hAnsi="Times New Roman" w:cs="Times New Roman"/>
          <w:b/>
          <w:sz w:val="24"/>
          <w:szCs w:val="24"/>
          <w:lang w:val="en-US"/>
        </w:rPr>
      </w:pPr>
      <w:r w:rsidRPr="00F0382C">
        <w:rPr>
          <w:rFonts w:ascii="Times New Roman" w:hAnsi="Times New Roman" w:cs="Times New Roman"/>
          <w:b/>
          <w:sz w:val="24"/>
          <w:szCs w:val="24"/>
          <w:lang w:val="en-US"/>
        </w:rPr>
        <w:lastRenderedPageBreak/>
        <w:t xml:space="preserve">Discussion </w:t>
      </w:r>
    </w:p>
    <w:p w14:paraId="4ADC9E7E" w14:textId="569B9CE2" w:rsidR="00305C62" w:rsidRPr="00F0382C" w:rsidRDefault="00305C62" w:rsidP="00305C62">
      <w:pPr>
        <w:spacing w:before="80" w:after="80" w:line="480" w:lineRule="auto"/>
        <w:jc w:val="both"/>
        <w:rPr>
          <w:rFonts w:ascii="Times New Roman" w:hAnsi="Times New Roman" w:cs="Times New Roman"/>
          <w:sz w:val="24"/>
          <w:szCs w:val="24"/>
          <w:lang w:val="en-US"/>
        </w:rPr>
      </w:pPr>
      <w:r w:rsidRPr="00F0382C">
        <w:rPr>
          <w:rFonts w:ascii="Times New Roman" w:hAnsi="Times New Roman" w:cs="Times New Roman"/>
          <w:sz w:val="24"/>
          <w:szCs w:val="24"/>
          <w:lang w:val="en-US"/>
        </w:rPr>
        <w:t>Allo</w:t>
      </w:r>
      <w:r w:rsidR="00385F4E" w:rsidRPr="00F0382C">
        <w:rPr>
          <w:rFonts w:ascii="Times New Roman" w:hAnsi="Times New Roman" w:cs="Times New Roman"/>
          <w:sz w:val="24"/>
          <w:szCs w:val="24"/>
          <w:lang w:val="en-US"/>
        </w:rPr>
        <w:t>geneic hematopoietic stem cell t</w:t>
      </w:r>
      <w:r w:rsidRPr="00F0382C">
        <w:rPr>
          <w:rFonts w:ascii="Times New Roman" w:hAnsi="Times New Roman" w:cs="Times New Roman"/>
          <w:sz w:val="24"/>
          <w:szCs w:val="24"/>
          <w:lang w:val="en-US"/>
        </w:rPr>
        <w:t>ransplantation has evolved considerably since its introduction in the clinic. In the present study we evaluated how these changes affected our pra</w:t>
      </w:r>
      <w:r w:rsidR="00F0382C">
        <w:rPr>
          <w:rFonts w:ascii="Times New Roman" w:hAnsi="Times New Roman" w:cs="Times New Roman"/>
          <w:sz w:val="24"/>
          <w:szCs w:val="24"/>
          <w:lang w:val="en-US"/>
        </w:rPr>
        <w:t>c</w:t>
      </w:r>
      <w:r w:rsidRPr="00F0382C">
        <w:rPr>
          <w:rFonts w:ascii="Times New Roman" w:hAnsi="Times New Roman" w:cs="Times New Roman"/>
          <w:sz w:val="24"/>
          <w:szCs w:val="24"/>
          <w:lang w:val="en-US"/>
        </w:rPr>
        <w:t xml:space="preserve">tice along 30 years of activity and compared the results with those published in the literature. </w:t>
      </w:r>
    </w:p>
    <w:p w14:paraId="2BB84E81" w14:textId="1D7727CA" w:rsidR="003A77E5" w:rsidRPr="003A77E5" w:rsidRDefault="003A77E5" w:rsidP="00ED569A">
      <w:pPr>
        <w:spacing w:before="80" w:after="80" w:line="480" w:lineRule="auto"/>
        <w:jc w:val="both"/>
        <w:rPr>
          <w:rFonts w:ascii="Times New Roman" w:hAnsi="Times New Roman" w:cs="Times New Roman"/>
          <w:b/>
          <w:sz w:val="24"/>
          <w:szCs w:val="24"/>
          <w:lang w:val="en-US"/>
        </w:rPr>
      </w:pPr>
      <w:r w:rsidRPr="003A77E5">
        <w:rPr>
          <w:rFonts w:ascii="Times New Roman" w:hAnsi="Times New Roman" w:cs="Times New Roman"/>
          <w:b/>
          <w:sz w:val="24"/>
          <w:szCs w:val="24"/>
          <w:lang w:val="en-US"/>
        </w:rPr>
        <w:t>Conclusions</w:t>
      </w:r>
    </w:p>
    <w:p w14:paraId="78442DD1" w14:textId="5EB1F20D" w:rsidR="00766FF6" w:rsidRPr="00F0382C" w:rsidRDefault="00766FF6" w:rsidP="00ED569A">
      <w:pPr>
        <w:spacing w:before="80" w:after="8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Despite increasing age, higher risk patients and the increasing use of unrelated donors our results show a continuous significantly reduced </w:t>
      </w:r>
      <w:r w:rsidR="0000437A">
        <w:rPr>
          <w:rFonts w:ascii="Times New Roman" w:hAnsi="Times New Roman" w:cs="Times New Roman"/>
          <w:sz w:val="24"/>
          <w:szCs w:val="24"/>
          <w:lang w:val="en-US"/>
        </w:rPr>
        <w:t>non</w:t>
      </w:r>
      <w:r w:rsidR="00F0382C">
        <w:rPr>
          <w:rFonts w:ascii="Times New Roman" w:hAnsi="Times New Roman" w:cs="Times New Roman"/>
          <w:sz w:val="24"/>
          <w:szCs w:val="24"/>
          <w:lang w:val="en-US"/>
        </w:rPr>
        <w:t xml:space="preserve"> </w:t>
      </w:r>
      <w:r w:rsidR="0000437A">
        <w:rPr>
          <w:rFonts w:ascii="Times New Roman" w:hAnsi="Times New Roman" w:cs="Times New Roman"/>
          <w:sz w:val="24"/>
          <w:szCs w:val="24"/>
          <w:lang w:val="en-US"/>
        </w:rPr>
        <w:t>relapse mortality,</w:t>
      </w:r>
      <w:r>
        <w:rPr>
          <w:rFonts w:ascii="Times New Roman" w:hAnsi="Times New Roman" w:cs="Times New Roman"/>
          <w:sz w:val="24"/>
          <w:szCs w:val="24"/>
          <w:lang w:val="en-US"/>
        </w:rPr>
        <w:t xml:space="preserve"> </w:t>
      </w:r>
      <w:r w:rsidRPr="00F0382C">
        <w:rPr>
          <w:rFonts w:ascii="Times New Roman" w:hAnsi="Times New Roman" w:cs="Times New Roman"/>
          <w:sz w:val="24"/>
          <w:szCs w:val="24"/>
          <w:lang w:val="en-US"/>
        </w:rPr>
        <w:t xml:space="preserve">with </w:t>
      </w:r>
      <w:r w:rsidR="00305C62" w:rsidRPr="00F0382C">
        <w:rPr>
          <w:rFonts w:ascii="Times New Roman" w:hAnsi="Times New Roman" w:cs="Times New Roman"/>
          <w:sz w:val="24"/>
          <w:szCs w:val="24"/>
          <w:lang w:val="en-US"/>
        </w:rPr>
        <w:t>stable overall survival, progression free survival and relapse rate.</w:t>
      </w:r>
      <w:r w:rsidRPr="00F0382C">
        <w:rPr>
          <w:rFonts w:ascii="Times New Roman" w:hAnsi="Times New Roman" w:cs="Times New Roman"/>
          <w:sz w:val="24"/>
          <w:szCs w:val="24"/>
          <w:lang w:val="en-US"/>
        </w:rPr>
        <w:t xml:space="preserve"> </w:t>
      </w:r>
    </w:p>
    <w:p w14:paraId="7CDBD4F9" w14:textId="5B474E04" w:rsidR="00ED569A" w:rsidRPr="00ED569A" w:rsidRDefault="00ED569A" w:rsidP="00ED569A">
      <w:pPr>
        <w:spacing w:before="80" w:after="80" w:line="480" w:lineRule="auto"/>
        <w:jc w:val="both"/>
        <w:rPr>
          <w:b/>
          <w:lang w:val="en-US"/>
        </w:rPr>
      </w:pPr>
      <w:r w:rsidRPr="00ED569A">
        <w:rPr>
          <w:rFonts w:ascii="Times New Roman" w:hAnsi="Times New Roman" w:cs="Times New Roman"/>
          <w:b/>
          <w:sz w:val="24"/>
          <w:szCs w:val="24"/>
          <w:lang w:val="en-US"/>
        </w:rPr>
        <w:t>I</w:t>
      </w:r>
      <w:r>
        <w:rPr>
          <w:rFonts w:ascii="Times New Roman" w:hAnsi="Times New Roman" w:cs="Times New Roman"/>
          <w:b/>
          <w:sz w:val="24"/>
          <w:szCs w:val="24"/>
          <w:lang w:val="en-US"/>
        </w:rPr>
        <w:t>NTRODUCTION</w:t>
      </w:r>
    </w:p>
    <w:p w14:paraId="11D3A82D" w14:textId="72038C68" w:rsidR="00B76C86" w:rsidRPr="00AB7504" w:rsidRDefault="004F2609" w:rsidP="00A14B97">
      <w:pPr>
        <w:spacing w:before="80" w:after="80" w:line="480" w:lineRule="auto"/>
        <w:jc w:val="both"/>
        <w:rPr>
          <w:rFonts w:cs="Times New Roman"/>
          <w:sz w:val="24"/>
          <w:szCs w:val="24"/>
          <w:lang w:val="en-US"/>
        </w:rPr>
      </w:pPr>
      <w:r w:rsidRPr="00AB7504">
        <w:rPr>
          <w:rFonts w:cs="Times New Roman"/>
          <w:sz w:val="24"/>
          <w:szCs w:val="24"/>
          <w:lang w:val="en-US"/>
        </w:rPr>
        <w:t xml:space="preserve">A wide </w:t>
      </w:r>
      <w:r w:rsidR="00942371" w:rsidRPr="00AB7504">
        <w:rPr>
          <w:rFonts w:cs="Times New Roman"/>
          <w:sz w:val="24"/>
          <w:szCs w:val="24"/>
          <w:lang w:val="en-US"/>
        </w:rPr>
        <w:t>variety</w:t>
      </w:r>
      <w:r w:rsidRPr="00AB7504">
        <w:rPr>
          <w:rFonts w:cs="Times New Roman"/>
          <w:sz w:val="24"/>
          <w:szCs w:val="24"/>
          <w:lang w:val="en-US"/>
        </w:rPr>
        <w:t xml:space="preserve"> of hematopoietic and non-hematopoietic diseases, ranging from </w:t>
      </w:r>
      <w:r w:rsidR="005357E3">
        <w:rPr>
          <w:rFonts w:cs="Times New Roman"/>
          <w:sz w:val="24"/>
          <w:szCs w:val="24"/>
          <w:lang w:val="en-US"/>
        </w:rPr>
        <w:t>hematologic</w:t>
      </w:r>
      <w:r w:rsidRPr="00AB7504">
        <w:rPr>
          <w:rFonts w:cs="Times New Roman"/>
          <w:sz w:val="24"/>
          <w:szCs w:val="24"/>
          <w:lang w:val="en-US"/>
        </w:rPr>
        <w:t xml:space="preserve"> malignancies to metabolic disorders</w:t>
      </w:r>
      <w:r w:rsidR="00AF3BCE" w:rsidRPr="00AB7504">
        <w:rPr>
          <w:rFonts w:cs="Times New Roman"/>
          <w:sz w:val="24"/>
          <w:szCs w:val="24"/>
          <w:lang w:val="en-US"/>
        </w:rPr>
        <w:t xml:space="preserve"> and congenital or acquired bone marrow failures</w:t>
      </w:r>
      <w:r w:rsidR="00400C9F" w:rsidRPr="00AB7504">
        <w:rPr>
          <w:rFonts w:cs="Times New Roman"/>
          <w:sz w:val="24"/>
          <w:szCs w:val="24"/>
          <w:lang w:val="en-US"/>
        </w:rPr>
        <w:t xml:space="preserve"> </w:t>
      </w:r>
      <w:r w:rsidR="002C0B4C">
        <w:rPr>
          <w:rFonts w:cs="Times New Roman"/>
          <w:sz w:val="24"/>
          <w:szCs w:val="24"/>
          <w:lang w:val="en-US"/>
        </w:rPr>
        <w:t>are</w:t>
      </w:r>
      <w:r w:rsidR="00400C9F" w:rsidRPr="00AB7504">
        <w:rPr>
          <w:rFonts w:cs="Times New Roman"/>
          <w:sz w:val="24"/>
          <w:szCs w:val="24"/>
          <w:lang w:val="en-US"/>
        </w:rPr>
        <w:t xml:space="preserve"> successfully treated</w:t>
      </w:r>
      <w:r w:rsidR="00AF3BCE" w:rsidRPr="00AB7504">
        <w:rPr>
          <w:rFonts w:cs="Times New Roman"/>
          <w:sz w:val="24"/>
          <w:szCs w:val="24"/>
          <w:lang w:val="en-US"/>
        </w:rPr>
        <w:t xml:space="preserve"> by allogeneic hematopoietic stem cell transplantation</w:t>
      </w:r>
      <w:r w:rsidR="00AA2898" w:rsidRPr="00AB7504">
        <w:rPr>
          <w:rFonts w:cs="Times New Roman"/>
          <w:sz w:val="24"/>
          <w:szCs w:val="24"/>
          <w:lang w:val="en-US"/>
        </w:rPr>
        <w:t xml:space="preserve"> (HS</w:t>
      </w:r>
      <w:r w:rsidR="005357E3">
        <w:rPr>
          <w:rFonts w:cs="Times New Roman"/>
          <w:sz w:val="24"/>
          <w:szCs w:val="24"/>
          <w:lang w:val="en-US"/>
        </w:rPr>
        <w:t>CT)</w:t>
      </w:r>
      <w:r w:rsidR="00F0382C">
        <w:rPr>
          <w:rFonts w:cs="Times New Roman"/>
          <w:sz w:val="24"/>
          <w:szCs w:val="24"/>
          <w:lang w:val="en-US"/>
        </w:rPr>
        <w:t>.</w:t>
      </w:r>
      <w:r w:rsidR="00385F4E" w:rsidRPr="00896465">
        <w:rPr>
          <w:rFonts w:cs="Times New Roman"/>
          <w:color w:val="0070C0"/>
          <w:sz w:val="24"/>
          <w:szCs w:val="24"/>
          <w:vertAlign w:val="superscript"/>
          <w:lang w:val="en-US"/>
        </w:rPr>
        <w:t>1-4</w:t>
      </w:r>
      <w:r w:rsidR="00400C9F" w:rsidRPr="00896465">
        <w:rPr>
          <w:rFonts w:cs="Times New Roman"/>
          <w:color w:val="0070C0"/>
          <w:sz w:val="24"/>
          <w:szCs w:val="24"/>
          <w:lang w:val="en-US"/>
        </w:rPr>
        <w:t xml:space="preserve"> </w:t>
      </w:r>
      <w:r w:rsidR="00AF3BCE" w:rsidRPr="00AB7504">
        <w:rPr>
          <w:rFonts w:cs="Times New Roman"/>
          <w:sz w:val="24"/>
          <w:szCs w:val="24"/>
          <w:lang w:val="en-US"/>
        </w:rPr>
        <w:t>In the early 1970s, toxicity from conditioning, infections, and graft-versus-host disease</w:t>
      </w:r>
      <w:r w:rsidR="00AA2898" w:rsidRPr="00AB7504">
        <w:rPr>
          <w:rFonts w:cs="Times New Roman"/>
          <w:sz w:val="24"/>
          <w:szCs w:val="24"/>
          <w:lang w:val="en-US"/>
        </w:rPr>
        <w:t xml:space="preserve"> (</w:t>
      </w:r>
      <w:r w:rsidR="00155830" w:rsidRPr="00155830">
        <w:rPr>
          <w:rFonts w:cs="Times New Roman"/>
          <w:color w:val="00B0F0"/>
          <w:sz w:val="24"/>
          <w:szCs w:val="24"/>
          <w:lang w:val="en-US"/>
        </w:rPr>
        <w:t>GvHD</w:t>
      </w:r>
      <w:r w:rsidR="00AA2898" w:rsidRPr="00AB7504">
        <w:rPr>
          <w:rFonts w:cs="Times New Roman"/>
          <w:sz w:val="24"/>
          <w:szCs w:val="24"/>
          <w:lang w:val="en-US"/>
        </w:rPr>
        <w:t>)</w:t>
      </w:r>
      <w:r w:rsidR="00AF3BCE" w:rsidRPr="00AB7504">
        <w:rPr>
          <w:rFonts w:cs="Times New Roman"/>
          <w:sz w:val="24"/>
          <w:szCs w:val="24"/>
          <w:lang w:val="en-US"/>
        </w:rPr>
        <w:t xml:space="preserve"> </w:t>
      </w:r>
      <w:bookmarkStart w:id="0" w:name="_GoBack"/>
      <w:bookmarkEnd w:id="0"/>
      <w:r w:rsidR="00E935CB" w:rsidRPr="00AB7504">
        <w:rPr>
          <w:rFonts w:cs="Times New Roman"/>
          <w:sz w:val="24"/>
          <w:szCs w:val="24"/>
          <w:lang w:val="en-US"/>
        </w:rPr>
        <w:t>w</w:t>
      </w:r>
      <w:r w:rsidR="00CE7570">
        <w:rPr>
          <w:rFonts w:cs="Times New Roman"/>
          <w:sz w:val="24"/>
          <w:szCs w:val="24"/>
          <w:lang w:val="en-US"/>
        </w:rPr>
        <w:t>ere</w:t>
      </w:r>
      <w:r w:rsidR="00E935CB" w:rsidRPr="00AB7504">
        <w:rPr>
          <w:rFonts w:cs="Times New Roman"/>
          <w:sz w:val="24"/>
          <w:szCs w:val="24"/>
          <w:lang w:val="en-US"/>
        </w:rPr>
        <w:t xml:space="preserve"> associated with</w:t>
      </w:r>
      <w:r w:rsidR="00AF3BCE" w:rsidRPr="00AB7504">
        <w:rPr>
          <w:rFonts w:cs="Times New Roman"/>
          <w:sz w:val="24"/>
          <w:szCs w:val="24"/>
          <w:lang w:val="en-US"/>
        </w:rPr>
        <w:t xml:space="preserve"> a significant risk of death</w:t>
      </w:r>
      <w:r w:rsidR="00E935CB" w:rsidRPr="00AB7504">
        <w:rPr>
          <w:rFonts w:cs="Times New Roman"/>
          <w:sz w:val="24"/>
          <w:szCs w:val="24"/>
          <w:lang w:val="en-US"/>
        </w:rPr>
        <w:t>, such that</w:t>
      </w:r>
      <w:r w:rsidR="00443F67" w:rsidRPr="00AB7504">
        <w:rPr>
          <w:rFonts w:cs="Times New Roman"/>
          <w:sz w:val="24"/>
          <w:szCs w:val="24"/>
          <w:lang w:val="en-US"/>
        </w:rPr>
        <w:t xml:space="preserve"> its application was</w:t>
      </w:r>
      <w:r w:rsidR="00E935CB" w:rsidRPr="00AB7504">
        <w:rPr>
          <w:rFonts w:cs="Times New Roman"/>
          <w:sz w:val="24"/>
          <w:szCs w:val="24"/>
          <w:lang w:val="en-US"/>
        </w:rPr>
        <w:t xml:space="preserve"> </w:t>
      </w:r>
      <w:r w:rsidR="00443F67" w:rsidRPr="00AB7504">
        <w:rPr>
          <w:rFonts w:cs="Times New Roman"/>
          <w:sz w:val="24"/>
          <w:szCs w:val="24"/>
          <w:lang w:val="en-US"/>
        </w:rPr>
        <w:t>the subject of some criticism</w:t>
      </w:r>
      <w:r w:rsidR="00F0382C">
        <w:rPr>
          <w:rFonts w:cs="Times New Roman"/>
          <w:sz w:val="24"/>
          <w:szCs w:val="24"/>
          <w:lang w:val="en-US"/>
        </w:rPr>
        <w:t>.</w:t>
      </w:r>
      <w:r w:rsidR="00385F4E" w:rsidRPr="00896465">
        <w:rPr>
          <w:rFonts w:cs="Times New Roman"/>
          <w:color w:val="0070C0"/>
          <w:sz w:val="24"/>
          <w:szCs w:val="24"/>
          <w:vertAlign w:val="superscript"/>
          <w:lang w:val="en-US"/>
        </w:rPr>
        <w:t>5</w:t>
      </w:r>
      <w:r w:rsidR="000E3660" w:rsidRPr="00AB7504">
        <w:rPr>
          <w:rFonts w:cs="Times New Roman"/>
          <w:sz w:val="24"/>
          <w:szCs w:val="24"/>
          <w:lang w:val="en-US"/>
        </w:rPr>
        <w:t xml:space="preserve"> </w:t>
      </w:r>
      <w:r w:rsidR="007A1DA4" w:rsidRPr="00AB7504">
        <w:rPr>
          <w:rFonts w:cs="Times New Roman"/>
          <w:sz w:val="24"/>
          <w:szCs w:val="24"/>
          <w:lang w:val="en-US"/>
        </w:rPr>
        <w:t xml:space="preserve"> </w:t>
      </w:r>
      <w:r w:rsidR="00CE7570">
        <w:rPr>
          <w:rFonts w:cs="Times New Roman"/>
          <w:sz w:val="24"/>
          <w:szCs w:val="24"/>
          <w:lang w:val="en-US"/>
        </w:rPr>
        <w:t>O</w:t>
      </w:r>
      <w:r w:rsidR="007A1DA4" w:rsidRPr="00AB7504">
        <w:rPr>
          <w:rFonts w:cs="Times New Roman"/>
          <w:sz w:val="24"/>
          <w:szCs w:val="24"/>
          <w:lang w:val="en-US"/>
        </w:rPr>
        <w:t xml:space="preserve">ver the past </w:t>
      </w:r>
      <w:r w:rsidR="00443F67" w:rsidRPr="00AB7504">
        <w:rPr>
          <w:rFonts w:cs="Times New Roman"/>
          <w:sz w:val="24"/>
          <w:szCs w:val="24"/>
          <w:lang w:val="en-US"/>
        </w:rPr>
        <w:t>5</w:t>
      </w:r>
      <w:r w:rsidR="007A1DA4" w:rsidRPr="00AB7504">
        <w:rPr>
          <w:rFonts w:cs="Times New Roman"/>
          <w:sz w:val="24"/>
          <w:szCs w:val="24"/>
          <w:lang w:val="en-US"/>
        </w:rPr>
        <w:t>0 years,</w:t>
      </w:r>
      <w:r w:rsidR="00AA2898" w:rsidRPr="00AB7504">
        <w:rPr>
          <w:rFonts w:cs="Times New Roman"/>
          <w:sz w:val="24"/>
          <w:szCs w:val="24"/>
          <w:lang w:val="en-US"/>
        </w:rPr>
        <w:t xml:space="preserve"> </w:t>
      </w:r>
      <w:r w:rsidR="007A1DA4" w:rsidRPr="00AB7504">
        <w:rPr>
          <w:rFonts w:cs="Times New Roman"/>
          <w:sz w:val="24"/>
          <w:szCs w:val="24"/>
          <w:lang w:val="en-US"/>
        </w:rPr>
        <w:t>a</w:t>
      </w:r>
      <w:r w:rsidR="00AA2898" w:rsidRPr="00AB7504">
        <w:rPr>
          <w:rFonts w:cs="Times New Roman"/>
          <w:sz w:val="24"/>
          <w:szCs w:val="24"/>
          <w:lang w:val="en-US"/>
        </w:rPr>
        <w:t xml:space="preserve">dvances in HLA-typing </w:t>
      </w:r>
      <w:r w:rsidR="00C355D5">
        <w:rPr>
          <w:rFonts w:cs="Times New Roman"/>
          <w:sz w:val="24"/>
          <w:szCs w:val="24"/>
          <w:lang w:val="en-US"/>
        </w:rPr>
        <w:t xml:space="preserve">with </w:t>
      </w:r>
      <w:r w:rsidR="007E6E95">
        <w:rPr>
          <w:rFonts w:cs="Times New Roman"/>
          <w:sz w:val="24"/>
          <w:szCs w:val="24"/>
          <w:lang w:val="en-US"/>
        </w:rPr>
        <w:t>better</w:t>
      </w:r>
      <w:r w:rsidR="00AA2898" w:rsidRPr="00AB7504">
        <w:rPr>
          <w:rFonts w:cs="Times New Roman"/>
          <w:sz w:val="24"/>
          <w:szCs w:val="24"/>
          <w:lang w:val="en-US"/>
        </w:rPr>
        <w:t xml:space="preserve"> matching, </w:t>
      </w:r>
      <w:r w:rsidR="007A1DA4" w:rsidRPr="00AB7504">
        <w:rPr>
          <w:rFonts w:cs="Times New Roman"/>
          <w:sz w:val="24"/>
          <w:szCs w:val="24"/>
          <w:lang w:val="en-US"/>
        </w:rPr>
        <w:t xml:space="preserve">better </w:t>
      </w:r>
      <w:r w:rsidR="00AA2898" w:rsidRPr="00AB7504">
        <w:rPr>
          <w:rFonts w:cs="Times New Roman"/>
          <w:sz w:val="24"/>
          <w:szCs w:val="24"/>
          <w:lang w:val="en-US"/>
        </w:rPr>
        <w:t xml:space="preserve">prophylaxis and treatment of frequent complications </w:t>
      </w:r>
      <w:r w:rsidR="0026295A">
        <w:rPr>
          <w:rFonts w:cs="Times New Roman"/>
          <w:sz w:val="24"/>
          <w:szCs w:val="24"/>
          <w:lang w:val="en-US"/>
        </w:rPr>
        <w:t>plus</w:t>
      </w:r>
      <w:r w:rsidR="007A1DA4" w:rsidRPr="00AB7504">
        <w:rPr>
          <w:rFonts w:cs="Times New Roman"/>
          <w:sz w:val="24"/>
          <w:szCs w:val="24"/>
          <w:lang w:val="en-US"/>
        </w:rPr>
        <w:t xml:space="preserve"> the introduction of reduced intensity conditioning regimens all </w:t>
      </w:r>
      <w:r w:rsidR="007A1DA4" w:rsidRPr="00AB7504">
        <w:rPr>
          <w:rFonts w:cs="Times New Roman"/>
          <w:sz w:val="24"/>
          <w:szCs w:val="24"/>
          <w:lang w:val="en-US"/>
        </w:rPr>
        <w:lastRenderedPageBreak/>
        <w:t>have contributed to improve the results of HSCT</w:t>
      </w:r>
      <w:r w:rsidR="005C634F" w:rsidRPr="00AB7504">
        <w:rPr>
          <w:rFonts w:cs="Times New Roman"/>
          <w:sz w:val="24"/>
          <w:szCs w:val="24"/>
          <w:lang w:val="en-US"/>
        </w:rPr>
        <w:t>,</w:t>
      </w:r>
      <w:r w:rsidR="007A1DA4" w:rsidRPr="00AB7504">
        <w:rPr>
          <w:rFonts w:cs="Times New Roman"/>
          <w:sz w:val="24"/>
          <w:szCs w:val="24"/>
          <w:lang w:val="en-US"/>
        </w:rPr>
        <w:t xml:space="preserve"> </w:t>
      </w:r>
      <w:r w:rsidR="005C634F" w:rsidRPr="00AB7504">
        <w:rPr>
          <w:rFonts w:cs="Times New Roman"/>
          <w:sz w:val="24"/>
          <w:szCs w:val="24"/>
          <w:lang w:val="en-US"/>
        </w:rPr>
        <w:t xml:space="preserve">making it a safer procedure </w:t>
      </w:r>
      <w:r w:rsidR="007E6E95">
        <w:rPr>
          <w:rFonts w:cs="Times New Roman"/>
          <w:sz w:val="24"/>
          <w:szCs w:val="24"/>
          <w:lang w:val="en-US"/>
        </w:rPr>
        <w:t>to</w:t>
      </w:r>
      <w:r w:rsidR="005C634F" w:rsidRPr="00AB7504">
        <w:rPr>
          <w:rFonts w:cs="Times New Roman"/>
          <w:sz w:val="24"/>
          <w:szCs w:val="24"/>
          <w:lang w:val="en-US"/>
        </w:rPr>
        <w:t xml:space="preserve"> </w:t>
      </w:r>
      <w:r w:rsidR="007A1DA4" w:rsidRPr="00AB7504">
        <w:rPr>
          <w:rFonts w:cs="Times New Roman"/>
          <w:sz w:val="24"/>
          <w:szCs w:val="24"/>
          <w:lang w:val="en-US"/>
        </w:rPr>
        <w:t xml:space="preserve">be offered to a </w:t>
      </w:r>
      <w:r w:rsidR="007E6E95">
        <w:rPr>
          <w:rFonts w:cs="Times New Roman"/>
          <w:sz w:val="24"/>
          <w:szCs w:val="24"/>
          <w:lang w:val="en-US"/>
        </w:rPr>
        <w:t>wider</w:t>
      </w:r>
      <w:r w:rsidR="007A1DA4" w:rsidRPr="00AB7504">
        <w:rPr>
          <w:rFonts w:cs="Times New Roman"/>
          <w:sz w:val="24"/>
          <w:szCs w:val="24"/>
          <w:lang w:val="en-US"/>
        </w:rPr>
        <w:t xml:space="preserve"> group of patients</w:t>
      </w:r>
      <w:r w:rsidR="00F0382C">
        <w:rPr>
          <w:rFonts w:cs="Times New Roman"/>
          <w:sz w:val="24"/>
          <w:szCs w:val="24"/>
          <w:lang w:val="en-US"/>
        </w:rPr>
        <w:t>.</w:t>
      </w:r>
      <w:r w:rsidR="00896465">
        <w:rPr>
          <w:rFonts w:cs="Times New Roman"/>
          <w:sz w:val="24"/>
          <w:szCs w:val="24"/>
          <w:lang w:val="en-US"/>
        </w:rPr>
        <w:t xml:space="preserve"> </w:t>
      </w:r>
      <w:r w:rsidR="00385F4E" w:rsidRPr="00896465">
        <w:rPr>
          <w:rFonts w:cs="Times New Roman"/>
          <w:color w:val="0070C0"/>
          <w:sz w:val="24"/>
          <w:szCs w:val="24"/>
          <w:vertAlign w:val="superscript"/>
          <w:lang w:val="en-US"/>
        </w:rPr>
        <w:t>6-8</w:t>
      </w:r>
      <w:r w:rsidR="00297E42" w:rsidRPr="00896465">
        <w:rPr>
          <w:rFonts w:cs="Times New Roman"/>
          <w:color w:val="0070C0"/>
          <w:sz w:val="24"/>
          <w:szCs w:val="24"/>
          <w:lang w:val="en-US"/>
        </w:rPr>
        <w:t xml:space="preserve"> </w:t>
      </w:r>
      <w:r w:rsidR="00B76C86" w:rsidRPr="00AB7504">
        <w:rPr>
          <w:rFonts w:cs="Times New Roman"/>
          <w:sz w:val="24"/>
          <w:szCs w:val="24"/>
          <w:lang w:val="en-US"/>
        </w:rPr>
        <w:t xml:space="preserve"> </w:t>
      </w:r>
      <w:r w:rsidR="007A1DA4" w:rsidRPr="00AB7504">
        <w:rPr>
          <w:rFonts w:cs="Times New Roman"/>
          <w:sz w:val="24"/>
          <w:szCs w:val="24"/>
          <w:lang w:val="en-US"/>
        </w:rPr>
        <w:t xml:space="preserve"> </w:t>
      </w:r>
    </w:p>
    <w:p w14:paraId="7FE77E8A" w14:textId="08E7A596" w:rsidR="00AF3BCE" w:rsidRPr="00AB7504" w:rsidRDefault="00B76C86" w:rsidP="00A14B97">
      <w:pPr>
        <w:spacing w:before="80" w:after="80" w:line="480" w:lineRule="auto"/>
        <w:jc w:val="both"/>
        <w:rPr>
          <w:rFonts w:cs="Times New Roman"/>
          <w:sz w:val="24"/>
          <w:szCs w:val="24"/>
          <w:lang w:val="en-US"/>
        </w:rPr>
      </w:pPr>
      <w:r w:rsidRPr="00AB7504">
        <w:rPr>
          <w:rFonts w:cs="Times New Roman"/>
          <w:sz w:val="24"/>
          <w:szCs w:val="24"/>
          <w:lang w:val="en-US"/>
        </w:rPr>
        <w:t>The purpose of this study was to compare transplant characteristics</w:t>
      </w:r>
      <w:r w:rsidR="003A77E5">
        <w:rPr>
          <w:rFonts w:cs="Times New Roman"/>
          <w:sz w:val="24"/>
          <w:szCs w:val="24"/>
          <w:lang w:val="en-US"/>
        </w:rPr>
        <w:t xml:space="preserve"> and results obtained</w:t>
      </w:r>
      <w:r w:rsidR="00DB377C" w:rsidRPr="00AB7504">
        <w:rPr>
          <w:rFonts w:cs="Times New Roman"/>
          <w:sz w:val="24"/>
          <w:szCs w:val="24"/>
          <w:lang w:val="en-US"/>
        </w:rPr>
        <w:t xml:space="preserve"> </w:t>
      </w:r>
      <w:r w:rsidRPr="00AB7504">
        <w:rPr>
          <w:rFonts w:cs="Times New Roman"/>
          <w:sz w:val="24"/>
          <w:szCs w:val="24"/>
          <w:lang w:val="en-US"/>
        </w:rPr>
        <w:t xml:space="preserve">over </w:t>
      </w:r>
      <w:r w:rsidR="003A77E5">
        <w:rPr>
          <w:rFonts w:cs="Times New Roman"/>
          <w:sz w:val="24"/>
          <w:szCs w:val="24"/>
          <w:lang w:val="en-US"/>
        </w:rPr>
        <w:t>30 years</w:t>
      </w:r>
      <w:r w:rsidR="00DB377C" w:rsidRPr="00AB7504">
        <w:rPr>
          <w:rFonts w:cs="Times New Roman"/>
          <w:sz w:val="24"/>
          <w:szCs w:val="24"/>
          <w:lang w:val="en-US"/>
        </w:rPr>
        <w:t>, since the beginning</w:t>
      </w:r>
      <w:r w:rsidRPr="00AB7504">
        <w:rPr>
          <w:rFonts w:cs="Times New Roman"/>
          <w:sz w:val="24"/>
          <w:szCs w:val="24"/>
          <w:lang w:val="en-US"/>
        </w:rPr>
        <w:t xml:space="preserve"> </w:t>
      </w:r>
      <w:r w:rsidR="00DB377C" w:rsidRPr="00AB7504">
        <w:rPr>
          <w:rFonts w:cs="Times New Roman"/>
          <w:sz w:val="24"/>
          <w:szCs w:val="24"/>
          <w:lang w:val="en-US"/>
        </w:rPr>
        <w:t xml:space="preserve">of our </w:t>
      </w:r>
      <w:r w:rsidR="00B01040" w:rsidRPr="00AB7504">
        <w:rPr>
          <w:rFonts w:cs="Times New Roman"/>
          <w:sz w:val="24"/>
          <w:szCs w:val="24"/>
          <w:lang w:val="en-US"/>
        </w:rPr>
        <w:t xml:space="preserve">combined adult and pediatric </w:t>
      </w:r>
      <w:r w:rsidR="00DB377C" w:rsidRPr="00AB7504">
        <w:rPr>
          <w:rFonts w:cs="Times New Roman"/>
          <w:sz w:val="24"/>
          <w:szCs w:val="24"/>
          <w:lang w:val="en-US"/>
        </w:rPr>
        <w:t>transplant program</w:t>
      </w:r>
      <w:r w:rsidR="00AA2898" w:rsidRPr="00AB7504">
        <w:rPr>
          <w:rFonts w:cs="Times New Roman"/>
          <w:sz w:val="24"/>
          <w:szCs w:val="24"/>
          <w:lang w:val="en-US"/>
        </w:rPr>
        <w:t xml:space="preserve"> </w:t>
      </w:r>
      <w:r w:rsidR="00DB377C" w:rsidRPr="00AB7504">
        <w:rPr>
          <w:rFonts w:cs="Times New Roman"/>
          <w:sz w:val="24"/>
          <w:szCs w:val="24"/>
          <w:lang w:val="en-US"/>
        </w:rPr>
        <w:t>in May 1987</w:t>
      </w:r>
      <w:r w:rsidR="0026295A">
        <w:rPr>
          <w:rFonts w:cs="Times New Roman"/>
          <w:sz w:val="24"/>
          <w:szCs w:val="24"/>
          <w:lang w:val="en-US"/>
        </w:rPr>
        <w:t xml:space="preserve">, the </w:t>
      </w:r>
      <w:r w:rsidR="00CE7570">
        <w:rPr>
          <w:rFonts w:cs="Times New Roman"/>
          <w:sz w:val="24"/>
          <w:szCs w:val="24"/>
          <w:lang w:val="en-US"/>
        </w:rPr>
        <w:t xml:space="preserve">first </w:t>
      </w:r>
      <w:r w:rsidR="0026295A">
        <w:rPr>
          <w:rFonts w:cs="Times New Roman"/>
          <w:sz w:val="24"/>
          <w:szCs w:val="24"/>
          <w:lang w:val="en-US"/>
        </w:rPr>
        <w:t>to be conducted in Portugal and the longest in permanent activity</w:t>
      </w:r>
      <w:r w:rsidR="00B01040" w:rsidRPr="00AB7504">
        <w:rPr>
          <w:rFonts w:cs="Times New Roman"/>
          <w:sz w:val="24"/>
          <w:szCs w:val="24"/>
          <w:lang w:val="en-US"/>
        </w:rPr>
        <w:t>.</w:t>
      </w:r>
      <w:r w:rsidR="00DB377C" w:rsidRPr="00AB7504">
        <w:rPr>
          <w:rFonts w:cs="Times New Roman"/>
          <w:sz w:val="24"/>
          <w:szCs w:val="24"/>
          <w:lang w:val="en-US"/>
        </w:rPr>
        <w:t xml:space="preserve"> </w:t>
      </w:r>
    </w:p>
    <w:p w14:paraId="6EEE7D2D" w14:textId="77777777" w:rsidR="00D75C98" w:rsidRDefault="00D75C98" w:rsidP="00A14B97">
      <w:pPr>
        <w:spacing w:before="80" w:after="80" w:line="480" w:lineRule="auto"/>
        <w:jc w:val="both"/>
        <w:rPr>
          <w:rFonts w:ascii="Times New Roman" w:hAnsi="Times New Roman" w:cs="Times New Roman"/>
          <w:sz w:val="24"/>
          <w:szCs w:val="24"/>
          <w:lang w:val="en-US"/>
        </w:rPr>
      </w:pPr>
    </w:p>
    <w:p w14:paraId="4E4509BA" w14:textId="77777777" w:rsidR="00D75C98" w:rsidRPr="00CD7E14" w:rsidRDefault="0026017B" w:rsidP="00A14B97">
      <w:pPr>
        <w:spacing w:before="80" w:after="80" w:line="480" w:lineRule="auto"/>
        <w:jc w:val="both"/>
        <w:rPr>
          <w:rFonts w:cs="Times New Roman"/>
          <w:b/>
          <w:sz w:val="24"/>
          <w:szCs w:val="24"/>
          <w:lang w:val="en-US"/>
        </w:rPr>
      </w:pPr>
      <w:r w:rsidRPr="00CD7E14">
        <w:rPr>
          <w:rFonts w:cs="Times New Roman"/>
          <w:b/>
          <w:sz w:val="24"/>
          <w:szCs w:val="24"/>
          <w:lang w:val="en-US"/>
        </w:rPr>
        <w:t>PATIENTS AND METHODS</w:t>
      </w:r>
    </w:p>
    <w:p w14:paraId="49931171" w14:textId="77777777" w:rsidR="0026017B" w:rsidRPr="00CD7E14" w:rsidRDefault="0026017B" w:rsidP="00A14B97">
      <w:pPr>
        <w:spacing w:before="80" w:after="80" w:line="480" w:lineRule="auto"/>
        <w:jc w:val="both"/>
        <w:rPr>
          <w:rFonts w:cs="Times New Roman"/>
          <w:b/>
          <w:sz w:val="24"/>
          <w:szCs w:val="24"/>
          <w:lang w:val="en-US"/>
        </w:rPr>
      </w:pPr>
      <w:r w:rsidRPr="00CD7E14">
        <w:rPr>
          <w:rFonts w:cs="Times New Roman"/>
          <w:b/>
          <w:sz w:val="24"/>
          <w:szCs w:val="24"/>
          <w:lang w:val="en-US"/>
        </w:rPr>
        <w:t xml:space="preserve">Patients </w:t>
      </w:r>
    </w:p>
    <w:p w14:paraId="2A10F2F8" w14:textId="0C702C86" w:rsidR="00D75C98" w:rsidRPr="00CD7E14" w:rsidRDefault="00D75C98" w:rsidP="00A14B97">
      <w:pPr>
        <w:spacing w:before="80" w:after="80" w:line="480" w:lineRule="auto"/>
        <w:jc w:val="both"/>
        <w:rPr>
          <w:rFonts w:cs="Times New Roman"/>
          <w:sz w:val="24"/>
          <w:szCs w:val="24"/>
          <w:lang w:val="en-US"/>
        </w:rPr>
      </w:pPr>
      <w:r w:rsidRPr="00CD7E14">
        <w:rPr>
          <w:rFonts w:cs="Times New Roman"/>
          <w:sz w:val="24"/>
          <w:szCs w:val="24"/>
          <w:lang w:val="en-US"/>
        </w:rPr>
        <w:t xml:space="preserve">This retrospective study included </w:t>
      </w:r>
      <w:r w:rsidR="0026017B" w:rsidRPr="00CD7E14">
        <w:rPr>
          <w:rFonts w:cs="Times New Roman"/>
          <w:sz w:val="24"/>
          <w:szCs w:val="24"/>
          <w:lang w:val="en-US"/>
        </w:rPr>
        <w:t xml:space="preserve">682 consecutive </w:t>
      </w:r>
      <w:r w:rsidRPr="00CD7E14">
        <w:rPr>
          <w:rFonts w:cs="Times New Roman"/>
          <w:sz w:val="24"/>
          <w:szCs w:val="24"/>
          <w:lang w:val="en-US"/>
        </w:rPr>
        <w:t>patients who underwent their first allogeneic HSCT between 1987 and 201</w:t>
      </w:r>
      <w:r w:rsidR="00B01040" w:rsidRPr="00CD7E14">
        <w:rPr>
          <w:rFonts w:cs="Times New Roman"/>
          <w:sz w:val="24"/>
          <w:szCs w:val="24"/>
          <w:lang w:val="en-US"/>
        </w:rPr>
        <w:t>6</w:t>
      </w:r>
      <w:r w:rsidRPr="00CD7E14">
        <w:rPr>
          <w:rFonts w:cs="Times New Roman"/>
          <w:sz w:val="24"/>
          <w:szCs w:val="24"/>
          <w:lang w:val="en-US"/>
        </w:rPr>
        <w:t>.</w:t>
      </w:r>
      <w:r w:rsidR="00AF5786" w:rsidRPr="00CD7E14">
        <w:rPr>
          <w:rFonts w:cs="Times New Roman"/>
          <w:sz w:val="24"/>
          <w:szCs w:val="24"/>
          <w:lang w:val="en-US"/>
        </w:rPr>
        <w:t xml:space="preserve"> The study was divided into three time </w:t>
      </w:r>
      <w:r w:rsidR="002F7E23">
        <w:rPr>
          <w:rFonts w:cs="Times New Roman"/>
          <w:sz w:val="24"/>
          <w:szCs w:val="24"/>
          <w:lang w:val="en-US"/>
        </w:rPr>
        <w:t>periods</w:t>
      </w:r>
      <w:r w:rsidR="00AF5786" w:rsidRPr="00CD7E14">
        <w:rPr>
          <w:rFonts w:cs="Times New Roman"/>
          <w:sz w:val="24"/>
          <w:szCs w:val="24"/>
          <w:lang w:val="en-US"/>
        </w:rPr>
        <w:t xml:space="preserve"> (28</w:t>
      </w:r>
      <w:r w:rsidR="003A77E5">
        <w:rPr>
          <w:rFonts w:cs="Times New Roman"/>
          <w:sz w:val="24"/>
          <w:szCs w:val="24"/>
          <w:lang w:val="en-US"/>
        </w:rPr>
        <w:t>/</w:t>
      </w:r>
      <w:r w:rsidR="00AF5786" w:rsidRPr="00CD7E14">
        <w:rPr>
          <w:rFonts w:cs="Times New Roman"/>
          <w:sz w:val="24"/>
          <w:szCs w:val="24"/>
          <w:lang w:val="en-US"/>
        </w:rPr>
        <w:t>05</w:t>
      </w:r>
      <w:r w:rsidR="003A77E5">
        <w:rPr>
          <w:rFonts w:cs="Times New Roman"/>
          <w:sz w:val="24"/>
          <w:szCs w:val="24"/>
          <w:lang w:val="en-US"/>
        </w:rPr>
        <w:t>/</w:t>
      </w:r>
      <w:r w:rsidR="00AF5786" w:rsidRPr="00CD7E14">
        <w:rPr>
          <w:rFonts w:cs="Times New Roman"/>
          <w:sz w:val="24"/>
          <w:szCs w:val="24"/>
          <w:lang w:val="en-US"/>
        </w:rPr>
        <w:t>87 to 27</w:t>
      </w:r>
      <w:r w:rsidR="003A77E5">
        <w:rPr>
          <w:rFonts w:cs="Times New Roman"/>
          <w:sz w:val="24"/>
          <w:szCs w:val="24"/>
          <w:lang w:val="en-US"/>
        </w:rPr>
        <w:t>/</w:t>
      </w:r>
      <w:r w:rsidR="00AF5786" w:rsidRPr="00CD7E14">
        <w:rPr>
          <w:rFonts w:cs="Times New Roman"/>
          <w:sz w:val="24"/>
          <w:szCs w:val="24"/>
          <w:lang w:val="en-US"/>
        </w:rPr>
        <w:t>05</w:t>
      </w:r>
      <w:r w:rsidR="003A77E5">
        <w:rPr>
          <w:rFonts w:cs="Times New Roman"/>
          <w:sz w:val="24"/>
          <w:szCs w:val="24"/>
          <w:lang w:val="en-US"/>
        </w:rPr>
        <w:t>/</w:t>
      </w:r>
      <w:r w:rsidR="00AF5786" w:rsidRPr="00CD7E14">
        <w:rPr>
          <w:rFonts w:cs="Times New Roman"/>
          <w:sz w:val="24"/>
          <w:szCs w:val="24"/>
          <w:lang w:val="en-US"/>
        </w:rPr>
        <w:t>97; 28</w:t>
      </w:r>
      <w:r w:rsidR="003A77E5">
        <w:rPr>
          <w:rFonts w:cs="Times New Roman"/>
          <w:sz w:val="24"/>
          <w:szCs w:val="24"/>
          <w:lang w:val="en-US"/>
        </w:rPr>
        <w:t>/</w:t>
      </w:r>
      <w:r w:rsidR="00AF5786" w:rsidRPr="00CD7E14">
        <w:rPr>
          <w:rFonts w:cs="Times New Roman"/>
          <w:sz w:val="24"/>
          <w:szCs w:val="24"/>
          <w:lang w:val="en-US"/>
        </w:rPr>
        <w:t>05</w:t>
      </w:r>
      <w:r w:rsidR="003A77E5">
        <w:rPr>
          <w:rFonts w:cs="Times New Roman"/>
          <w:sz w:val="24"/>
          <w:szCs w:val="24"/>
          <w:lang w:val="en-US"/>
        </w:rPr>
        <w:t>/</w:t>
      </w:r>
      <w:r w:rsidR="00AF5786" w:rsidRPr="00CD7E14">
        <w:rPr>
          <w:rFonts w:cs="Times New Roman"/>
          <w:sz w:val="24"/>
          <w:szCs w:val="24"/>
          <w:lang w:val="en-US"/>
        </w:rPr>
        <w:t>97 to 27</w:t>
      </w:r>
      <w:r w:rsidR="003A77E5">
        <w:rPr>
          <w:rFonts w:cs="Times New Roman"/>
          <w:sz w:val="24"/>
          <w:szCs w:val="24"/>
          <w:lang w:val="en-US"/>
        </w:rPr>
        <w:t>/</w:t>
      </w:r>
      <w:r w:rsidR="00AF5786" w:rsidRPr="00CD7E14">
        <w:rPr>
          <w:rFonts w:cs="Times New Roman"/>
          <w:sz w:val="24"/>
          <w:szCs w:val="24"/>
          <w:lang w:val="en-US"/>
        </w:rPr>
        <w:t>05</w:t>
      </w:r>
      <w:r w:rsidR="003A77E5">
        <w:rPr>
          <w:rFonts w:cs="Times New Roman"/>
          <w:sz w:val="24"/>
          <w:szCs w:val="24"/>
          <w:lang w:val="en-US"/>
        </w:rPr>
        <w:t>/</w:t>
      </w:r>
      <w:r w:rsidR="00AF5786" w:rsidRPr="00CD7E14">
        <w:rPr>
          <w:rFonts w:cs="Times New Roman"/>
          <w:sz w:val="24"/>
          <w:szCs w:val="24"/>
          <w:lang w:val="en-US"/>
        </w:rPr>
        <w:t>07; 28</w:t>
      </w:r>
      <w:r w:rsidR="003A77E5">
        <w:rPr>
          <w:rFonts w:cs="Times New Roman"/>
          <w:sz w:val="24"/>
          <w:szCs w:val="24"/>
          <w:lang w:val="en-US"/>
        </w:rPr>
        <w:t>/</w:t>
      </w:r>
      <w:r w:rsidR="00AF5786" w:rsidRPr="00CD7E14">
        <w:rPr>
          <w:rFonts w:cs="Times New Roman"/>
          <w:sz w:val="24"/>
          <w:szCs w:val="24"/>
          <w:lang w:val="en-US"/>
        </w:rPr>
        <w:t>05</w:t>
      </w:r>
      <w:r w:rsidR="003A77E5">
        <w:rPr>
          <w:rFonts w:cs="Times New Roman"/>
          <w:sz w:val="24"/>
          <w:szCs w:val="24"/>
          <w:lang w:val="en-US"/>
        </w:rPr>
        <w:t>/</w:t>
      </w:r>
      <w:r w:rsidR="00AF5786" w:rsidRPr="00CD7E14">
        <w:rPr>
          <w:rFonts w:cs="Times New Roman"/>
          <w:sz w:val="24"/>
          <w:szCs w:val="24"/>
          <w:lang w:val="en-US"/>
        </w:rPr>
        <w:t>07 to 31</w:t>
      </w:r>
      <w:r w:rsidR="003A77E5">
        <w:rPr>
          <w:rFonts w:cs="Times New Roman"/>
          <w:sz w:val="24"/>
          <w:szCs w:val="24"/>
          <w:lang w:val="en-US"/>
        </w:rPr>
        <w:t>/</w:t>
      </w:r>
      <w:r w:rsidR="00AF5786" w:rsidRPr="00CD7E14">
        <w:rPr>
          <w:rFonts w:cs="Times New Roman"/>
          <w:sz w:val="24"/>
          <w:szCs w:val="24"/>
          <w:lang w:val="en-US"/>
        </w:rPr>
        <w:t>05</w:t>
      </w:r>
      <w:r w:rsidR="003A77E5">
        <w:rPr>
          <w:rFonts w:cs="Times New Roman"/>
          <w:sz w:val="24"/>
          <w:szCs w:val="24"/>
          <w:lang w:val="en-US"/>
        </w:rPr>
        <w:t>/</w:t>
      </w:r>
      <w:r w:rsidR="00AF5786" w:rsidRPr="00CD7E14">
        <w:rPr>
          <w:rFonts w:cs="Times New Roman"/>
          <w:sz w:val="24"/>
          <w:szCs w:val="24"/>
          <w:lang w:val="en-US"/>
        </w:rPr>
        <w:t>16)</w:t>
      </w:r>
      <w:r w:rsidR="006321FC" w:rsidRPr="00CD7E14">
        <w:rPr>
          <w:rFonts w:cs="Times New Roman"/>
          <w:sz w:val="24"/>
          <w:szCs w:val="24"/>
          <w:lang w:val="en-US"/>
        </w:rPr>
        <w:t>.</w:t>
      </w:r>
      <w:r w:rsidR="00AF5786" w:rsidRPr="00CD7E14">
        <w:rPr>
          <w:rFonts w:cs="Times New Roman"/>
          <w:sz w:val="24"/>
          <w:szCs w:val="24"/>
          <w:lang w:val="en-US"/>
        </w:rPr>
        <w:t xml:space="preserve"> </w:t>
      </w:r>
      <w:r w:rsidRPr="00CD7E14">
        <w:rPr>
          <w:rFonts w:cs="Times New Roman"/>
          <w:sz w:val="24"/>
          <w:szCs w:val="24"/>
          <w:lang w:val="en-US"/>
        </w:rPr>
        <w:t xml:space="preserve"> </w:t>
      </w:r>
      <w:r w:rsidR="005357E3">
        <w:rPr>
          <w:rFonts w:cs="Times New Roman"/>
          <w:sz w:val="24"/>
          <w:szCs w:val="24"/>
          <w:lang w:val="en-US"/>
        </w:rPr>
        <w:t>Data</w:t>
      </w:r>
      <w:r w:rsidRPr="00CD7E14">
        <w:rPr>
          <w:rFonts w:cs="Times New Roman"/>
          <w:sz w:val="24"/>
          <w:szCs w:val="24"/>
          <w:lang w:val="en-US"/>
        </w:rPr>
        <w:t xml:space="preserve"> for this analysis w</w:t>
      </w:r>
      <w:r w:rsidR="003A77E5">
        <w:rPr>
          <w:rFonts w:cs="Times New Roman"/>
          <w:sz w:val="24"/>
          <w:szCs w:val="24"/>
          <w:lang w:val="en-US"/>
        </w:rPr>
        <w:t>ere</w:t>
      </w:r>
      <w:r w:rsidRPr="00CD7E14">
        <w:rPr>
          <w:rFonts w:cs="Times New Roman"/>
          <w:sz w:val="24"/>
          <w:szCs w:val="24"/>
          <w:lang w:val="en-US"/>
        </w:rPr>
        <w:t xml:space="preserve"> obtained from our patient database and collected from 28 May 1987 t</w:t>
      </w:r>
      <w:r w:rsidR="000010D5" w:rsidRPr="00CD7E14">
        <w:rPr>
          <w:rFonts w:cs="Times New Roman"/>
          <w:sz w:val="24"/>
          <w:szCs w:val="24"/>
          <w:lang w:val="en-US"/>
        </w:rPr>
        <w:t>o</w:t>
      </w:r>
      <w:r w:rsidRPr="00CD7E14">
        <w:rPr>
          <w:rFonts w:cs="Times New Roman"/>
          <w:sz w:val="24"/>
          <w:szCs w:val="24"/>
          <w:lang w:val="en-US"/>
        </w:rPr>
        <w:t xml:space="preserve"> 31 May 201</w:t>
      </w:r>
      <w:r w:rsidR="00A717A5" w:rsidRPr="00CD7E14">
        <w:rPr>
          <w:rFonts w:cs="Times New Roman"/>
          <w:sz w:val="24"/>
          <w:szCs w:val="24"/>
          <w:lang w:val="en-US"/>
        </w:rPr>
        <w:t>6</w:t>
      </w:r>
      <w:r w:rsidRPr="00CD7E14">
        <w:rPr>
          <w:rFonts w:cs="Times New Roman"/>
          <w:sz w:val="24"/>
          <w:szCs w:val="24"/>
          <w:lang w:val="en-US"/>
        </w:rPr>
        <w:t>.</w:t>
      </w:r>
      <w:r w:rsidR="003A77E5">
        <w:rPr>
          <w:rFonts w:cs="Times New Roman"/>
          <w:sz w:val="24"/>
          <w:szCs w:val="24"/>
          <w:lang w:val="en-US"/>
        </w:rPr>
        <w:t xml:space="preserve"> The c</w:t>
      </w:r>
      <w:r w:rsidRPr="00CD7E14">
        <w:rPr>
          <w:rFonts w:cs="Times New Roman"/>
          <w:sz w:val="24"/>
          <w:szCs w:val="24"/>
          <w:lang w:val="en-US"/>
        </w:rPr>
        <w:t>ut-off date for analys</w:t>
      </w:r>
      <w:r w:rsidR="00A717A5" w:rsidRPr="00CD7E14">
        <w:rPr>
          <w:rFonts w:cs="Times New Roman"/>
          <w:sz w:val="24"/>
          <w:szCs w:val="24"/>
          <w:lang w:val="en-US"/>
        </w:rPr>
        <w:t>i</w:t>
      </w:r>
      <w:r w:rsidRPr="00CD7E14">
        <w:rPr>
          <w:rFonts w:cs="Times New Roman"/>
          <w:sz w:val="24"/>
          <w:szCs w:val="24"/>
          <w:lang w:val="en-US"/>
        </w:rPr>
        <w:t>s was 31 May 2017.</w:t>
      </w:r>
      <w:r w:rsidR="000010D5" w:rsidRPr="00CD7E14">
        <w:rPr>
          <w:rFonts w:cs="Times New Roman"/>
          <w:sz w:val="24"/>
          <w:szCs w:val="24"/>
          <w:lang w:val="en-US"/>
        </w:rPr>
        <w:t xml:space="preserve"> Survivors were censored at the date of last follow-up. Patients and donors gave </w:t>
      </w:r>
      <w:r w:rsidR="005357E3">
        <w:rPr>
          <w:rFonts w:cs="Times New Roman"/>
          <w:sz w:val="24"/>
          <w:szCs w:val="24"/>
          <w:lang w:val="en-US"/>
        </w:rPr>
        <w:t>permission</w:t>
      </w:r>
      <w:r w:rsidR="000010D5" w:rsidRPr="00CD7E14">
        <w:rPr>
          <w:rFonts w:cs="Times New Roman"/>
          <w:sz w:val="24"/>
          <w:szCs w:val="24"/>
          <w:lang w:val="en-US"/>
        </w:rPr>
        <w:t xml:space="preserve"> for the use of their data and </w:t>
      </w:r>
      <w:r w:rsidR="002F7E23">
        <w:rPr>
          <w:rFonts w:cs="Times New Roman"/>
          <w:sz w:val="24"/>
          <w:szCs w:val="24"/>
          <w:lang w:val="en-US"/>
        </w:rPr>
        <w:t>the</w:t>
      </w:r>
      <w:r w:rsidR="000010D5" w:rsidRPr="00CD7E14">
        <w:rPr>
          <w:rFonts w:cs="Times New Roman"/>
          <w:sz w:val="24"/>
          <w:szCs w:val="24"/>
          <w:lang w:val="en-US"/>
        </w:rPr>
        <w:t xml:space="preserve"> study was approved by the institutional review board.</w:t>
      </w:r>
    </w:p>
    <w:p w14:paraId="6745E28B" w14:textId="77777777" w:rsidR="0026017B" w:rsidRPr="00CD7E14" w:rsidRDefault="0026017B" w:rsidP="00A14B97">
      <w:pPr>
        <w:spacing w:before="80" w:after="80" w:line="480" w:lineRule="auto"/>
        <w:jc w:val="both"/>
        <w:rPr>
          <w:rFonts w:cs="Times New Roman"/>
          <w:b/>
          <w:sz w:val="24"/>
          <w:szCs w:val="24"/>
          <w:lang w:val="en-US"/>
        </w:rPr>
      </w:pPr>
      <w:r w:rsidRPr="00CD7E14">
        <w:rPr>
          <w:rFonts w:cs="Times New Roman"/>
          <w:b/>
          <w:sz w:val="24"/>
          <w:szCs w:val="24"/>
          <w:lang w:val="en-US"/>
        </w:rPr>
        <w:t>Transplantation techniques</w:t>
      </w:r>
    </w:p>
    <w:p w14:paraId="7F10CF26" w14:textId="41E60290" w:rsidR="0026017B" w:rsidRPr="00B13326" w:rsidRDefault="0026017B" w:rsidP="00A14B97">
      <w:pPr>
        <w:spacing w:before="80" w:after="80" w:line="480" w:lineRule="auto"/>
        <w:jc w:val="both"/>
        <w:rPr>
          <w:rFonts w:cs="Times New Roman"/>
          <w:sz w:val="24"/>
          <w:szCs w:val="24"/>
          <w:lang w:val="en-US"/>
        </w:rPr>
      </w:pPr>
      <w:r w:rsidRPr="00B13326">
        <w:rPr>
          <w:rFonts w:cs="Times New Roman"/>
          <w:sz w:val="24"/>
          <w:szCs w:val="24"/>
          <w:lang w:val="en-US"/>
        </w:rPr>
        <w:t>All patients received a conditioning regimen followed by infusion of donor cells</w:t>
      </w:r>
      <w:r w:rsidR="00E209A1" w:rsidRPr="00B13326">
        <w:rPr>
          <w:rFonts w:cs="Times New Roman"/>
          <w:sz w:val="24"/>
          <w:szCs w:val="24"/>
          <w:lang w:val="en-US"/>
        </w:rPr>
        <w:t>, mostly as inpatients in</w:t>
      </w:r>
      <w:r w:rsidR="0026295A">
        <w:rPr>
          <w:rFonts w:cs="Times New Roman"/>
          <w:sz w:val="24"/>
          <w:szCs w:val="24"/>
          <w:lang w:val="en-US"/>
        </w:rPr>
        <w:t xml:space="preserve"> </w:t>
      </w:r>
      <w:r w:rsidR="007E6E95">
        <w:rPr>
          <w:rFonts w:cs="Times New Roman"/>
          <w:sz w:val="24"/>
          <w:szCs w:val="24"/>
          <w:lang w:val="en-US"/>
        </w:rPr>
        <w:t>single</w:t>
      </w:r>
      <w:r w:rsidR="00E209A1" w:rsidRPr="00B13326">
        <w:rPr>
          <w:rFonts w:cs="Times New Roman"/>
          <w:sz w:val="24"/>
          <w:szCs w:val="24"/>
          <w:lang w:val="en-US"/>
        </w:rPr>
        <w:t xml:space="preserve"> rooms </w:t>
      </w:r>
      <w:r w:rsidR="00E209A1" w:rsidRPr="00B13326">
        <w:rPr>
          <w:rFonts w:cs="Times New Roman"/>
          <w:sz w:val="24"/>
          <w:szCs w:val="24"/>
          <w:lang w:val="en-US"/>
        </w:rPr>
        <w:lastRenderedPageBreak/>
        <w:t>with HEPA filtered air</w:t>
      </w:r>
      <w:r w:rsidRPr="00B13326">
        <w:rPr>
          <w:rFonts w:cs="Times New Roman"/>
          <w:sz w:val="24"/>
          <w:szCs w:val="24"/>
          <w:lang w:val="en-US"/>
        </w:rPr>
        <w:t xml:space="preserve">. </w:t>
      </w:r>
      <w:r w:rsidR="00B12425" w:rsidRPr="00B13326">
        <w:rPr>
          <w:rFonts w:cs="Times New Roman"/>
          <w:sz w:val="24"/>
          <w:szCs w:val="24"/>
          <w:lang w:val="en-US"/>
        </w:rPr>
        <w:t>Although these regimens varied, the myeloablative conditioning</w:t>
      </w:r>
      <w:r w:rsidR="003A77E5">
        <w:rPr>
          <w:rFonts w:cs="Times New Roman"/>
          <w:sz w:val="24"/>
          <w:szCs w:val="24"/>
          <w:lang w:val="en-US"/>
        </w:rPr>
        <w:t xml:space="preserve"> (MAC)</w:t>
      </w:r>
      <w:r w:rsidR="00B12425" w:rsidRPr="00B13326">
        <w:rPr>
          <w:rFonts w:cs="Times New Roman"/>
          <w:sz w:val="24"/>
          <w:szCs w:val="24"/>
          <w:lang w:val="en-US"/>
        </w:rPr>
        <w:t xml:space="preserve"> generally contained high-dose cyclophosphamide with busulfan or 12.0 to 13.2 Gy of total body irradiation (TBI). </w:t>
      </w:r>
      <w:r w:rsidR="00B12425" w:rsidRPr="00BC6FB0">
        <w:rPr>
          <w:rFonts w:cs="Times New Roman"/>
          <w:color w:val="00B0F0"/>
          <w:sz w:val="24"/>
          <w:szCs w:val="24"/>
          <w:lang w:val="en-US"/>
        </w:rPr>
        <w:t>Reduce</w:t>
      </w:r>
      <w:r w:rsidR="00603D45" w:rsidRPr="00BC6FB0">
        <w:rPr>
          <w:rFonts w:cs="Times New Roman"/>
          <w:color w:val="00B0F0"/>
          <w:sz w:val="24"/>
          <w:szCs w:val="24"/>
          <w:lang w:val="en-US"/>
        </w:rPr>
        <w:t>d</w:t>
      </w:r>
      <w:r w:rsidR="00B12425" w:rsidRPr="00BC6FB0">
        <w:rPr>
          <w:rFonts w:cs="Times New Roman"/>
          <w:color w:val="00B0F0"/>
          <w:sz w:val="24"/>
          <w:szCs w:val="24"/>
          <w:lang w:val="en-US"/>
        </w:rPr>
        <w:t xml:space="preserve"> intensity</w:t>
      </w:r>
      <w:r w:rsidR="00BC6FB0" w:rsidRPr="00BC6FB0">
        <w:rPr>
          <w:rFonts w:cs="Times New Roman"/>
          <w:color w:val="00B0F0"/>
          <w:sz w:val="24"/>
          <w:szCs w:val="24"/>
          <w:lang w:val="en-US"/>
        </w:rPr>
        <w:t xml:space="preserve"> regimens (RIC)</w:t>
      </w:r>
      <w:r w:rsidR="004F2DAD" w:rsidRPr="00BC6FB0">
        <w:rPr>
          <w:color w:val="00B0F0"/>
          <w:sz w:val="24"/>
          <w:szCs w:val="24"/>
          <w:lang w:val="en-US"/>
        </w:rPr>
        <w:t>,</w:t>
      </w:r>
      <w:r w:rsidR="00B12425" w:rsidRPr="00BC6FB0">
        <w:rPr>
          <w:color w:val="00B0F0"/>
          <w:sz w:val="24"/>
          <w:szCs w:val="24"/>
          <w:lang w:val="en-US"/>
        </w:rPr>
        <w:t xml:space="preserve"> </w:t>
      </w:r>
      <w:r w:rsidR="00B12425" w:rsidRPr="00B13326">
        <w:rPr>
          <w:rFonts w:cs="Times New Roman"/>
          <w:sz w:val="24"/>
          <w:szCs w:val="24"/>
          <w:lang w:val="en-US"/>
        </w:rPr>
        <w:t>introduced over the last 2 decades</w:t>
      </w:r>
      <w:r w:rsidR="004F2DAD" w:rsidRPr="00B13326">
        <w:rPr>
          <w:rFonts w:cs="Times New Roman"/>
          <w:sz w:val="24"/>
          <w:szCs w:val="24"/>
          <w:lang w:val="en-US"/>
        </w:rPr>
        <w:t>,</w:t>
      </w:r>
      <w:r w:rsidR="00B12425" w:rsidRPr="00B13326">
        <w:rPr>
          <w:sz w:val="24"/>
          <w:szCs w:val="24"/>
          <w:lang w:val="en-US"/>
        </w:rPr>
        <w:t xml:space="preserve"> </w:t>
      </w:r>
      <w:r w:rsidR="00B12425" w:rsidRPr="00B13326">
        <w:rPr>
          <w:rFonts w:cs="Times New Roman"/>
          <w:sz w:val="24"/>
          <w:szCs w:val="24"/>
          <w:lang w:val="en-US"/>
        </w:rPr>
        <w:t>were defined as in</w:t>
      </w:r>
      <w:r w:rsidR="00B12425" w:rsidRPr="00B13326">
        <w:rPr>
          <w:sz w:val="24"/>
          <w:szCs w:val="24"/>
          <w:lang w:val="en-US"/>
        </w:rPr>
        <w:t xml:space="preserve"> </w:t>
      </w:r>
      <w:r w:rsidR="00B12425" w:rsidRPr="00B13326">
        <w:rPr>
          <w:rFonts w:cs="Times New Roman"/>
          <w:sz w:val="24"/>
          <w:szCs w:val="24"/>
          <w:lang w:val="en-US"/>
        </w:rPr>
        <w:t>Bacigalupo et al</w:t>
      </w:r>
      <w:r w:rsidR="00385F4E" w:rsidRPr="00896465">
        <w:rPr>
          <w:rFonts w:cs="Times New Roman"/>
          <w:color w:val="0070C0"/>
          <w:sz w:val="24"/>
          <w:szCs w:val="24"/>
          <w:vertAlign w:val="superscript"/>
          <w:lang w:val="en-US"/>
        </w:rPr>
        <w:t>9</w:t>
      </w:r>
      <w:r w:rsidR="00B12425" w:rsidRPr="00B13326">
        <w:rPr>
          <w:rFonts w:cs="Times New Roman"/>
          <w:sz w:val="24"/>
          <w:szCs w:val="24"/>
          <w:lang w:val="en-US"/>
        </w:rPr>
        <w:t xml:space="preserve"> </w:t>
      </w:r>
      <w:r w:rsidR="00B12425" w:rsidRPr="00B13326">
        <w:rPr>
          <w:sz w:val="24"/>
          <w:szCs w:val="24"/>
          <w:lang w:val="en-US"/>
        </w:rPr>
        <w:t>and</w:t>
      </w:r>
      <w:r w:rsidR="00B12425" w:rsidRPr="00B13326">
        <w:rPr>
          <w:rFonts w:cs="Times New Roman"/>
          <w:sz w:val="24"/>
          <w:szCs w:val="24"/>
          <w:lang w:val="en-US"/>
        </w:rPr>
        <w:t xml:space="preserve"> usually contained fludarabine </w:t>
      </w:r>
      <w:r w:rsidR="00262596" w:rsidRPr="00B13326">
        <w:rPr>
          <w:rFonts w:cs="Times New Roman"/>
          <w:sz w:val="24"/>
          <w:szCs w:val="24"/>
          <w:lang w:val="en-US"/>
        </w:rPr>
        <w:t>with</w:t>
      </w:r>
      <w:r w:rsidR="004F2DAD" w:rsidRPr="00B13326">
        <w:rPr>
          <w:rFonts w:cs="Times New Roman"/>
          <w:sz w:val="24"/>
          <w:szCs w:val="24"/>
          <w:lang w:val="en-US"/>
        </w:rPr>
        <w:t xml:space="preserve"> either</w:t>
      </w:r>
      <w:r w:rsidR="00B12425" w:rsidRPr="00B13326">
        <w:rPr>
          <w:rFonts w:cs="Times New Roman"/>
          <w:sz w:val="24"/>
          <w:szCs w:val="24"/>
          <w:lang w:val="en-US"/>
        </w:rPr>
        <w:t xml:space="preserve"> 2Gy TBI, low dose busulfan or melphalan. </w:t>
      </w:r>
      <w:r w:rsidR="00E209A1" w:rsidRPr="00B13326">
        <w:rPr>
          <w:rFonts w:cs="Times New Roman"/>
          <w:sz w:val="24"/>
          <w:szCs w:val="24"/>
          <w:lang w:val="en-US"/>
        </w:rPr>
        <w:t xml:space="preserve">Patients with acute leukemia (AL) in </w:t>
      </w:r>
      <w:r w:rsidR="003A77E5">
        <w:rPr>
          <w:rFonts w:cs="Times New Roman"/>
          <w:sz w:val="24"/>
          <w:szCs w:val="24"/>
          <w:lang w:val="en-US"/>
        </w:rPr>
        <w:t>first complete remission (</w:t>
      </w:r>
      <w:r w:rsidR="00E209A1" w:rsidRPr="00B13326">
        <w:rPr>
          <w:rFonts w:cs="Times New Roman"/>
          <w:sz w:val="24"/>
          <w:szCs w:val="24"/>
          <w:lang w:val="en-US"/>
        </w:rPr>
        <w:t>CR1</w:t>
      </w:r>
      <w:r w:rsidR="003A77E5">
        <w:rPr>
          <w:rFonts w:cs="Times New Roman"/>
          <w:sz w:val="24"/>
          <w:szCs w:val="24"/>
          <w:lang w:val="en-US"/>
        </w:rPr>
        <w:t>)</w:t>
      </w:r>
      <w:r w:rsidR="00E209A1" w:rsidRPr="00B13326">
        <w:rPr>
          <w:rFonts w:cs="Times New Roman"/>
          <w:sz w:val="24"/>
          <w:szCs w:val="24"/>
          <w:lang w:val="en-US"/>
        </w:rPr>
        <w:t>, chronic myeloid leukemia (CML) in first chronic phase, aplastic anemia and non-malignant conditions were considered standard risk</w:t>
      </w:r>
      <w:r w:rsidR="00F0382C">
        <w:rPr>
          <w:rFonts w:cs="Times New Roman"/>
          <w:sz w:val="24"/>
          <w:szCs w:val="24"/>
          <w:lang w:val="en-US"/>
        </w:rPr>
        <w:t>.</w:t>
      </w:r>
      <w:r w:rsidR="00385F4E" w:rsidRPr="00896465">
        <w:rPr>
          <w:rFonts w:cs="Times New Roman"/>
          <w:color w:val="0070C0"/>
          <w:sz w:val="24"/>
          <w:szCs w:val="24"/>
          <w:vertAlign w:val="superscript"/>
          <w:lang w:val="en-US"/>
        </w:rPr>
        <w:t>10</w:t>
      </w:r>
      <w:r w:rsidR="00262596" w:rsidRPr="00B13326">
        <w:rPr>
          <w:rFonts w:cs="Times New Roman"/>
          <w:sz w:val="24"/>
          <w:szCs w:val="24"/>
          <w:lang w:val="en-US"/>
        </w:rPr>
        <w:t xml:space="preserve"> </w:t>
      </w:r>
      <w:r w:rsidR="00E209A1" w:rsidRPr="00B13326">
        <w:rPr>
          <w:rFonts w:cs="Times New Roman"/>
          <w:sz w:val="24"/>
          <w:szCs w:val="24"/>
          <w:lang w:val="en-US"/>
        </w:rPr>
        <w:t xml:space="preserve"> Patients with AL beyond CR1, CML beyond 1</w:t>
      </w:r>
      <w:r w:rsidR="00E209A1" w:rsidRPr="00B13326">
        <w:rPr>
          <w:rFonts w:cs="Times New Roman"/>
          <w:sz w:val="24"/>
          <w:szCs w:val="24"/>
          <w:vertAlign w:val="superscript"/>
          <w:lang w:val="en-US"/>
        </w:rPr>
        <w:t>st</w:t>
      </w:r>
      <w:r w:rsidR="00E209A1" w:rsidRPr="00B13326">
        <w:rPr>
          <w:rFonts w:cs="Times New Roman"/>
          <w:sz w:val="24"/>
          <w:szCs w:val="24"/>
          <w:lang w:val="en-US"/>
        </w:rPr>
        <w:t xml:space="preserve"> chronic phase, lymphomas and all malignancies in partial remission, progression or relapse were included in the high risk group</w:t>
      </w:r>
      <w:r w:rsidR="00B12425" w:rsidRPr="00B13326">
        <w:rPr>
          <w:sz w:val="24"/>
          <w:szCs w:val="24"/>
          <w:lang w:val="en-US"/>
        </w:rPr>
        <w:t xml:space="preserve">. </w:t>
      </w:r>
      <w:r w:rsidR="00BC6FB0" w:rsidRPr="00BC6FB0">
        <w:rPr>
          <w:rFonts w:cs="Times New Roman"/>
          <w:color w:val="00B0F0"/>
          <w:sz w:val="24"/>
          <w:szCs w:val="24"/>
          <w:lang w:val="en-US"/>
        </w:rPr>
        <w:t>GvHD</w:t>
      </w:r>
      <w:r w:rsidR="00B12425" w:rsidRPr="00B13326">
        <w:rPr>
          <w:rFonts w:cs="Times New Roman"/>
          <w:sz w:val="24"/>
          <w:szCs w:val="24"/>
          <w:lang w:val="en-US"/>
        </w:rPr>
        <w:t xml:space="preserve"> prophylaxis was with calcineurin inhibitors associated with methotrexate or mycophenolate mofetil, “</w:t>
      </w:r>
      <w:r w:rsidR="00B12425" w:rsidRPr="00E253E9">
        <w:rPr>
          <w:rFonts w:cs="Times New Roman"/>
          <w:i/>
          <w:sz w:val="24"/>
          <w:szCs w:val="24"/>
          <w:lang w:val="en-US"/>
        </w:rPr>
        <w:t>in vivo</w:t>
      </w:r>
      <w:r w:rsidR="00B12425" w:rsidRPr="00B13326">
        <w:rPr>
          <w:rFonts w:cs="Times New Roman"/>
          <w:sz w:val="24"/>
          <w:szCs w:val="24"/>
          <w:lang w:val="en-US"/>
        </w:rPr>
        <w:t xml:space="preserve">” T cell depletion with </w:t>
      </w:r>
      <w:r w:rsidR="002F7E23">
        <w:rPr>
          <w:rFonts w:cs="Times New Roman"/>
          <w:sz w:val="24"/>
          <w:szCs w:val="24"/>
          <w:lang w:val="en-US"/>
        </w:rPr>
        <w:t>ATG</w:t>
      </w:r>
      <w:r w:rsidR="00B12425" w:rsidRPr="00B13326">
        <w:rPr>
          <w:rFonts w:cs="Times New Roman"/>
          <w:sz w:val="24"/>
          <w:szCs w:val="24"/>
          <w:lang w:val="en-US"/>
        </w:rPr>
        <w:t xml:space="preserve"> was added when using unrelated donors</w:t>
      </w:r>
      <w:r w:rsidR="00B12425" w:rsidRPr="00B13326">
        <w:rPr>
          <w:sz w:val="24"/>
          <w:szCs w:val="24"/>
          <w:lang w:val="en-US"/>
        </w:rPr>
        <w:t xml:space="preserve">. </w:t>
      </w:r>
      <w:r w:rsidR="00B12425" w:rsidRPr="00B13326">
        <w:rPr>
          <w:rFonts w:cs="Times New Roman"/>
          <w:sz w:val="24"/>
          <w:szCs w:val="24"/>
          <w:lang w:val="en-US"/>
        </w:rPr>
        <w:t xml:space="preserve">Patients with an HLA C mismatch were given alemtuzumab instead of </w:t>
      </w:r>
      <w:r w:rsidR="002F7E23">
        <w:rPr>
          <w:rFonts w:cs="Times New Roman"/>
          <w:sz w:val="24"/>
          <w:szCs w:val="24"/>
          <w:lang w:val="en-US"/>
        </w:rPr>
        <w:t>ATG</w:t>
      </w:r>
      <w:r w:rsidR="00B12425" w:rsidRPr="00B13326">
        <w:rPr>
          <w:rFonts w:cs="Times New Roman"/>
          <w:sz w:val="24"/>
          <w:szCs w:val="24"/>
          <w:lang w:val="en-US"/>
        </w:rPr>
        <w:t xml:space="preserve"> to decrease the risk of graft rejection</w:t>
      </w:r>
      <w:r w:rsidR="00F0382C">
        <w:rPr>
          <w:rFonts w:cs="Times New Roman"/>
          <w:sz w:val="24"/>
          <w:szCs w:val="24"/>
          <w:lang w:val="en-US"/>
        </w:rPr>
        <w:t>.</w:t>
      </w:r>
      <w:r w:rsidR="00896465">
        <w:rPr>
          <w:rFonts w:cs="Times New Roman"/>
          <w:sz w:val="24"/>
          <w:szCs w:val="24"/>
          <w:lang w:val="en-US"/>
        </w:rPr>
        <w:t xml:space="preserve"> </w:t>
      </w:r>
      <w:r w:rsidR="00385F4E" w:rsidRPr="00896465">
        <w:rPr>
          <w:rFonts w:cs="Times New Roman"/>
          <w:color w:val="0070C0"/>
          <w:sz w:val="24"/>
          <w:szCs w:val="24"/>
          <w:vertAlign w:val="superscript"/>
          <w:lang w:val="en-US"/>
        </w:rPr>
        <w:t>11-12</w:t>
      </w:r>
      <w:r w:rsidR="00B12425" w:rsidRPr="00896465">
        <w:rPr>
          <w:rFonts w:cs="Times New Roman"/>
          <w:color w:val="0070C0"/>
          <w:sz w:val="24"/>
          <w:szCs w:val="24"/>
          <w:lang w:val="en-US"/>
        </w:rPr>
        <w:t xml:space="preserve"> </w:t>
      </w:r>
      <w:r w:rsidR="008B25E9" w:rsidRPr="00B13326">
        <w:rPr>
          <w:rFonts w:cs="Times New Roman"/>
          <w:sz w:val="24"/>
          <w:szCs w:val="24"/>
          <w:lang w:val="en-US"/>
        </w:rPr>
        <w:t xml:space="preserve">Prophylaxis against infections was with acyclovir, co-trimoxazole, oral quinolone and an </w:t>
      </w:r>
      <w:r w:rsidR="00C355D5">
        <w:rPr>
          <w:rFonts w:cs="Times New Roman"/>
          <w:sz w:val="24"/>
          <w:szCs w:val="24"/>
          <w:lang w:val="en-US"/>
        </w:rPr>
        <w:t>azol</w:t>
      </w:r>
      <w:r w:rsidR="008B25E9" w:rsidRPr="00B13326">
        <w:rPr>
          <w:rFonts w:cs="Times New Roman"/>
          <w:sz w:val="24"/>
          <w:szCs w:val="24"/>
          <w:lang w:val="en-US"/>
        </w:rPr>
        <w:t xml:space="preserve"> antifungal agent</w:t>
      </w:r>
      <w:r w:rsidR="00C355D5">
        <w:rPr>
          <w:rFonts w:cs="Times New Roman"/>
          <w:sz w:val="24"/>
          <w:szCs w:val="24"/>
          <w:lang w:val="en-US"/>
        </w:rPr>
        <w:t>.</w:t>
      </w:r>
      <w:r w:rsidR="008B25E9" w:rsidRPr="00B13326">
        <w:rPr>
          <w:rFonts w:cs="Times New Roman"/>
          <w:sz w:val="24"/>
          <w:szCs w:val="24"/>
          <w:lang w:val="en-US"/>
        </w:rPr>
        <w:t xml:space="preserve"> For </w:t>
      </w:r>
      <w:r w:rsidR="00E253E9">
        <w:rPr>
          <w:rFonts w:cs="Times New Roman"/>
          <w:sz w:val="24"/>
          <w:szCs w:val="24"/>
          <w:lang w:val="en-US"/>
        </w:rPr>
        <w:t>cytomegalovirus (CMV)</w:t>
      </w:r>
      <w:r w:rsidR="008B25E9" w:rsidRPr="00B13326">
        <w:rPr>
          <w:rFonts w:cs="Times New Roman"/>
          <w:sz w:val="24"/>
          <w:szCs w:val="24"/>
          <w:lang w:val="en-US"/>
        </w:rPr>
        <w:t xml:space="preserve"> reactivation (on the basis of</w:t>
      </w:r>
      <w:r w:rsidR="00B01040" w:rsidRPr="00B13326">
        <w:rPr>
          <w:rFonts w:cs="Times New Roman"/>
          <w:sz w:val="24"/>
          <w:szCs w:val="24"/>
          <w:lang w:val="en-US"/>
        </w:rPr>
        <w:t xml:space="preserve"> viral pp65</w:t>
      </w:r>
      <w:r w:rsidR="008B25E9" w:rsidRPr="00B13326">
        <w:rPr>
          <w:rFonts w:cs="Times New Roman"/>
          <w:sz w:val="24"/>
          <w:szCs w:val="24"/>
          <w:lang w:val="en-US"/>
        </w:rPr>
        <w:t xml:space="preserve"> antigen or</w:t>
      </w:r>
      <w:r w:rsidR="001C4A74" w:rsidRPr="00B13326">
        <w:rPr>
          <w:rFonts w:cs="Times New Roman"/>
          <w:sz w:val="24"/>
          <w:szCs w:val="24"/>
          <w:lang w:val="en-US"/>
        </w:rPr>
        <w:t xml:space="preserve"> plasma</w:t>
      </w:r>
      <w:r w:rsidR="008B25E9" w:rsidRPr="00B13326">
        <w:rPr>
          <w:rFonts w:cs="Times New Roman"/>
          <w:sz w:val="24"/>
          <w:szCs w:val="24"/>
          <w:lang w:val="en-US"/>
        </w:rPr>
        <w:t xml:space="preserve"> DNA testing)</w:t>
      </w:r>
      <w:r w:rsidR="008E2530" w:rsidRPr="00B13326">
        <w:rPr>
          <w:rFonts w:cs="Times New Roman"/>
          <w:sz w:val="24"/>
          <w:szCs w:val="24"/>
          <w:lang w:val="en-US"/>
        </w:rPr>
        <w:t xml:space="preserve"> preemptive therapy with ganciclovir was </w:t>
      </w:r>
      <w:r w:rsidR="00897ACA" w:rsidRPr="00B13326">
        <w:rPr>
          <w:rFonts w:cs="Times New Roman"/>
          <w:sz w:val="24"/>
          <w:szCs w:val="24"/>
          <w:lang w:val="en-US"/>
        </w:rPr>
        <w:t>introduced in 1989</w:t>
      </w:r>
      <w:r w:rsidR="008E2530" w:rsidRPr="00B13326">
        <w:rPr>
          <w:rFonts w:cs="Times New Roman"/>
          <w:sz w:val="24"/>
          <w:szCs w:val="24"/>
          <w:lang w:val="en-US"/>
        </w:rPr>
        <w:t xml:space="preserve">. </w:t>
      </w:r>
      <w:r w:rsidR="00897ACA" w:rsidRPr="00B13326">
        <w:rPr>
          <w:rFonts w:cs="Times New Roman"/>
          <w:sz w:val="24"/>
          <w:szCs w:val="24"/>
          <w:lang w:val="en-US"/>
        </w:rPr>
        <w:t>Since 1995,</w:t>
      </w:r>
      <w:r w:rsidR="008E2530" w:rsidRPr="00B13326">
        <w:rPr>
          <w:rFonts w:cs="Times New Roman"/>
          <w:sz w:val="24"/>
          <w:szCs w:val="24"/>
          <w:lang w:val="en-US"/>
        </w:rPr>
        <w:t xml:space="preserve"> </w:t>
      </w:r>
      <w:r w:rsidR="00897ACA" w:rsidRPr="00B13326">
        <w:rPr>
          <w:rFonts w:cs="Times New Roman"/>
          <w:sz w:val="24"/>
          <w:szCs w:val="24"/>
          <w:lang w:val="en-US"/>
        </w:rPr>
        <w:t>all</w:t>
      </w:r>
      <w:r w:rsidR="008E2530" w:rsidRPr="00B13326">
        <w:rPr>
          <w:rFonts w:cs="Times New Roman"/>
          <w:sz w:val="24"/>
          <w:szCs w:val="24"/>
          <w:lang w:val="en-US"/>
        </w:rPr>
        <w:t xml:space="preserve"> patients received filg</w:t>
      </w:r>
      <w:r w:rsidR="0026295A">
        <w:rPr>
          <w:rFonts w:cs="Times New Roman"/>
          <w:sz w:val="24"/>
          <w:szCs w:val="24"/>
          <w:lang w:val="en-US"/>
        </w:rPr>
        <w:t>rast</w:t>
      </w:r>
      <w:r w:rsidR="008E2530" w:rsidRPr="00B13326">
        <w:rPr>
          <w:rFonts w:cs="Times New Roman"/>
          <w:sz w:val="24"/>
          <w:szCs w:val="24"/>
          <w:lang w:val="en-US"/>
        </w:rPr>
        <w:t xml:space="preserve">im from day +5 or +7 until </w:t>
      </w:r>
      <w:r w:rsidR="00571760" w:rsidRPr="00B13326">
        <w:rPr>
          <w:rFonts w:cs="Times New Roman"/>
          <w:sz w:val="24"/>
          <w:szCs w:val="24"/>
          <w:lang w:val="en-US"/>
        </w:rPr>
        <w:t xml:space="preserve">the absolute </w:t>
      </w:r>
      <w:r w:rsidR="008E2530" w:rsidRPr="00B13326">
        <w:rPr>
          <w:rFonts w:cs="Times New Roman"/>
          <w:sz w:val="24"/>
          <w:szCs w:val="24"/>
          <w:lang w:val="en-US"/>
        </w:rPr>
        <w:lastRenderedPageBreak/>
        <w:t xml:space="preserve">neutrophil </w:t>
      </w:r>
      <w:r w:rsidR="00571760" w:rsidRPr="00B13326">
        <w:rPr>
          <w:rFonts w:cs="Times New Roman"/>
          <w:sz w:val="24"/>
          <w:szCs w:val="24"/>
          <w:lang w:val="en-US"/>
        </w:rPr>
        <w:t xml:space="preserve">count </w:t>
      </w:r>
      <w:r w:rsidR="008E2530" w:rsidRPr="00B13326">
        <w:rPr>
          <w:rFonts w:cs="Times New Roman"/>
          <w:sz w:val="24"/>
          <w:szCs w:val="24"/>
          <w:lang w:val="en-US"/>
        </w:rPr>
        <w:t>reached 0.5x10</w:t>
      </w:r>
      <w:r w:rsidR="008E2530" w:rsidRPr="00B13326">
        <w:rPr>
          <w:rFonts w:cs="Times New Roman"/>
          <w:sz w:val="24"/>
          <w:szCs w:val="24"/>
          <w:vertAlign w:val="superscript"/>
          <w:lang w:val="en-US"/>
        </w:rPr>
        <w:t>9</w:t>
      </w:r>
      <w:r w:rsidR="008E2530" w:rsidRPr="00B13326">
        <w:rPr>
          <w:rFonts w:cs="Times New Roman"/>
          <w:sz w:val="24"/>
          <w:szCs w:val="24"/>
          <w:lang w:val="en-US"/>
        </w:rPr>
        <w:t>/L</w:t>
      </w:r>
      <w:r w:rsidR="00571760" w:rsidRPr="00B13326">
        <w:rPr>
          <w:rFonts w:cs="Times New Roman"/>
          <w:sz w:val="24"/>
          <w:szCs w:val="24"/>
          <w:lang w:val="en-US"/>
        </w:rPr>
        <w:t>.</w:t>
      </w:r>
      <w:r w:rsidR="00262596" w:rsidRPr="00B13326">
        <w:rPr>
          <w:rFonts w:cs="Times New Roman"/>
          <w:sz w:val="24"/>
          <w:szCs w:val="24"/>
          <w:lang w:val="en-US"/>
        </w:rPr>
        <w:t xml:space="preserve"> Routine veno-occlusive prophylaxis was not used.</w:t>
      </w:r>
      <w:r w:rsidR="00397C1C" w:rsidRPr="00B13326">
        <w:rPr>
          <w:rFonts w:cs="Times New Roman"/>
          <w:sz w:val="24"/>
          <w:szCs w:val="24"/>
          <w:lang w:val="en-US"/>
        </w:rPr>
        <w:t xml:space="preserve"> </w:t>
      </w:r>
    </w:p>
    <w:p w14:paraId="42E7F125" w14:textId="77777777" w:rsidR="00397C1C" w:rsidRPr="00B13326" w:rsidRDefault="00397C1C" w:rsidP="00A14B97">
      <w:pPr>
        <w:spacing w:before="80" w:after="80" w:line="480" w:lineRule="auto"/>
        <w:jc w:val="both"/>
        <w:rPr>
          <w:rFonts w:cs="Times New Roman"/>
          <w:b/>
          <w:sz w:val="24"/>
          <w:szCs w:val="24"/>
          <w:lang w:val="en-US"/>
        </w:rPr>
      </w:pPr>
      <w:r w:rsidRPr="00B13326">
        <w:rPr>
          <w:rFonts w:cs="Times New Roman"/>
          <w:b/>
          <w:sz w:val="24"/>
          <w:szCs w:val="24"/>
          <w:lang w:val="en-US"/>
        </w:rPr>
        <w:t>Outcome measures</w:t>
      </w:r>
    </w:p>
    <w:p w14:paraId="1B285242" w14:textId="7B3BCDB9" w:rsidR="009106A7" w:rsidRPr="00B13326" w:rsidRDefault="00397C1C" w:rsidP="00A14B97">
      <w:pPr>
        <w:spacing w:before="80" w:after="80" w:line="480" w:lineRule="auto"/>
        <w:jc w:val="both"/>
        <w:rPr>
          <w:rFonts w:cs="Times New Roman"/>
          <w:sz w:val="24"/>
          <w:szCs w:val="24"/>
          <w:lang w:val="en-US"/>
        </w:rPr>
      </w:pPr>
      <w:r w:rsidRPr="00B13326">
        <w:rPr>
          <w:rFonts w:cs="Times New Roman"/>
          <w:sz w:val="24"/>
          <w:szCs w:val="24"/>
          <w:lang w:val="en-US"/>
        </w:rPr>
        <w:t>Outcome measures included overall survival</w:t>
      </w:r>
      <w:r w:rsidR="00A717A5" w:rsidRPr="00B13326">
        <w:rPr>
          <w:rFonts w:cs="Times New Roman"/>
          <w:sz w:val="24"/>
          <w:szCs w:val="24"/>
          <w:lang w:val="en-US"/>
        </w:rPr>
        <w:t xml:space="preserve"> (OS)</w:t>
      </w:r>
      <w:r w:rsidRPr="00B13326">
        <w:rPr>
          <w:rFonts w:cs="Times New Roman"/>
          <w:sz w:val="24"/>
          <w:szCs w:val="24"/>
          <w:lang w:val="en-US"/>
        </w:rPr>
        <w:t>, progression free survival</w:t>
      </w:r>
      <w:r w:rsidR="00A717A5" w:rsidRPr="00B13326">
        <w:rPr>
          <w:rFonts w:cs="Times New Roman"/>
          <w:sz w:val="24"/>
          <w:szCs w:val="24"/>
          <w:lang w:val="en-US"/>
        </w:rPr>
        <w:t xml:space="preserve"> (PFS)</w:t>
      </w:r>
      <w:r w:rsidRPr="00B13326">
        <w:rPr>
          <w:rFonts w:cs="Times New Roman"/>
          <w:sz w:val="24"/>
          <w:szCs w:val="24"/>
          <w:lang w:val="en-US"/>
        </w:rPr>
        <w:t>, non-relapse mortality</w:t>
      </w:r>
      <w:r w:rsidR="00A717A5" w:rsidRPr="00B13326">
        <w:rPr>
          <w:rFonts w:cs="Times New Roman"/>
          <w:sz w:val="24"/>
          <w:szCs w:val="24"/>
          <w:lang w:val="en-US"/>
        </w:rPr>
        <w:t xml:space="preserve"> (NRM)</w:t>
      </w:r>
      <w:r w:rsidRPr="00B13326">
        <w:rPr>
          <w:rFonts w:cs="Times New Roman"/>
          <w:sz w:val="24"/>
          <w:szCs w:val="24"/>
          <w:lang w:val="en-US"/>
        </w:rPr>
        <w:t>,</w:t>
      </w:r>
      <w:r w:rsidR="00A717A5" w:rsidRPr="00B13326">
        <w:rPr>
          <w:rFonts w:cs="Times New Roman"/>
          <w:sz w:val="24"/>
          <w:szCs w:val="24"/>
          <w:lang w:val="en-US"/>
        </w:rPr>
        <w:t xml:space="preserve"> GVHD </w:t>
      </w:r>
      <w:r w:rsidR="0052625B" w:rsidRPr="00B13326">
        <w:rPr>
          <w:rFonts w:cs="Times New Roman"/>
          <w:sz w:val="24"/>
          <w:szCs w:val="24"/>
          <w:lang w:val="en-US"/>
        </w:rPr>
        <w:t>related</w:t>
      </w:r>
      <w:r w:rsidR="00A717A5" w:rsidRPr="00B13326">
        <w:rPr>
          <w:rFonts w:cs="Times New Roman"/>
          <w:sz w:val="24"/>
          <w:szCs w:val="24"/>
          <w:lang w:val="en-US"/>
        </w:rPr>
        <w:t xml:space="preserve"> mo</w:t>
      </w:r>
      <w:r w:rsidRPr="00B13326">
        <w:rPr>
          <w:rFonts w:cs="Times New Roman"/>
          <w:sz w:val="24"/>
          <w:szCs w:val="24"/>
          <w:lang w:val="en-US"/>
        </w:rPr>
        <w:t>r</w:t>
      </w:r>
      <w:r w:rsidR="00A717A5" w:rsidRPr="00B13326">
        <w:rPr>
          <w:rFonts w:cs="Times New Roman"/>
          <w:sz w:val="24"/>
          <w:szCs w:val="24"/>
          <w:lang w:val="en-US"/>
        </w:rPr>
        <w:t>t</w:t>
      </w:r>
      <w:r w:rsidRPr="00B13326">
        <w:rPr>
          <w:rFonts w:cs="Times New Roman"/>
          <w:sz w:val="24"/>
          <w:szCs w:val="24"/>
          <w:lang w:val="en-US"/>
        </w:rPr>
        <w:t>ality</w:t>
      </w:r>
      <w:r w:rsidR="003D1194" w:rsidRPr="00B13326">
        <w:rPr>
          <w:rFonts w:cs="Times New Roman"/>
          <w:sz w:val="24"/>
          <w:szCs w:val="24"/>
          <w:lang w:val="en-US"/>
        </w:rPr>
        <w:t>,</w:t>
      </w:r>
      <w:r w:rsidR="0052625B" w:rsidRPr="00B13326">
        <w:rPr>
          <w:rFonts w:cs="Times New Roman"/>
          <w:sz w:val="24"/>
          <w:szCs w:val="24"/>
          <w:lang w:val="en-US"/>
        </w:rPr>
        <w:t xml:space="preserve"> incidence of second malignancies</w:t>
      </w:r>
      <w:r w:rsidR="003D1194" w:rsidRPr="00B13326">
        <w:rPr>
          <w:rFonts w:cs="Times New Roman"/>
          <w:sz w:val="24"/>
          <w:szCs w:val="24"/>
          <w:lang w:val="en-US"/>
        </w:rPr>
        <w:t xml:space="preserve"> and incidence of relapse</w:t>
      </w:r>
      <w:r w:rsidRPr="00B13326">
        <w:rPr>
          <w:rFonts w:cs="Times New Roman"/>
          <w:sz w:val="24"/>
          <w:szCs w:val="24"/>
          <w:lang w:val="en-US"/>
        </w:rPr>
        <w:t>.</w:t>
      </w:r>
      <w:r w:rsidR="00A717A5" w:rsidRPr="00B13326">
        <w:rPr>
          <w:rFonts w:cs="Times New Roman"/>
          <w:sz w:val="24"/>
          <w:szCs w:val="24"/>
          <w:lang w:val="en-US"/>
        </w:rPr>
        <w:t xml:space="preserve"> </w:t>
      </w:r>
      <w:r w:rsidR="00E253E9">
        <w:rPr>
          <w:sz w:val="24"/>
          <w:szCs w:val="24"/>
          <w:lang w:val="en"/>
        </w:rPr>
        <w:t>OS</w:t>
      </w:r>
      <w:r w:rsidR="00227DAE" w:rsidRPr="00B13326">
        <w:rPr>
          <w:sz w:val="24"/>
          <w:szCs w:val="24"/>
          <w:lang w:val="en"/>
        </w:rPr>
        <w:t xml:space="preserve"> was defined as the time from the first allograft to death from any cause and </w:t>
      </w:r>
      <w:r w:rsidR="00E253E9">
        <w:rPr>
          <w:sz w:val="24"/>
          <w:szCs w:val="24"/>
          <w:lang w:val="en"/>
        </w:rPr>
        <w:t>PFS</w:t>
      </w:r>
      <w:r w:rsidR="00293749" w:rsidRPr="00B13326">
        <w:rPr>
          <w:sz w:val="24"/>
          <w:szCs w:val="24"/>
          <w:lang w:val="en"/>
        </w:rPr>
        <w:t xml:space="preserve"> as the time from the first </w:t>
      </w:r>
      <w:r w:rsidR="00227DAE" w:rsidRPr="00B13326">
        <w:rPr>
          <w:sz w:val="24"/>
          <w:szCs w:val="24"/>
          <w:lang w:val="en"/>
        </w:rPr>
        <w:t xml:space="preserve">allograft to </w:t>
      </w:r>
      <w:r w:rsidR="00293749" w:rsidRPr="00B13326">
        <w:rPr>
          <w:sz w:val="24"/>
          <w:szCs w:val="24"/>
          <w:lang w:val="en"/>
        </w:rPr>
        <w:t>the first disease progression/</w:t>
      </w:r>
      <w:r w:rsidR="00227DAE" w:rsidRPr="00B13326">
        <w:rPr>
          <w:sz w:val="24"/>
          <w:szCs w:val="24"/>
          <w:lang w:val="en"/>
        </w:rPr>
        <w:t xml:space="preserve">relapse or death from any cause. </w:t>
      </w:r>
      <w:r w:rsidR="00A717A5" w:rsidRPr="00B13326">
        <w:rPr>
          <w:rFonts w:cs="Times New Roman"/>
          <w:sz w:val="24"/>
          <w:szCs w:val="24"/>
          <w:lang w:val="en-US"/>
        </w:rPr>
        <w:t xml:space="preserve">NRM was defined as death after transplantation that was not preceded by a recurrence of the underlying disease. Data on </w:t>
      </w:r>
      <w:r w:rsidR="007307C2" w:rsidRPr="00B13326">
        <w:rPr>
          <w:rFonts w:cs="Times New Roman"/>
          <w:sz w:val="24"/>
          <w:szCs w:val="24"/>
          <w:lang w:val="en-US"/>
        </w:rPr>
        <w:t xml:space="preserve">these outcome measures </w:t>
      </w:r>
      <w:r w:rsidR="00A717A5" w:rsidRPr="00B13326">
        <w:rPr>
          <w:rFonts w:cs="Times New Roman"/>
          <w:sz w:val="24"/>
          <w:szCs w:val="24"/>
          <w:lang w:val="en-US"/>
        </w:rPr>
        <w:t>reflect events as of the date of the last follow-up before the database was locked on 31 May</w:t>
      </w:r>
      <w:r w:rsidR="00B25C9D" w:rsidRPr="00B13326">
        <w:rPr>
          <w:rFonts w:cs="Times New Roman"/>
          <w:sz w:val="24"/>
          <w:szCs w:val="24"/>
          <w:lang w:val="en-US"/>
        </w:rPr>
        <w:t>, 2017.</w:t>
      </w:r>
    </w:p>
    <w:p w14:paraId="4109B79A" w14:textId="74E86067" w:rsidR="00B25C9D" w:rsidRPr="00AF7936" w:rsidRDefault="00B25C9D" w:rsidP="00A14B97">
      <w:pPr>
        <w:spacing w:before="80" w:after="80" w:line="480" w:lineRule="auto"/>
        <w:jc w:val="both"/>
        <w:rPr>
          <w:rFonts w:cs="Times New Roman"/>
          <w:b/>
          <w:sz w:val="24"/>
          <w:szCs w:val="24"/>
          <w:lang w:val="en-US"/>
        </w:rPr>
      </w:pPr>
      <w:r w:rsidRPr="00AF7936">
        <w:rPr>
          <w:rFonts w:cs="Times New Roman"/>
          <w:b/>
          <w:sz w:val="24"/>
          <w:szCs w:val="24"/>
          <w:lang w:val="en-US"/>
        </w:rPr>
        <w:t>Statistical analyses</w:t>
      </w:r>
    </w:p>
    <w:p w14:paraId="4E4E75B8" w14:textId="6DAF9FDD" w:rsidR="00914E97" w:rsidRPr="00B13326" w:rsidRDefault="00914E97" w:rsidP="00A14B97">
      <w:pPr>
        <w:spacing w:before="80" w:after="80" w:line="480" w:lineRule="auto"/>
        <w:jc w:val="both"/>
        <w:rPr>
          <w:sz w:val="24"/>
          <w:szCs w:val="24"/>
          <w:lang w:val="en"/>
        </w:rPr>
      </w:pPr>
      <w:r w:rsidRPr="00B13326">
        <w:rPr>
          <w:sz w:val="24"/>
          <w:szCs w:val="24"/>
          <w:lang w:val="en-US"/>
        </w:rPr>
        <w:t>We conducted a</w:t>
      </w:r>
      <w:r w:rsidR="00C84DA0" w:rsidRPr="00B13326">
        <w:rPr>
          <w:sz w:val="24"/>
          <w:szCs w:val="24"/>
          <w:lang w:val="en-US"/>
        </w:rPr>
        <w:t xml:space="preserve"> descriptive analysis of the clinical, </w:t>
      </w:r>
      <w:r w:rsidR="00C84DA0" w:rsidRPr="00B13326">
        <w:rPr>
          <w:sz w:val="24"/>
          <w:szCs w:val="24"/>
          <w:lang w:val="en"/>
        </w:rPr>
        <w:t>demographic and transplant characteristics</w:t>
      </w:r>
      <w:r w:rsidRPr="00B13326">
        <w:rPr>
          <w:sz w:val="24"/>
          <w:szCs w:val="24"/>
          <w:lang w:val="en"/>
        </w:rPr>
        <w:t xml:space="preserve"> </w:t>
      </w:r>
      <w:r w:rsidR="00793B0F" w:rsidRPr="00B13326">
        <w:rPr>
          <w:sz w:val="24"/>
          <w:szCs w:val="24"/>
          <w:lang w:val="en"/>
        </w:rPr>
        <w:t xml:space="preserve">using </w:t>
      </w:r>
      <w:r w:rsidR="00C84DA0" w:rsidRPr="00B13326">
        <w:rPr>
          <w:sz w:val="24"/>
          <w:szCs w:val="24"/>
          <w:lang w:val="en"/>
        </w:rPr>
        <w:t>absolute a</w:t>
      </w:r>
      <w:r w:rsidR="007307C2" w:rsidRPr="00B13326">
        <w:rPr>
          <w:sz w:val="24"/>
          <w:szCs w:val="24"/>
          <w:lang w:val="en"/>
        </w:rPr>
        <w:t xml:space="preserve">nd relative frequencies for </w:t>
      </w:r>
      <w:r w:rsidR="00C84DA0" w:rsidRPr="00B13326">
        <w:rPr>
          <w:sz w:val="24"/>
          <w:szCs w:val="24"/>
          <w:lang w:val="en"/>
        </w:rPr>
        <w:t>categorical variables and the median</w:t>
      </w:r>
      <w:r w:rsidR="004170F1" w:rsidRPr="00B13326">
        <w:rPr>
          <w:sz w:val="24"/>
          <w:szCs w:val="24"/>
          <w:lang w:val="en"/>
        </w:rPr>
        <w:t xml:space="preserve"> and range f</w:t>
      </w:r>
      <w:r w:rsidR="007307C2" w:rsidRPr="00B13326">
        <w:rPr>
          <w:sz w:val="24"/>
          <w:szCs w:val="24"/>
          <w:lang w:val="en"/>
        </w:rPr>
        <w:t xml:space="preserve">or </w:t>
      </w:r>
      <w:r w:rsidR="00C84DA0" w:rsidRPr="00B13326">
        <w:rPr>
          <w:sz w:val="24"/>
          <w:szCs w:val="24"/>
          <w:lang w:val="en"/>
        </w:rPr>
        <w:t xml:space="preserve">quantitative variables. </w:t>
      </w:r>
      <w:r w:rsidRPr="00AF7936">
        <w:rPr>
          <w:rFonts w:cs="Times New Roman"/>
          <w:sz w:val="24"/>
          <w:szCs w:val="24"/>
          <w:lang w:val="en-US"/>
        </w:rPr>
        <w:t xml:space="preserve">Variable comparison between the three transplant periods was carried out using the Pearson’s Chi-square test for categorical variables. In cases where an asymptotic test was not appropriate (cells with expected frequency below 5) we conducted a Chi-squared test </w:t>
      </w:r>
      <w:r w:rsidRPr="00AF7936">
        <w:rPr>
          <w:rFonts w:cs="Times New Roman"/>
          <w:sz w:val="24"/>
          <w:szCs w:val="24"/>
          <w:lang w:val="en-US"/>
        </w:rPr>
        <w:lastRenderedPageBreak/>
        <w:t xml:space="preserve">with simulated p-value based on 2000 replicates. </w:t>
      </w:r>
      <w:r w:rsidR="00293749" w:rsidRPr="00AF7936">
        <w:rPr>
          <w:rFonts w:cs="Times New Roman"/>
          <w:sz w:val="24"/>
          <w:szCs w:val="24"/>
          <w:lang w:val="en-US"/>
        </w:rPr>
        <w:t>For quantitative</w:t>
      </w:r>
      <w:r w:rsidRPr="00AF7936">
        <w:rPr>
          <w:rFonts w:cs="Times New Roman"/>
          <w:sz w:val="24"/>
          <w:szCs w:val="24"/>
          <w:lang w:val="en-US"/>
        </w:rPr>
        <w:t xml:space="preserve"> data, comparisons were performed using the </w:t>
      </w:r>
      <w:r w:rsidRPr="00B13326">
        <w:rPr>
          <w:sz w:val="24"/>
          <w:szCs w:val="24"/>
          <w:lang w:val="en"/>
        </w:rPr>
        <w:t>Kruskal-Wallis test</w:t>
      </w:r>
      <w:r w:rsidR="00227DAE" w:rsidRPr="00B13326">
        <w:rPr>
          <w:sz w:val="24"/>
          <w:szCs w:val="24"/>
          <w:lang w:val="en"/>
        </w:rPr>
        <w:t xml:space="preserve">. </w:t>
      </w:r>
    </w:p>
    <w:p w14:paraId="3A6F5D54" w14:textId="7FFE066F" w:rsidR="00C84DA0" w:rsidRPr="00AB7504" w:rsidRDefault="00227DAE" w:rsidP="00A14B97">
      <w:pPr>
        <w:spacing w:before="80" w:after="80" w:line="480" w:lineRule="auto"/>
        <w:jc w:val="both"/>
        <w:rPr>
          <w:rFonts w:cs="Times New Roman"/>
          <w:sz w:val="24"/>
          <w:szCs w:val="24"/>
          <w:highlight w:val="yellow"/>
          <w:lang w:val="en-US"/>
        </w:rPr>
      </w:pPr>
      <w:r w:rsidRPr="00AF7936">
        <w:rPr>
          <w:rFonts w:cs="Times New Roman"/>
          <w:sz w:val="24"/>
          <w:szCs w:val="24"/>
          <w:lang w:val="en-US"/>
        </w:rPr>
        <w:t xml:space="preserve">OS and PFS were calculated using the Kaplan-Meier method and </w:t>
      </w:r>
      <w:r w:rsidR="00293749" w:rsidRPr="00AF7936">
        <w:rPr>
          <w:rFonts w:cs="Times New Roman"/>
          <w:sz w:val="24"/>
          <w:szCs w:val="24"/>
          <w:lang w:val="en-US"/>
        </w:rPr>
        <w:t xml:space="preserve">the </w:t>
      </w:r>
      <w:r w:rsidRPr="00AF7936">
        <w:rPr>
          <w:rFonts w:cs="Times New Roman"/>
          <w:sz w:val="24"/>
          <w:szCs w:val="24"/>
          <w:lang w:val="en-US"/>
        </w:rPr>
        <w:t>log-rank test for group comparison.</w:t>
      </w:r>
      <w:r w:rsidRPr="00B13326">
        <w:rPr>
          <w:rFonts w:cs="Times New Roman"/>
          <w:sz w:val="24"/>
          <w:szCs w:val="24"/>
          <w:lang w:val="en-US"/>
        </w:rPr>
        <w:t xml:space="preserve"> </w:t>
      </w:r>
      <w:r w:rsidR="00786D7F" w:rsidRPr="00B13326">
        <w:rPr>
          <w:sz w:val="24"/>
          <w:szCs w:val="24"/>
          <w:lang w:val="en"/>
        </w:rPr>
        <w:t>Non-relapse mortality</w:t>
      </w:r>
      <w:r w:rsidR="00293749" w:rsidRPr="00B13326">
        <w:rPr>
          <w:sz w:val="24"/>
          <w:szCs w:val="24"/>
          <w:lang w:val="en"/>
        </w:rPr>
        <w:t xml:space="preserve">, </w:t>
      </w:r>
      <w:r w:rsidR="00DF5F7A" w:rsidRPr="00B13326">
        <w:rPr>
          <w:rFonts w:cs="Times New Roman"/>
          <w:sz w:val="24"/>
          <w:szCs w:val="24"/>
          <w:lang w:val="en-US"/>
        </w:rPr>
        <w:t>GVHD related mortality,</w:t>
      </w:r>
      <w:r w:rsidR="00DF5F7A" w:rsidRPr="00B13326">
        <w:rPr>
          <w:sz w:val="24"/>
          <w:szCs w:val="24"/>
          <w:lang w:val="en"/>
        </w:rPr>
        <w:t xml:space="preserve"> </w:t>
      </w:r>
      <w:r w:rsidR="00293749" w:rsidRPr="00B13326">
        <w:rPr>
          <w:sz w:val="24"/>
          <w:szCs w:val="24"/>
          <w:lang w:val="en"/>
        </w:rPr>
        <w:t>incidence of</w:t>
      </w:r>
      <w:r w:rsidR="00293749" w:rsidRPr="00AB7504">
        <w:rPr>
          <w:sz w:val="24"/>
          <w:szCs w:val="24"/>
          <w:lang w:val="en"/>
        </w:rPr>
        <w:t xml:space="preserve"> secondary malignancies and incidence of </w:t>
      </w:r>
      <w:r w:rsidR="00786D7F" w:rsidRPr="00AB7504">
        <w:rPr>
          <w:sz w:val="24"/>
          <w:szCs w:val="24"/>
          <w:lang w:val="en"/>
        </w:rPr>
        <w:t>relapse were</w:t>
      </w:r>
      <w:r w:rsidR="00C84DA0" w:rsidRPr="00AB7504">
        <w:rPr>
          <w:sz w:val="24"/>
          <w:szCs w:val="24"/>
          <w:lang w:val="en"/>
        </w:rPr>
        <w:t xml:space="preserve"> </w:t>
      </w:r>
      <w:r w:rsidR="00293749" w:rsidRPr="00AB7504">
        <w:rPr>
          <w:sz w:val="24"/>
          <w:szCs w:val="24"/>
          <w:lang w:val="en"/>
        </w:rPr>
        <w:t xml:space="preserve">calculated using the </w:t>
      </w:r>
      <w:r w:rsidR="00C84DA0" w:rsidRPr="00AB7504">
        <w:rPr>
          <w:sz w:val="24"/>
          <w:szCs w:val="24"/>
          <w:lang w:val="en"/>
        </w:rPr>
        <w:t xml:space="preserve">cumulative incidence </w:t>
      </w:r>
      <w:r w:rsidR="00293749" w:rsidRPr="00AB7504">
        <w:rPr>
          <w:sz w:val="24"/>
          <w:szCs w:val="24"/>
          <w:lang w:val="en"/>
        </w:rPr>
        <w:t>procedure for competing r</w:t>
      </w:r>
      <w:r w:rsidR="00C84DA0" w:rsidRPr="00AB7504">
        <w:rPr>
          <w:sz w:val="24"/>
          <w:szCs w:val="24"/>
          <w:lang w:val="en"/>
        </w:rPr>
        <w:t>isk models</w:t>
      </w:r>
      <w:r w:rsidR="00786D7F" w:rsidRPr="00AB7504">
        <w:rPr>
          <w:sz w:val="24"/>
          <w:szCs w:val="24"/>
          <w:lang w:val="en"/>
        </w:rPr>
        <w:t xml:space="preserve"> and the</w:t>
      </w:r>
      <w:r w:rsidR="00293749" w:rsidRPr="00AB7504">
        <w:rPr>
          <w:sz w:val="24"/>
          <w:szCs w:val="24"/>
          <w:lang w:val="en"/>
        </w:rPr>
        <w:t xml:space="preserve"> Gray test for group comparison</w:t>
      </w:r>
      <w:r w:rsidR="00786D7F" w:rsidRPr="00AB7504">
        <w:rPr>
          <w:sz w:val="24"/>
          <w:szCs w:val="24"/>
          <w:lang w:val="en"/>
        </w:rPr>
        <w:t>.</w:t>
      </w:r>
      <w:r w:rsidRPr="00AB7504">
        <w:rPr>
          <w:sz w:val="24"/>
          <w:szCs w:val="24"/>
          <w:lang w:val="en"/>
        </w:rPr>
        <w:t xml:space="preserve"> </w:t>
      </w:r>
      <w:r w:rsidR="00786D7F" w:rsidRPr="00AB7504">
        <w:rPr>
          <w:sz w:val="24"/>
          <w:szCs w:val="24"/>
          <w:lang w:val="en"/>
        </w:rPr>
        <w:t xml:space="preserve">All tests were two-sided and </w:t>
      </w:r>
      <w:r w:rsidR="00C84DA0" w:rsidRPr="00AB7504">
        <w:rPr>
          <w:sz w:val="24"/>
          <w:szCs w:val="24"/>
          <w:lang w:val="en"/>
        </w:rPr>
        <w:t>a significance level of 5%</w:t>
      </w:r>
      <w:r w:rsidR="00786D7F" w:rsidRPr="00AB7504">
        <w:rPr>
          <w:sz w:val="24"/>
          <w:szCs w:val="24"/>
          <w:lang w:val="en"/>
        </w:rPr>
        <w:t xml:space="preserve"> was</w:t>
      </w:r>
      <w:r w:rsidR="00C84DA0" w:rsidRPr="00AB7504">
        <w:rPr>
          <w:sz w:val="24"/>
          <w:szCs w:val="24"/>
          <w:lang w:val="en"/>
        </w:rPr>
        <w:t xml:space="preserve"> considered. </w:t>
      </w:r>
      <w:r w:rsidR="004170F1" w:rsidRPr="00AB7504">
        <w:rPr>
          <w:sz w:val="24"/>
          <w:szCs w:val="24"/>
          <w:lang w:val="en"/>
        </w:rPr>
        <w:t>All analyses were done using the</w:t>
      </w:r>
      <w:r w:rsidR="00C84DA0" w:rsidRPr="00AB7504">
        <w:rPr>
          <w:sz w:val="24"/>
          <w:szCs w:val="24"/>
          <w:lang w:val="en"/>
        </w:rPr>
        <w:t xml:space="preserve"> R </w:t>
      </w:r>
      <w:r w:rsidR="004170F1" w:rsidRPr="00AB7504">
        <w:rPr>
          <w:sz w:val="24"/>
          <w:szCs w:val="24"/>
          <w:lang w:val="en"/>
        </w:rPr>
        <w:t>package</w:t>
      </w:r>
      <w:r w:rsidR="00BC6FB0">
        <w:rPr>
          <w:sz w:val="24"/>
          <w:szCs w:val="24"/>
          <w:lang w:val="en"/>
        </w:rPr>
        <w:t>.</w:t>
      </w:r>
      <w:r w:rsidR="005E12F1" w:rsidRPr="00896465">
        <w:rPr>
          <w:color w:val="0070C0"/>
          <w:sz w:val="24"/>
          <w:szCs w:val="24"/>
          <w:vertAlign w:val="superscript"/>
          <w:lang w:val="en"/>
        </w:rPr>
        <w:t>13</w:t>
      </w:r>
      <w:r w:rsidR="004170F1" w:rsidRPr="00AB7504">
        <w:rPr>
          <w:sz w:val="24"/>
          <w:szCs w:val="24"/>
          <w:lang w:val="en"/>
        </w:rPr>
        <w:t xml:space="preserve"> </w:t>
      </w:r>
    </w:p>
    <w:p w14:paraId="5C3646D0" w14:textId="77777777" w:rsidR="00C84DA0" w:rsidRPr="00C84DA0" w:rsidRDefault="00C84DA0" w:rsidP="00A14B97">
      <w:pPr>
        <w:spacing w:line="480" w:lineRule="auto"/>
        <w:rPr>
          <w:b/>
          <w:sz w:val="20"/>
          <w:szCs w:val="20"/>
          <w:u w:val="single"/>
          <w:lang w:val="en-US"/>
        </w:rPr>
      </w:pPr>
    </w:p>
    <w:p w14:paraId="1782451F" w14:textId="2CC1EA19" w:rsidR="001C4A74" w:rsidRPr="00B13326" w:rsidRDefault="00ED569A" w:rsidP="00A14B97">
      <w:pPr>
        <w:spacing w:before="80" w:after="80" w:line="480" w:lineRule="auto"/>
        <w:jc w:val="both"/>
        <w:rPr>
          <w:rFonts w:cs="Times New Roman"/>
          <w:b/>
          <w:sz w:val="24"/>
          <w:szCs w:val="24"/>
          <w:lang w:val="en-US"/>
        </w:rPr>
      </w:pPr>
      <w:r>
        <w:rPr>
          <w:rFonts w:cs="Times New Roman"/>
          <w:b/>
          <w:sz w:val="24"/>
          <w:szCs w:val="24"/>
          <w:lang w:val="en-US"/>
        </w:rPr>
        <w:t>RESULTS</w:t>
      </w:r>
      <w:r w:rsidR="001C4A74" w:rsidRPr="00B13326">
        <w:rPr>
          <w:rFonts w:cs="Times New Roman"/>
          <w:b/>
          <w:sz w:val="24"/>
          <w:szCs w:val="24"/>
          <w:lang w:val="en-US"/>
        </w:rPr>
        <w:t xml:space="preserve"> </w:t>
      </w:r>
    </w:p>
    <w:p w14:paraId="7BA2738D" w14:textId="77777777" w:rsidR="001C4A74" w:rsidRPr="00B13326" w:rsidRDefault="001C4A74" w:rsidP="00A14B97">
      <w:pPr>
        <w:spacing w:before="80" w:after="80" w:line="480" w:lineRule="auto"/>
        <w:jc w:val="both"/>
        <w:rPr>
          <w:rFonts w:cs="Times New Roman"/>
          <w:b/>
          <w:sz w:val="24"/>
          <w:szCs w:val="24"/>
          <w:lang w:val="en-US"/>
        </w:rPr>
      </w:pPr>
      <w:r w:rsidRPr="00B13326">
        <w:rPr>
          <w:rFonts w:cs="Times New Roman"/>
          <w:b/>
          <w:sz w:val="24"/>
          <w:szCs w:val="24"/>
          <w:lang w:val="en-US"/>
        </w:rPr>
        <w:t>Patients and transplant characteristics</w:t>
      </w:r>
    </w:p>
    <w:p w14:paraId="2237D864" w14:textId="2A76B271" w:rsidR="001C4A74" w:rsidRPr="00B13326" w:rsidRDefault="00A6688B" w:rsidP="00A14B97">
      <w:pPr>
        <w:spacing w:before="80" w:after="80" w:line="480" w:lineRule="auto"/>
        <w:jc w:val="both"/>
        <w:rPr>
          <w:rFonts w:cs="Times New Roman"/>
          <w:sz w:val="24"/>
          <w:szCs w:val="24"/>
          <w:lang w:val="en-US"/>
        </w:rPr>
      </w:pPr>
      <w:r>
        <w:rPr>
          <w:rFonts w:cs="Times New Roman"/>
          <w:sz w:val="24"/>
          <w:szCs w:val="24"/>
          <w:lang w:val="en-US"/>
        </w:rPr>
        <w:t>During the study period</w:t>
      </w:r>
      <w:r w:rsidR="001C4A74" w:rsidRPr="00B13326">
        <w:rPr>
          <w:rFonts w:cs="Times New Roman"/>
          <w:sz w:val="24"/>
          <w:szCs w:val="24"/>
          <w:lang w:val="en-US"/>
        </w:rPr>
        <w:t xml:space="preserve"> 682 consecutive patients received a first allogeneic transplant</w:t>
      </w:r>
      <w:r w:rsidR="0043179A" w:rsidRPr="00B13326">
        <w:rPr>
          <w:rFonts w:cs="Times New Roman"/>
          <w:sz w:val="24"/>
          <w:szCs w:val="24"/>
          <w:lang w:val="en-US"/>
        </w:rPr>
        <w:t>. Patient disease and transplantation characteristics are detailed in Table 1.</w:t>
      </w:r>
      <w:r w:rsidR="00B92CAB" w:rsidRPr="00B13326">
        <w:rPr>
          <w:rFonts w:cs="Times New Roman"/>
          <w:sz w:val="24"/>
          <w:szCs w:val="24"/>
          <w:lang w:val="en-US"/>
        </w:rPr>
        <w:t xml:space="preserve"> When compared across the 3 decades, </w:t>
      </w:r>
      <w:r w:rsidR="00580947">
        <w:rPr>
          <w:rFonts w:cs="Times New Roman"/>
          <w:sz w:val="24"/>
          <w:szCs w:val="24"/>
          <w:lang w:val="en-US"/>
        </w:rPr>
        <w:t xml:space="preserve">the median </w:t>
      </w:r>
      <w:r w:rsidR="006B7F72">
        <w:rPr>
          <w:rFonts w:cs="Times New Roman"/>
          <w:sz w:val="24"/>
          <w:szCs w:val="24"/>
          <w:lang w:val="en-US"/>
        </w:rPr>
        <w:t>age of p</w:t>
      </w:r>
      <w:r w:rsidR="00580947">
        <w:rPr>
          <w:rFonts w:cs="Times New Roman"/>
          <w:sz w:val="24"/>
          <w:szCs w:val="24"/>
          <w:lang w:val="en-US"/>
        </w:rPr>
        <w:t xml:space="preserve">ediatric patients remained stable </w:t>
      </w:r>
      <w:r w:rsidR="006B7F72">
        <w:rPr>
          <w:rFonts w:cs="Times New Roman"/>
          <w:sz w:val="24"/>
          <w:szCs w:val="24"/>
          <w:lang w:val="en-US"/>
        </w:rPr>
        <w:t xml:space="preserve">(p=0.376) </w:t>
      </w:r>
      <w:r w:rsidR="00580947">
        <w:rPr>
          <w:rFonts w:cs="Times New Roman"/>
          <w:sz w:val="24"/>
          <w:szCs w:val="24"/>
          <w:lang w:val="en-US"/>
        </w:rPr>
        <w:t>as opposed to adult patients whose age increased significantly over the study period (</w:t>
      </w:r>
      <w:r w:rsidR="006B7F72">
        <w:rPr>
          <w:rFonts w:cs="Times New Roman"/>
          <w:sz w:val="24"/>
          <w:szCs w:val="24"/>
          <w:lang w:val="en-US"/>
        </w:rPr>
        <w:t>p&lt;0.001</w:t>
      </w:r>
      <w:r w:rsidR="00580947">
        <w:rPr>
          <w:rFonts w:cs="Times New Roman"/>
          <w:sz w:val="24"/>
          <w:szCs w:val="24"/>
          <w:lang w:val="en-US"/>
        </w:rPr>
        <w:t>)</w:t>
      </w:r>
      <w:r w:rsidR="006B7F72">
        <w:rPr>
          <w:rFonts w:cs="Times New Roman"/>
          <w:sz w:val="24"/>
          <w:szCs w:val="24"/>
          <w:lang w:val="en-US"/>
        </w:rPr>
        <w:t xml:space="preserve">. </w:t>
      </w:r>
    </w:p>
    <w:p w14:paraId="53754B05" w14:textId="4B3F83F6" w:rsidR="00A706FB" w:rsidRPr="00B13326" w:rsidRDefault="00990BC0" w:rsidP="00A14B97">
      <w:pPr>
        <w:spacing w:before="80" w:after="80" w:line="480" w:lineRule="auto"/>
        <w:jc w:val="both"/>
        <w:rPr>
          <w:rFonts w:cs="Times New Roman"/>
          <w:sz w:val="24"/>
          <w:szCs w:val="24"/>
          <w:lang w:val="en-US"/>
        </w:rPr>
      </w:pPr>
      <w:r w:rsidRPr="00B13326">
        <w:rPr>
          <w:rFonts w:cs="Times New Roman"/>
          <w:sz w:val="24"/>
          <w:szCs w:val="24"/>
          <w:lang w:val="en-US"/>
        </w:rPr>
        <w:t>The percentage of unrelated donations increased s</w:t>
      </w:r>
      <w:r w:rsidR="00E253E9">
        <w:rPr>
          <w:rFonts w:cs="Times New Roman"/>
          <w:sz w:val="24"/>
          <w:szCs w:val="24"/>
          <w:lang w:val="en-US"/>
        </w:rPr>
        <w:t>ignificantly over the 3 decades</w:t>
      </w:r>
      <w:r w:rsidRPr="00B13326">
        <w:rPr>
          <w:rFonts w:cs="Times New Roman"/>
          <w:sz w:val="24"/>
          <w:szCs w:val="24"/>
          <w:lang w:val="en-US"/>
        </w:rPr>
        <w:t xml:space="preserve">; as for the source of stem cells, bone </w:t>
      </w:r>
      <w:r w:rsidRPr="00B13326">
        <w:rPr>
          <w:rFonts w:cs="Times New Roman"/>
          <w:sz w:val="24"/>
          <w:szCs w:val="24"/>
          <w:lang w:val="en-US"/>
        </w:rPr>
        <w:lastRenderedPageBreak/>
        <w:t xml:space="preserve">marrow was the preferred source during the first decade </w:t>
      </w:r>
      <w:r w:rsidR="00E253E9">
        <w:rPr>
          <w:rFonts w:cs="Times New Roman"/>
          <w:sz w:val="24"/>
          <w:szCs w:val="24"/>
          <w:lang w:val="en-US"/>
        </w:rPr>
        <w:t>,</w:t>
      </w:r>
      <w:r w:rsidRPr="00B13326">
        <w:rPr>
          <w:rFonts w:cs="Times New Roman"/>
          <w:sz w:val="24"/>
          <w:szCs w:val="24"/>
          <w:lang w:val="en-US"/>
        </w:rPr>
        <w:t xml:space="preserve"> </w:t>
      </w:r>
      <w:r w:rsidR="00AF5786" w:rsidRPr="00B13326">
        <w:rPr>
          <w:rFonts w:cs="Times New Roman"/>
          <w:sz w:val="24"/>
          <w:szCs w:val="24"/>
          <w:lang w:val="en-US"/>
        </w:rPr>
        <w:t>but decreased</w:t>
      </w:r>
      <w:r w:rsidRPr="00B13326">
        <w:rPr>
          <w:rFonts w:cs="Times New Roman"/>
          <w:sz w:val="24"/>
          <w:szCs w:val="24"/>
          <w:lang w:val="en-US"/>
        </w:rPr>
        <w:t xml:space="preserve"> over the two subsequent periods (</w:t>
      </w:r>
      <w:r w:rsidR="003D1194" w:rsidRPr="00B13326">
        <w:rPr>
          <w:rFonts w:cs="Times New Roman"/>
          <w:sz w:val="24"/>
          <w:szCs w:val="24"/>
          <w:lang w:val="en-US"/>
        </w:rPr>
        <w:t>p</w:t>
      </w:r>
      <w:r w:rsidR="000360F3">
        <w:rPr>
          <w:rFonts w:cs="Times New Roman"/>
          <w:sz w:val="24"/>
          <w:szCs w:val="24"/>
          <w:lang w:val="en-US"/>
        </w:rPr>
        <w:t>&lt;</w:t>
      </w:r>
      <w:r w:rsidR="00AF5786" w:rsidRPr="00B13326">
        <w:rPr>
          <w:rFonts w:cs="Times New Roman"/>
          <w:sz w:val="24"/>
          <w:szCs w:val="24"/>
          <w:lang w:val="en-US"/>
        </w:rPr>
        <w:t>0.001).</w:t>
      </w:r>
      <w:r w:rsidRPr="00B13326">
        <w:rPr>
          <w:rFonts w:cs="Times New Roman"/>
          <w:sz w:val="24"/>
          <w:szCs w:val="24"/>
          <w:lang w:val="en-US"/>
        </w:rPr>
        <w:t xml:space="preserve"> </w:t>
      </w:r>
    </w:p>
    <w:p w14:paraId="55CBDEB9" w14:textId="4696A8D6" w:rsidR="00C50330" w:rsidRPr="00B13326" w:rsidRDefault="00C50330" w:rsidP="00A14B97">
      <w:pPr>
        <w:spacing w:before="80" w:after="80" w:line="480" w:lineRule="auto"/>
        <w:jc w:val="both"/>
        <w:rPr>
          <w:rFonts w:cs="Times New Roman"/>
          <w:sz w:val="24"/>
          <w:szCs w:val="24"/>
          <w:lang w:val="en-US"/>
        </w:rPr>
      </w:pPr>
      <w:r w:rsidRPr="00B13326">
        <w:rPr>
          <w:rFonts w:cs="Times New Roman"/>
          <w:sz w:val="24"/>
          <w:szCs w:val="24"/>
          <w:lang w:val="en-US"/>
        </w:rPr>
        <w:t xml:space="preserve">Umbilical cord blood was started in 1994 and a total of 38 patients (6%) were transplanted with this source </w:t>
      </w:r>
      <w:r w:rsidRPr="009D19C3">
        <w:rPr>
          <w:rFonts w:cs="Times New Roman"/>
          <w:sz w:val="24"/>
          <w:szCs w:val="24"/>
          <w:lang w:val="en-US"/>
        </w:rPr>
        <w:t>during the time period of the study, either</w:t>
      </w:r>
      <w:r w:rsidRPr="00B13326">
        <w:rPr>
          <w:rFonts w:cs="Times New Roman"/>
          <w:sz w:val="24"/>
          <w:szCs w:val="24"/>
          <w:lang w:val="en-US"/>
        </w:rPr>
        <w:t xml:space="preserve"> from</w:t>
      </w:r>
      <w:r w:rsidR="00560A42">
        <w:rPr>
          <w:rFonts w:cs="Times New Roman"/>
          <w:sz w:val="24"/>
          <w:szCs w:val="24"/>
          <w:lang w:val="en-US"/>
        </w:rPr>
        <w:t xml:space="preserve"> </w:t>
      </w:r>
      <w:r w:rsidR="00560A42" w:rsidRPr="00B13326">
        <w:rPr>
          <w:rFonts w:cs="Times New Roman"/>
          <w:sz w:val="24"/>
          <w:szCs w:val="24"/>
          <w:lang w:val="en-US"/>
        </w:rPr>
        <w:t>an unrelated donor</w:t>
      </w:r>
      <w:r w:rsidRPr="00B13326">
        <w:rPr>
          <w:rFonts w:cs="Times New Roman"/>
          <w:sz w:val="24"/>
          <w:szCs w:val="24"/>
          <w:lang w:val="en-US"/>
        </w:rPr>
        <w:t xml:space="preserve"> </w:t>
      </w:r>
      <w:r w:rsidR="00560A42">
        <w:rPr>
          <w:rFonts w:cs="Times New Roman"/>
          <w:sz w:val="24"/>
          <w:szCs w:val="24"/>
          <w:lang w:val="en-US"/>
        </w:rPr>
        <w:t>or from</w:t>
      </w:r>
      <w:r w:rsidRPr="00B13326">
        <w:rPr>
          <w:rFonts w:cs="Times New Roman"/>
          <w:sz w:val="24"/>
          <w:szCs w:val="24"/>
          <w:lang w:val="en-US"/>
        </w:rPr>
        <w:t xml:space="preserve"> family-directed cord</w:t>
      </w:r>
      <w:r w:rsidR="008E6CF4" w:rsidRPr="00B13326">
        <w:rPr>
          <w:rFonts w:cs="Times New Roman"/>
          <w:sz w:val="24"/>
          <w:szCs w:val="24"/>
          <w:lang w:val="en-US"/>
        </w:rPr>
        <w:t xml:space="preserve"> blood</w:t>
      </w:r>
      <w:r w:rsidR="00BC6FB0">
        <w:rPr>
          <w:rFonts w:cs="Times New Roman"/>
          <w:sz w:val="24"/>
          <w:szCs w:val="24"/>
          <w:lang w:val="en-US"/>
        </w:rPr>
        <w:t>.</w:t>
      </w:r>
      <w:r w:rsidR="00896465">
        <w:rPr>
          <w:rFonts w:cs="Times New Roman"/>
          <w:sz w:val="24"/>
          <w:szCs w:val="24"/>
          <w:lang w:val="en-US"/>
        </w:rPr>
        <w:t xml:space="preserve"> </w:t>
      </w:r>
      <w:r w:rsidR="005E12F1" w:rsidRPr="00896465">
        <w:rPr>
          <w:rFonts w:cs="Times New Roman"/>
          <w:color w:val="0070C0"/>
          <w:sz w:val="24"/>
          <w:szCs w:val="24"/>
          <w:vertAlign w:val="superscript"/>
          <w:lang w:val="en-US"/>
        </w:rPr>
        <w:t>14</w:t>
      </w:r>
      <w:r w:rsidRPr="00B13326">
        <w:rPr>
          <w:rFonts w:cs="Times New Roman"/>
          <w:sz w:val="24"/>
          <w:szCs w:val="24"/>
          <w:lang w:val="en-US"/>
        </w:rPr>
        <w:t xml:space="preserve"> </w:t>
      </w:r>
    </w:p>
    <w:p w14:paraId="5D21255A" w14:textId="3CC4F4A3" w:rsidR="00C355D5" w:rsidRPr="00B13326" w:rsidRDefault="00C50330" w:rsidP="00A14B97">
      <w:pPr>
        <w:spacing w:before="80" w:after="80" w:line="480" w:lineRule="auto"/>
        <w:jc w:val="both"/>
        <w:rPr>
          <w:rFonts w:cs="Times New Roman"/>
          <w:sz w:val="24"/>
          <w:szCs w:val="24"/>
          <w:lang w:val="en-US"/>
        </w:rPr>
      </w:pPr>
      <w:r w:rsidRPr="00B13326">
        <w:rPr>
          <w:rFonts w:cs="Times New Roman"/>
          <w:sz w:val="24"/>
          <w:szCs w:val="24"/>
          <w:lang w:val="en-US"/>
        </w:rPr>
        <w:t xml:space="preserve">Conditioning regimens varied according to transplant period (Table 1). </w:t>
      </w:r>
      <w:r w:rsidR="00C355D5" w:rsidRPr="00B13326">
        <w:rPr>
          <w:rFonts w:cs="Times New Roman"/>
          <w:sz w:val="24"/>
          <w:szCs w:val="24"/>
          <w:lang w:val="en-US"/>
        </w:rPr>
        <w:t xml:space="preserve">The percentage of patients given a </w:t>
      </w:r>
      <w:r w:rsidR="00E253E9">
        <w:rPr>
          <w:rFonts w:cs="Times New Roman"/>
          <w:sz w:val="24"/>
          <w:szCs w:val="24"/>
          <w:lang w:val="en-US"/>
        </w:rPr>
        <w:t xml:space="preserve">MAC </w:t>
      </w:r>
      <w:r w:rsidR="00C355D5" w:rsidRPr="00B13326">
        <w:rPr>
          <w:rFonts w:cs="Times New Roman"/>
          <w:sz w:val="24"/>
          <w:szCs w:val="24"/>
          <w:lang w:val="en-US"/>
        </w:rPr>
        <w:t>conditioning decreased</w:t>
      </w:r>
      <w:r w:rsidR="00BC6FB0">
        <w:rPr>
          <w:rFonts w:cs="Times New Roman"/>
          <w:sz w:val="24"/>
          <w:szCs w:val="24"/>
          <w:lang w:val="en-US"/>
        </w:rPr>
        <w:t xml:space="preserve"> </w:t>
      </w:r>
      <w:r w:rsidR="00BC6FB0" w:rsidRPr="00BC6FB0">
        <w:rPr>
          <w:rFonts w:cs="Times New Roman"/>
          <w:color w:val="00B0F0"/>
          <w:sz w:val="24"/>
          <w:szCs w:val="24"/>
          <w:lang w:val="en-US"/>
        </w:rPr>
        <w:t>significantly</w:t>
      </w:r>
      <w:r w:rsidR="00C355D5" w:rsidRPr="00BC6FB0">
        <w:rPr>
          <w:rFonts w:cs="Times New Roman"/>
          <w:color w:val="00B0F0"/>
          <w:sz w:val="24"/>
          <w:szCs w:val="24"/>
          <w:lang w:val="en-US"/>
        </w:rPr>
        <w:t xml:space="preserve"> from</w:t>
      </w:r>
      <w:r w:rsidR="00BC6FB0" w:rsidRPr="00BC6FB0">
        <w:rPr>
          <w:rFonts w:cs="Times New Roman"/>
          <w:color w:val="00B0F0"/>
          <w:sz w:val="24"/>
          <w:szCs w:val="24"/>
          <w:lang w:val="en-US"/>
        </w:rPr>
        <w:t xml:space="preserve"> 87%</w:t>
      </w:r>
      <w:r w:rsidR="00C355D5" w:rsidRPr="00BC6FB0">
        <w:rPr>
          <w:rFonts w:cs="Times New Roman"/>
          <w:color w:val="00B0F0"/>
          <w:sz w:val="24"/>
          <w:szCs w:val="24"/>
          <w:lang w:val="en-US"/>
        </w:rPr>
        <w:t xml:space="preserve"> the first decade to</w:t>
      </w:r>
      <w:r w:rsidR="00BC6FB0" w:rsidRPr="00BC6FB0">
        <w:rPr>
          <w:rFonts w:cs="Times New Roman"/>
          <w:color w:val="00B0F0"/>
          <w:sz w:val="24"/>
          <w:szCs w:val="24"/>
          <w:lang w:val="en-US"/>
        </w:rPr>
        <w:t xml:space="preserve"> 72% in the last decade</w:t>
      </w:r>
      <w:r w:rsidR="00C355D5" w:rsidRPr="00BC6FB0">
        <w:rPr>
          <w:rFonts w:cs="Times New Roman"/>
          <w:color w:val="00B0F0"/>
          <w:sz w:val="24"/>
          <w:szCs w:val="24"/>
          <w:lang w:val="en-US"/>
        </w:rPr>
        <w:t xml:space="preserve"> </w:t>
      </w:r>
      <w:r w:rsidR="00C355D5" w:rsidRPr="00B13326">
        <w:rPr>
          <w:rFonts w:cs="Times New Roman"/>
          <w:sz w:val="24"/>
          <w:szCs w:val="24"/>
          <w:lang w:val="en-US"/>
        </w:rPr>
        <w:t>(p&lt;0.001).</w:t>
      </w:r>
    </w:p>
    <w:p w14:paraId="037531EE" w14:textId="017E1615" w:rsidR="00C50330" w:rsidRPr="00B13326" w:rsidRDefault="00A10946" w:rsidP="00A14B97">
      <w:pPr>
        <w:spacing w:before="80" w:after="80" w:line="480" w:lineRule="auto"/>
        <w:jc w:val="both"/>
        <w:rPr>
          <w:rFonts w:cs="Times New Roman"/>
          <w:sz w:val="24"/>
          <w:szCs w:val="24"/>
          <w:lang w:val="en-US"/>
        </w:rPr>
      </w:pPr>
      <w:r w:rsidRPr="00B13326">
        <w:rPr>
          <w:rFonts w:cs="Times New Roman"/>
          <w:sz w:val="24"/>
          <w:szCs w:val="24"/>
          <w:lang w:val="en-US"/>
        </w:rPr>
        <w:t xml:space="preserve">The use of </w:t>
      </w:r>
      <w:r w:rsidR="00A6688B">
        <w:rPr>
          <w:rFonts w:cs="Times New Roman"/>
          <w:sz w:val="24"/>
          <w:szCs w:val="24"/>
          <w:lang w:val="en-US"/>
        </w:rPr>
        <w:t>ATG</w:t>
      </w:r>
      <w:r w:rsidRPr="00B13326">
        <w:rPr>
          <w:rFonts w:cs="Times New Roman"/>
          <w:sz w:val="24"/>
          <w:szCs w:val="24"/>
          <w:lang w:val="en-US"/>
        </w:rPr>
        <w:t xml:space="preserve"> in the conditioning regimen increased </w:t>
      </w:r>
      <w:r w:rsidR="00E253E9">
        <w:rPr>
          <w:rFonts w:cs="Times New Roman"/>
          <w:sz w:val="24"/>
          <w:szCs w:val="24"/>
          <w:lang w:val="en-US"/>
        </w:rPr>
        <w:t>significantly over the study period (p&lt;0.001)</w:t>
      </w:r>
      <w:r w:rsidRPr="00B13326">
        <w:rPr>
          <w:rFonts w:cs="Times New Roman"/>
          <w:sz w:val="24"/>
          <w:szCs w:val="24"/>
          <w:lang w:val="en-US"/>
        </w:rPr>
        <w:t xml:space="preserve">. </w:t>
      </w:r>
    </w:p>
    <w:p w14:paraId="71CFECBD" w14:textId="51C62D17" w:rsidR="006E6F67" w:rsidRPr="00B13326" w:rsidRDefault="00FB6607" w:rsidP="00A14B97">
      <w:pPr>
        <w:spacing w:before="80" w:after="80" w:line="480" w:lineRule="auto"/>
        <w:jc w:val="both"/>
        <w:rPr>
          <w:rFonts w:cs="Times New Roman"/>
          <w:sz w:val="24"/>
          <w:szCs w:val="24"/>
          <w:lang w:val="en-US"/>
        </w:rPr>
      </w:pPr>
      <w:r w:rsidRPr="00B13326">
        <w:rPr>
          <w:rFonts w:cs="Times New Roman"/>
          <w:sz w:val="24"/>
          <w:szCs w:val="24"/>
          <w:lang w:val="en-US"/>
        </w:rPr>
        <w:t>Since November 2014,</w:t>
      </w:r>
      <w:r w:rsidR="00772933" w:rsidRPr="00B13326">
        <w:rPr>
          <w:rFonts w:cs="Times New Roman"/>
          <w:sz w:val="24"/>
          <w:szCs w:val="24"/>
          <w:lang w:val="en-US"/>
        </w:rPr>
        <w:t xml:space="preserve"> 10 patients (8 Hodgkin’s disease and 2 </w:t>
      </w:r>
      <w:r w:rsidR="00C9543D">
        <w:rPr>
          <w:rFonts w:cs="Times New Roman"/>
          <w:sz w:val="24"/>
          <w:szCs w:val="24"/>
          <w:lang w:val="en-US"/>
        </w:rPr>
        <w:t>AML</w:t>
      </w:r>
      <w:r w:rsidR="00772933" w:rsidRPr="00B13326">
        <w:rPr>
          <w:rFonts w:cs="Times New Roman"/>
          <w:sz w:val="24"/>
          <w:szCs w:val="24"/>
          <w:lang w:val="en-US"/>
        </w:rPr>
        <w:t>) were given</w:t>
      </w:r>
      <w:r w:rsidR="00D1576C">
        <w:rPr>
          <w:rFonts w:cs="Times New Roman"/>
          <w:sz w:val="24"/>
          <w:szCs w:val="24"/>
          <w:lang w:val="en-US"/>
        </w:rPr>
        <w:t xml:space="preserve"> unmanipulated</w:t>
      </w:r>
      <w:r w:rsidR="00772933" w:rsidRPr="00B13326">
        <w:rPr>
          <w:rFonts w:cs="Times New Roman"/>
          <w:sz w:val="24"/>
          <w:szCs w:val="24"/>
          <w:lang w:val="en-US"/>
        </w:rPr>
        <w:t xml:space="preserve"> haploidentical transplants</w:t>
      </w:r>
      <w:r w:rsidR="00D1576C">
        <w:rPr>
          <w:rFonts w:cs="Times New Roman"/>
          <w:sz w:val="24"/>
          <w:szCs w:val="24"/>
          <w:lang w:val="en-US"/>
        </w:rPr>
        <w:t>.</w:t>
      </w:r>
      <w:r w:rsidR="00C50330" w:rsidRPr="00B13326">
        <w:rPr>
          <w:rFonts w:cs="Times New Roman"/>
          <w:sz w:val="24"/>
          <w:szCs w:val="24"/>
          <w:lang w:val="en-US"/>
        </w:rPr>
        <w:t xml:space="preserve"> Hodgkin’s disease</w:t>
      </w:r>
      <w:r w:rsidR="00C9543D">
        <w:rPr>
          <w:rFonts w:cs="Times New Roman"/>
          <w:sz w:val="24"/>
          <w:szCs w:val="24"/>
          <w:lang w:val="en-US"/>
        </w:rPr>
        <w:t xml:space="preserve"> patients</w:t>
      </w:r>
      <w:r w:rsidR="00C50330" w:rsidRPr="00B13326">
        <w:rPr>
          <w:rFonts w:cs="Times New Roman"/>
          <w:sz w:val="24"/>
          <w:szCs w:val="24"/>
          <w:lang w:val="en-US"/>
        </w:rPr>
        <w:t xml:space="preserve"> were conditioned with the Baltimore protocol</w:t>
      </w:r>
      <w:r w:rsidR="005E12F1" w:rsidRPr="00896465">
        <w:rPr>
          <w:rFonts w:cs="Times New Roman"/>
          <w:color w:val="0070C0"/>
          <w:sz w:val="24"/>
          <w:szCs w:val="24"/>
          <w:vertAlign w:val="superscript"/>
          <w:lang w:val="en-US"/>
        </w:rPr>
        <w:t>15</w:t>
      </w:r>
      <w:r w:rsidR="00C50330" w:rsidRPr="00B13326">
        <w:rPr>
          <w:rFonts w:cs="Times New Roman"/>
          <w:sz w:val="24"/>
          <w:szCs w:val="24"/>
          <w:lang w:val="en-US"/>
        </w:rPr>
        <w:t xml:space="preserve"> and the other</w:t>
      </w:r>
      <w:r w:rsidR="005A60AB">
        <w:rPr>
          <w:rFonts w:cs="Times New Roman"/>
          <w:sz w:val="24"/>
          <w:szCs w:val="24"/>
          <w:lang w:val="en-US"/>
        </w:rPr>
        <w:t>s</w:t>
      </w:r>
      <w:r w:rsidR="00C50330" w:rsidRPr="00B13326">
        <w:rPr>
          <w:rFonts w:cs="Times New Roman"/>
          <w:sz w:val="24"/>
          <w:szCs w:val="24"/>
          <w:lang w:val="en-US"/>
        </w:rPr>
        <w:t xml:space="preserve"> with the Genoa protocol</w:t>
      </w:r>
      <w:r w:rsidR="005E12F1" w:rsidRPr="00896465">
        <w:rPr>
          <w:rFonts w:cs="Times New Roman"/>
          <w:color w:val="0070C0"/>
          <w:sz w:val="24"/>
          <w:szCs w:val="24"/>
          <w:vertAlign w:val="superscript"/>
          <w:lang w:val="en-US"/>
        </w:rPr>
        <w:t>16</w:t>
      </w:r>
      <w:r w:rsidR="00C50330" w:rsidRPr="00B13326">
        <w:rPr>
          <w:rFonts w:cs="Times New Roman"/>
          <w:sz w:val="24"/>
          <w:szCs w:val="24"/>
          <w:lang w:val="en-US"/>
        </w:rPr>
        <w:t xml:space="preserve"> </w:t>
      </w:r>
      <w:r w:rsidR="006E6F67" w:rsidRPr="00B13326">
        <w:rPr>
          <w:rFonts w:cs="Times New Roman"/>
          <w:sz w:val="24"/>
          <w:szCs w:val="24"/>
          <w:lang w:val="en-US"/>
        </w:rPr>
        <w:t>The proportion of patients with non-malignant conditions (</w:t>
      </w:r>
      <w:r w:rsidR="00A14EC2">
        <w:rPr>
          <w:rFonts w:cs="Times New Roman"/>
          <w:sz w:val="24"/>
          <w:szCs w:val="24"/>
          <w:lang w:val="en-US"/>
        </w:rPr>
        <w:t xml:space="preserve">aplastic anemia, </w:t>
      </w:r>
      <w:r w:rsidR="006E6F67" w:rsidRPr="00B13326">
        <w:rPr>
          <w:rFonts w:cs="Times New Roman"/>
          <w:sz w:val="24"/>
          <w:szCs w:val="24"/>
          <w:lang w:val="en-US"/>
        </w:rPr>
        <w:t xml:space="preserve">hemoglobinopathies, </w:t>
      </w:r>
      <w:r w:rsidR="00634A97">
        <w:rPr>
          <w:rFonts w:cs="Times New Roman"/>
          <w:sz w:val="24"/>
          <w:szCs w:val="24"/>
          <w:lang w:val="en-US"/>
        </w:rPr>
        <w:t>inborn errors of metabolism</w:t>
      </w:r>
      <w:r w:rsidR="006E6F67" w:rsidRPr="00B13326">
        <w:rPr>
          <w:rFonts w:cs="Times New Roman"/>
          <w:sz w:val="24"/>
          <w:szCs w:val="24"/>
          <w:lang w:val="en-US"/>
        </w:rPr>
        <w:t>,</w:t>
      </w:r>
      <w:r w:rsidR="00634A97">
        <w:rPr>
          <w:rFonts w:cs="Times New Roman"/>
          <w:sz w:val="24"/>
          <w:szCs w:val="24"/>
          <w:lang w:val="en-US"/>
        </w:rPr>
        <w:t xml:space="preserve"> osteopetrosis, hereditary bone marrow failure syndromes,</w:t>
      </w:r>
      <w:r w:rsidR="006E6F67" w:rsidRPr="00B13326">
        <w:rPr>
          <w:rFonts w:cs="Times New Roman"/>
          <w:sz w:val="24"/>
          <w:szCs w:val="24"/>
          <w:lang w:val="en-US"/>
        </w:rPr>
        <w:t xml:space="preserve"> </w:t>
      </w:r>
      <w:r w:rsidR="00634A97">
        <w:rPr>
          <w:rFonts w:cs="Times New Roman"/>
          <w:sz w:val="24"/>
          <w:szCs w:val="24"/>
          <w:lang w:val="en-US"/>
        </w:rPr>
        <w:t>primary immunodeficiency syndromes</w:t>
      </w:r>
      <w:r w:rsidR="006E6F67" w:rsidRPr="00B13326">
        <w:rPr>
          <w:rFonts w:cs="Times New Roman"/>
          <w:sz w:val="24"/>
          <w:szCs w:val="24"/>
          <w:lang w:val="en-US"/>
        </w:rPr>
        <w:t>) remained</w:t>
      </w:r>
      <w:r w:rsidR="00ED7979" w:rsidRPr="00B13326">
        <w:rPr>
          <w:rFonts w:cs="Times New Roman"/>
          <w:sz w:val="24"/>
          <w:szCs w:val="24"/>
          <w:lang w:val="en-US"/>
        </w:rPr>
        <w:t xml:space="preserve"> stable over the 3 decades, accounting for 15% of the total number of transplants. Furthermore, a shift in indications for </w:t>
      </w:r>
      <w:r w:rsidR="00A6688B">
        <w:rPr>
          <w:rFonts w:cs="Times New Roman"/>
          <w:sz w:val="24"/>
          <w:szCs w:val="24"/>
          <w:lang w:val="en-US"/>
        </w:rPr>
        <w:lastRenderedPageBreak/>
        <w:t>HSCT</w:t>
      </w:r>
      <w:r w:rsidR="00ED7979" w:rsidRPr="00B13326">
        <w:rPr>
          <w:rFonts w:cs="Times New Roman"/>
          <w:sz w:val="24"/>
          <w:szCs w:val="24"/>
          <w:lang w:val="en-US"/>
        </w:rPr>
        <w:t xml:space="preserve"> in hematologic malignancies, away from CML</w:t>
      </w:r>
      <w:r w:rsidR="00D63DD0" w:rsidRPr="00B13326">
        <w:rPr>
          <w:rFonts w:cs="Times New Roman"/>
          <w:sz w:val="24"/>
          <w:szCs w:val="24"/>
          <w:lang w:val="en-US"/>
        </w:rPr>
        <w:t xml:space="preserve"> and ALL </w:t>
      </w:r>
      <w:r w:rsidR="00ED7979" w:rsidRPr="00B13326">
        <w:rPr>
          <w:rFonts w:cs="Times New Roman"/>
          <w:sz w:val="24"/>
          <w:szCs w:val="24"/>
          <w:lang w:val="en-US"/>
        </w:rPr>
        <w:t>and towards AML</w:t>
      </w:r>
      <w:r w:rsidR="00D63DD0" w:rsidRPr="00B13326">
        <w:rPr>
          <w:rFonts w:cs="Times New Roman"/>
          <w:sz w:val="24"/>
          <w:szCs w:val="24"/>
          <w:lang w:val="en-US"/>
        </w:rPr>
        <w:t xml:space="preserve"> and lymphomas, could be observed</w:t>
      </w:r>
      <w:r w:rsidR="005A60AB">
        <w:rPr>
          <w:rFonts w:cs="Times New Roman"/>
          <w:sz w:val="24"/>
          <w:szCs w:val="24"/>
          <w:lang w:val="en-US"/>
        </w:rPr>
        <w:t>.</w:t>
      </w:r>
    </w:p>
    <w:p w14:paraId="50BA13F5" w14:textId="24981C2E" w:rsidR="00DC4F91" w:rsidRPr="00BC6FB0" w:rsidRDefault="00DC4F91" w:rsidP="00A14B97">
      <w:pPr>
        <w:spacing w:before="80" w:after="80" w:line="480" w:lineRule="auto"/>
        <w:jc w:val="both"/>
        <w:rPr>
          <w:rFonts w:cs="Times New Roman"/>
          <w:sz w:val="24"/>
          <w:szCs w:val="24"/>
          <w:lang w:val="en-US"/>
        </w:rPr>
      </w:pPr>
      <w:r w:rsidRPr="00B13326">
        <w:rPr>
          <w:rFonts w:cs="Times New Roman"/>
          <w:sz w:val="24"/>
          <w:szCs w:val="24"/>
          <w:lang w:val="en-US"/>
        </w:rPr>
        <w:t>With regards to disease status at transplantation there was a significant rise of high-risk patients being transplanted</w:t>
      </w:r>
      <w:r w:rsidR="007732E8">
        <w:rPr>
          <w:rFonts w:cs="Times New Roman"/>
          <w:sz w:val="24"/>
          <w:szCs w:val="24"/>
          <w:lang w:val="en-US"/>
        </w:rPr>
        <w:t>,</w:t>
      </w:r>
      <w:r w:rsidRPr="00B13326">
        <w:rPr>
          <w:rFonts w:cs="Times New Roman"/>
          <w:sz w:val="24"/>
          <w:szCs w:val="24"/>
          <w:lang w:val="en-US"/>
        </w:rPr>
        <w:t xml:space="preserve"> </w:t>
      </w:r>
      <w:r w:rsidR="00167376" w:rsidRPr="00BC6FB0">
        <w:rPr>
          <w:rFonts w:cs="Times New Roman"/>
          <w:sz w:val="24"/>
          <w:szCs w:val="24"/>
          <w:lang w:val="en-US"/>
        </w:rPr>
        <w:t xml:space="preserve">from the first to the subsequent </w:t>
      </w:r>
      <w:r w:rsidR="007732E8" w:rsidRPr="00BC6FB0">
        <w:rPr>
          <w:rFonts w:cs="Times New Roman"/>
          <w:sz w:val="24"/>
          <w:szCs w:val="24"/>
          <w:lang w:val="en-US"/>
        </w:rPr>
        <w:t>decades</w:t>
      </w:r>
      <w:r w:rsidRPr="00BC6FB0">
        <w:rPr>
          <w:rFonts w:cs="Times New Roman"/>
          <w:sz w:val="24"/>
          <w:szCs w:val="24"/>
          <w:lang w:val="en-US"/>
        </w:rPr>
        <w:t xml:space="preserve"> (</w:t>
      </w:r>
      <w:r w:rsidR="003D1194" w:rsidRPr="00BC6FB0">
        <w:rPr>
          <w:rFonts w:cs="Times New Roman"/>
          <w:sz w:val="24"/>
          <w:szCs w:val="24"/>
          <w:lang w:val="en-US"/>
        </w:rPr>
        <w:t>p</w:t>
      </w:r>
      <w:r w:rsidR="00644782" w:rsidRPr="00BC6FB0">
        <w:rPr>
          <w:rFonts w:cs="Times New Roman"/>
          <w:sz w:val="24"/>
          <w:szCs w:val="24"/>
          <w:lang w:val="en-US"/>
        </w:rPr>
        <w:t>=</w:t>
      </w:r>
      <w:r w:rsidRPr="00BC6FB0">
        <w:rPr>
          <w:rFonts w:cs="Times New Roman"/>
          <w:sz w:val="24"/>
          <w:szCs w:val="24"/>
          <w:lang w:val="en-US"/>
        </w:rPr>
        <w:t>0.02</w:t>
      </w:r>
      <w:r w:rsidR="003D1194" w:rsidRPr="00BC6FB0">
        <w:rPr>
          <w:rFonts w:cs="Times New Roman"/>
          <w:sz w:val="24"/>
          <w:szCs w:val="24"/>
          <w:lang w:val="en-US"/>
        </w:rPr>
        <w:t>4</w:t>
      </w:r>
      <w:r w:rsidR="005A60AB" w:rsidRPr="00BC6FB0">
        <w:rPr>
          <w:rFonts w:cs="Times New Roman"/>
          <w:sz w:val="24"/>
          <w:szCs w:val="24"/>
          <w:lang w:val="en-US"/>
        </w:rPr>
        <w:t>).</w:t>
      </w:r>
    </w:p>
    <w:p w14:paraId="03ED3A22" w14:textId="77777777" w:rsidR="00B13326" w:rsidRPr="00B13326" w:rsidRDefault="00B13326" w:rsidP="00A14B97">
      <w:pPr>
        <w:spacing w:before="80" w:after="80" w:line="480" w:lineRule="auto"/>
        <w:jc w:val="both"/>
        <w:rPr>
          <w:rFonts w:cs="Times New Roman"/>
          <w:sz w:val="24"/>
          <w:szCs w:val="24"/>
          <w:lang w:val="en-US"/>
        </w:rPr>
      </w:pPr>
    </w:p>
    <w:p w14:paraId="2C5AE16B" w14:textId="77777777" w:rsidR="00F22633" w:rsidRPr="00B13326" w:rsidRDefault="00F22633" w:rsidP="00A14B97">
      <w:pPr>
        <w:spacing w:before="80" w:after="80" w:line="480" w:lineRule="auto"/>
        <w:jc w:val="both"/>
        <w:rPr>
          <w:rFonts w:cs="Times New Roman"/>
          <w:b/>
          <w:sz w:val="24"/>
          <w:szCs w:val="24"/>
          <w:lang w:val="en-US"/>
        </w:rPr>
      </w:pPr>
      <w:r w:rsidRPr="00B13326">
        <w:rPr>
          <w:rFonts w:cs="Times New Roman"/>
          <w:b/>
          <w:sz w:val="24"/>
          <w:szCs w:val="24"/>
          <w:lang w:val="en-US"/>
        </w:rPr>
        <w:t>Clinical outcomes</w:t>
      </w:r>
    </w:p>
    <w:p w14:paraId="3586A09C" w14:textId="3887CF4F" w:rsidR="00484021" w:rsidRPr="00B13326" w:rsidRDefault="005A60AB" w:rsidP="00A14B97">
      <w:pPr>
        <w:spacing w:before="80" w:after="80" w:line="480" w:lineRule="auto"/>
        <w:jc w:val="both"/>
        <w:rPr>
          <w:rFonts w:cs="Times New Roman"/>
          <w:sz w:val="24"/>
          <w:szCs w:val="24"/>
          <w:lang w:val="en-US"/>
        </w:rPr>
      </w:pPr>
      <w:r>
        <w:rPr>
          <w:rFonts w:cs="Times New Roman"/>
          <w:sz w:val="24"/>
          <w:szCs w:val="24"/>
          <w:lang w:val="en-US"/>
        </w:rPr>
        <w:t>The m</w:t>
      </w:r>
      <w:r w:rsidR="00F22633" w:rsidRPr="00B13326">
        <w:rPr>
          <w:rFonts w:cs="Times New Roman"/>
          <w:sz w:val="24"/>
          <w:szCs w:val="24"/>
          <w:lang w:val="en-US"/>
        </w:rPr>
        <w:t>edian follow-up</w:t>
      </w:r>
      <w:r w:rsidR="000F68FD" w:rsidRPr="00B13326">
        <w:rPr>
          <w:rFonts w:cs="Times New Roman"/>
          <w:sz w:val="24"/>
          <w:szCs w:val="24"/>
          <w:lang w:val="en-US"/>
        </w:rPr>
        <w:t xml:space="preserve"> </w:t>
      </w:r>
      <w:r w:rsidR="00AD58E3" w:rsidRPr="00B13326">
        <w:rPr>
          <w:rFonts w:cs="Times New Roman"/>
          <w:sz w:val="24"/>
          <w:szCs w:val="24"/>
          <w:lang w:val="en-US"/>
        </w:rPr>
        <w:t>for surviving patients in</w:t>
      </w:r>
      <w:r w:rsidR="000F68FD" w:rsidRPr="00B13326">
        <w:rPr>
          <w:rFonts w:cs="Times New Roman"/>
          <w:sz w:val="24"/>
          <w:szCs w:val="24"/>
          <w:lang w:val="en-US"/>
        </w:rPr>
        <w:t xml:space="preserve"> first decade was 23 years, </w:t>
      </w:r>
      <w:r w:rsidR="00AD58E3" w:rsidRPr="00B13326">
        <w:rPr>
          <w:rFonts w:cs="Times New Roman"/>
          <w:sz w:val="24"/>
          <w:szCs w:val="24"/>
          <w:lang w:val="en-US"/>
        </w:rPr>
        <w:t xml:space="preserve">in the </w:t>
      </w:r>
      <w:r w:rsidR="000F68FD" w:rsidRPr="00B13326">
        <w:rPr>
          <w:rFonts w:cs="Times New Roman"/>
          <w:sz w:val="24"/>
          <w:szCs w:val="24"/>
          <w:lang w:val="en-US"/>
        </w:rPr>
        <w:t>second 13 years and</w:t>
      </w:r>
      <w:r w:rsidR="00AD58E3" w:rsidRPr="00B13326">
        <w:rPr>
          <w:rFonts w:cs="Times New Roman"/>
          <w:sz w:val="24"/>
          <w:szCs w:val="24"/>
          <w:lang w:val="en-US"/>
        </w:rPr>
        <w:t xml:space="preserve"> in the last decade 3.5 years. Of the 682 patients</w:t>
      </w:r>
      <w:r w:rsidR="006E0CB9">
        <w:rPr>
          <w:rFonts w:cs="Times New Roman"/>
          <w:sz w:val="24"/>
          <w:szCs w:val="24"/>
          <w:lang w:val="en-US"/>
        </w:rPr>
        <w:t>,</w:t>
      </w:r>
      <w:r w:rsidR="00AD58E3" w:rsidRPr="00B13326">
        <w:rPr>
          <w:rFonts w:cs="Times New Roman"/>
          <w:sz w:val="24"/>
          <w:szCs w:val="24"/>
          <w:lang w:val="en-US"/>
        </w:rPr>
        <w:t xml:space="preserve"> </w:t>
      </w:r>
      <w:r w:rsidR="00A14EC2">
        <w:rPr>
          <w:rFonts w:cs="Times New Roman"/>
          <w:sz w:val="24"/>
          <w:szCs w:val="24"/>
          <w:lang w:val="en-US"/>
        </w:rPr>
        <w:t>45%</w:t>
      </w:r>
      <w:r w:rsidR="00AD58E3" w:rsidRPr="00B13326">
        <w:rPr>
          <w:rFonts w:cs="Times New Roman"/>
          <w:sz w:val="24"/>
          <w:szCs w:val="24"/>
          <w:lang w:val="en-US"/>
        </w:rPr>
        <w:t xml:space="preserve"> died and </w:t>
      </w:r>
      <w:r w:rsidR="00A14EC2">
        <w:rPr>
          <w:rFonts w:cs="Times New Roman"/>
          <w:sz w:val="24"/>
          <w:szCs w:val="24"/>
          <w:lang w:val="en-US"/>
        </w:rPr>
        <w:t>55%</w:t>
      </w:r>
      <w:r w:rsidR="00AD58E3" w:rsidRPr="00B13326">
        <w:rPr>
          <w:rFonts w:cs="Times New Roman"/>
          <w:sz w:val="24"/>
          <w:szCs w:val="24"/>
          <w:lang w:val="en-US"/>
        </w:rPr>
        <w:t xml:space="preserve"> are still alive at the time</w:t>
      </w:r>
      <w:r w:rsidR="00081CAB" w:rsidRPr="00B13326">
        <w:rPr>
          <w:rFonts w:cs="Times New Roman"/>
          <w:sz w:val="24"/>
          <w:szCs w:val="24"/>
          <w:lang w:val="en-US"/>
        </w:rPr>
        <w:t xml:space="preserve"> of last follow-up</w:t>
      </w:r>
      <w:r w:rsidR="0033393D" w:rsidRPr="00B13326">
        <w:rPr>
          <w:rFonts w:cs="Times New Roman"/>
          <w:sz w:val="24"/>
          <w:szCs w:val="24"/>
          <w:lang w:val="en-US"/>
        </w:rPr>
        <w:t xml:space="preserve"> </w:t>
      </w:r>
      <w:r w:rsidR="0039166B" w:rsidRPr="00B13326">
        <w:rPr>
          <w:rFonts w:cs="Times New Roman"/>
          <w:sz w:val="24"/>
          <w:szCs w:val="24"/>
          <w:lang w:val="en-US"/>
        </w:rPr>
        <w:t xml:space="preserve">with a </w:t>
      </w:r>
      <w:r w:rsidR="0033393D" w:rsidRPr="00B13326">
        <w:rPr>
          <w:rFonts w:cs="Times New Roman"/>
          <w:sz w:val="24"/>
          <w:szCs w:val="24"/>
          <w:lang w:val="en-US"/>
        </w:rPr>
        <w:t>3-year OS</w:t>
      </w:r>
      <w:r w:rsidR="0039166B" w:rsidRPr="00B13326">
        <w:rPr>
          <w:rFonts w:cs="Times New Roman"/>
          <w:sz w:val="24"/>
          <w:szCs w:val="24"/>
          <w:lang w:val="en-US"/>
        </w:rPr>
        <w:t xml:space="preserve"> of 59%</w:t>
      </w:r>
      <w:r w:rsidR="006B09AF" w:rsidRPr="00B13326">
        <w:rPr>
          <w:rFonts w:cs="Times New Roman"/>
          <w:sz w:val="24"/>
          <w:szCs w:val="24"/>
          <w:lang w:val="en-US"/>
        </w:rPr>
        <w:t xml:space="preserve">. </w:t>
      </w:r>
      <w:r>
        <w:rPr>
          <w:rFonts w:cs="Times New Roman"/>
          <w:sz w:val="24"/>
          <w:szCs w:val="24"/>
          <w:lang w:val="en-US"/>
        </w:rPr>
        <w:t xml:space="preserve">The OS </w:t>
      </w:r>
      <w:r w:rsidR="006B09AF" w:rsidRPr="00B13326">
        <w:rPr>
          <w:rFonts w:cs="Times New Roman"/>
          <w:sz w:val="24"/>
          <w:szCs w:val="24"/>
          <w:lang w:val="en-US"/>
        </w:rPr>
        <w:t>at 3-years for the</w:t>
      </w:r>
      <w:r w:rsidR="00644782">
        <w:rPr>
          <w:rFonts w:cs="Times New Roman"/>
          <w:sz w:val="24"/>
          <w:szCs w:val="24"/>
          <w:lang w:val="en-US"/>
        </w:rPr>
        <w:t xml:space="preserve"> </w:t>
      </w:r>
      <w:r w:rsidR="006B09AF" w:rsidRPr="00B13326">
        <w:rPr>
          <w:rFonts w:cs="Times New Roman"/>
          <w:sz w:val="24"/>
          <w:szCs w:val="24"/>
          <w:lang w:val="en-US"/>
        </w:rPr>
        <w:t xml:space="preserve">patients </w:t>
      </w:r>
      <w:r w:rsidR="000F037C" w:rsidRPr="00B13326">
        <w:rPr>
          <w:rFonts w:cs="Times New Roman"/>
          <w:sz w:val="24"/>
          <w:szCs w:val="24"/>
          <w:lang w:val="en-US"/>
        </w:rPr>
        <w:t>transplanted with a related donor</w:t>
      </w:r>
      <w:r w:rsidR="006B09AF" w:rsidRPr="00B13326">
        <w:rPr>
          <w:rFonts w:cs="Times New Roman"/>
          <w:sz w:val="24"/>
          <w:szCs w:val="24"/>
          <w:lang w:val="en-US"/>
        </w:rPr>
        <w:t xml:space="preserve"> was 60% and for </w:t>
      </w:r>
      <w:r w:rsidR="00644782">
        <w:rPr>
          <w:rFonts w:cs="Times New Roman"/>
          <w:sz w:val="24"/>
          <w:szCs w:val="24"/>
          <w:lang w:val="en-US"/>
        </w:rPr>
        <w:t>those</w:t>
      </w:r>
      <w:r w:rsidR="006B09AF" w:rsidRPr="00B13326">
        <w:rPr>
          <w:rFonts w:cs="Times New Roman"/>
          <w:sz w:val="24"/>
          <w:szCs w:val="24"/>
          <w:lang w:val="en-US"/>
        </w:rPr>
        <w:t xml:space="preserve"> </w:t>
      </w:r>
      <w:r w:rsidR="000F037C" w:rsidRPr="00B13326">
        <w:rPr>
          <w:rFonts w:cs="Times New Roman"/>
          <w:sz w:val="24"/>
          <w:szCs w:val="24"/>
          <w:lang w:val="en-US"/>
        </w:rPr>
        <w:t>who had an unrelated</w:t>
      </w:r>
      <w:r w:rsidR="006B09AF" w:rsidRPr="00B13326">
        <w:rPr>
          <w:rFonts w:cs="Times New Roman"/>
          <w:sz w:val="24"/>
          <w:szCs w:val="24"/>
          <w:lang w:val="en-US"/>
        </w:rPr>
        <w:t xml:space="preserve"> transplant was </w:t>
      </w:r>
      <w:r w:rsidR="00127655" w:rsidRPr="00B13326">
        <w:rPr>
          <w:rFonts w:cs="Times New Roman"/>
          <w:sz w:val="24"/>
          <w:szCs w:val="24"/>
          <w:lang w:val="en-US"/>
        </w:rPr>
        <w:t>59% (</w:t>
      </w:r>
      <w:r w:rsidR="00C83A08" w:rsidRPr="00B13326">
        <w:rPr>
          <w:rFonts w:cs="Times New Roman"/>
          <w:sz w:val="24"/>
          <w:szCs w:val="24"/>
          <w:lang w:val="en-US"/>
        </w:rPr>
        <w:t>p</w:t>
      </w:r>
      <w:r w:rsidR="00127655" w:rsidRPr="00B13326">
        <w:rPr>
          <w:rFonts w:cs="Times New Roman"/>
          <w:sz w:val="24"/>
          <w:szCs w:val="24"/>
          <w:lang w:val="en-US"/>
        </w:rPr>
        <w:t>=0.64</w:t>
      </w:r>
      <w:r w:rsidR="00C83A08" w:rsidRPr="00B13326">
        <w:rPr>
          <w:rFonts w:cs="Times New Roman"/>
          <w:sz w:val="24"/>
          <w:szCs w:val="24"/>
          <w:lang w:val="en-US"/>
        </w:rPr>
        <w:t>3</w:t>
      </w:r>
      <w:r w:rsidR="00127655" w:rsidRPr="00B13326">
        <w:rPr>
          <w:rFonts w:cs="Times New Roman"/>
          <w:sz w:val="24"/>
          <w:szCs w:val="24"/>
          <w:lang w:val="en-US"/>
        </w:rPr>
        <w:t>) (</w:t>
      </w:r>
      <w:r w:rsidR="0073626B" w:rsidRPr="00B13326">
        <w:rPr>
          <w:rFonts w:cs="Times New Roman"/>
          <w:sz w:val="24"/>
          <w:szCs w:val="24"/>
          <w:lang w:val="en-US"/>
        </w:rPr>
        <w:t xml:space="preserve">Figure </w:t>
      </w:r>
      <w:r w:rsidR="00644782">
        <w:rPr>
          <w:rFonts w:cs="Times New Roman"/>
          <w:sz w:val="24"/>
          <w:szCs w:val="24"/>
          <w:lang w:val="en-US"/>
        </w:rPr>
        <w:t>1</w:t>
      </w:r>
      <w:r w:rsidR="00C83A08" w:rsidRPr="00B13326">
        <w:rPr>
          <w:rFonts w:cs="Times New Roman"/>
          <w:sz w:val="24"/>
          <w:szCs w:val="24"/>
          <w:lang w:val="en-US"/>
        </w:rPr>
        <w:t>A</w:t>
      </w:r>
      <w:r w:rsidR="00127655" w:rsidRPr="00B13326">
        <w:rPr>
          <w:rFonts w:cs="Times New Roman"/>
          <w:sz w:val="24"/>
          <w:szCs w:val="24"/>
          <w:lang w:val="en-US"/>
        </w:rPr>
        <w:t>).</w:t>
      </w:r>
    </w:p>
    <w:p w14:paraId="08CC593E" w14:textId="5BBD643A" w:rsidR="000F037C" w:rsidRPr="00B13326" w:rsidRDefault="00542CF6" w:rsidP="00A14B97">
      <w:pPr>
        <w:spacing w:before="80" w:after="80" w:line="480" w:lineRule="auto"/>
        <w:jc w:val="both"/>
        <w:rPr>
          <w:rFonts w:cs="Times New Roman"/>
          <w:sz w:val="24"/>
          <w:szCs w:val="24"/>
          <w:lang w:val="en-US"/>
        </w:rPr>
      </w:pPr>
      <w:r w:rsidRPr="00B13326">
        <w:rPr>
          <w:rFonts w:cs="Times New Roman"/>
          <w:sz w:val="24"/>
          <w:szCs w:val="24"/>
          <w:lang w:val="en-US"/>
        </w:rPr>
        <w:t>Among</w:t>
      </w:r>
      <w:r w:rsidR="008B725B" w:rsidRPr="00B13326">
        <w:rPr>
          <w:rFonts w:cs="Times New Roman"/>
          <w:sz w:val="24"/>
          <w:szCs w:val="24"/>
          <w:lang w:val="en-US"/>
        </w:rPr>
        <w:t xml:space="preserve"> those</w:t>
      </w:r>
      <w:r w:rsidR="000F037C" w:rsidRPr="00B13326">
        <w:rPr>
          <w:rFonts w:cs="Times New Roman"/>
          <w:sz w:val="24"/>
          <w:szCs w:val="24"/>
          <w:lang w:val="en-US"/>
        </w:rPr>
        <w:t xml:space="preserve"> receiving an unrelated transplant</w:t>
      </w:r>
      <w:r w:rsidR="003543B3" w:rsidRPr="00B13326">
        <w:rPr>
          <w:rFonts w:cs="Times New Roman"/>
          <w:sz w:val="24"/>
          <w:szCs w:val="24"/>
          <w:lang w:val="en-US"/>
        </w:rPr>
        <w:t xml:space="preserve">, 105 </w:t>
      </w:r>
      <w:r w:rsidR="00A6688B">
        <w:rPr>
          <w:rFonts w:cs="Times New Roman"/>
          <w:sz w:val="24"/>
          <w:szCs w:val="24"/>
          <w:lang w:val="en-US"/>
        </w:rPr>
        <w:t>had</w:t>
      </w:r>
      <w:r w:rsidR="003543B3" w:rsidRPr="00B13326">
        <w:rPr>
          <w:rFonts w:cs="Times New Roman"/>
          <w:sz w:val="24"/>
          <w:szCs w:val="24"/>
          <w:lang w:val="en-US"/>
        </w:rPr>
        <w:t xml:space="preserve"> an HLA identical match (number of alleles tested 6</w:t>
      </w:r>
      <w:r w:rsidR="00882FC9" w:rsidRPr="00B13326">
        <w:rPr>
          <w:rFonts w:cs="Times New Roman"/>
          <w:sz w:val="24"/>
          <w:szCs w:val="24"/>
          <w:lang w:val="en-US"/>
        </w:rPr>
        <w:t>,</w:t>
      </w:r>
      <w:r w:rsidR="0039166B" w:rsidRPr="00B13326">
        <w:rPr>
          <w:rFonts w:cs="Times New Roman"/>
          <w:sz w:val="24"/>
          <w:szCs w:val="24"/>
          <w:lang w:val="en-US"/>
        </w:rPr>
        <w:t xml:space="preserve"> 8 or 10,</w:t>
      </w:r>
      <w:r w:rsidR="00882FC9" w:rsidRPr="00B13326">
        <w:rPr>
          <w:rFonts w:cs="Times New Roman"/>
          <w:sz w:val="24"/>
          <w:szCs w:val="24"/>
          <w:lang w:val="en-US"/>
        </w:rPr>
        <w:t xml:space="preserve"> depending on the time frame of the transplant</w:t>
      </w:r>
      <w:r w:rsidR="003543B3" w:rsidRPr="00B13326">
        <w:rPr>
          <w:rFonts w:cs="Times New Roman"/>
          <w:sz w:val="24"/>
          <w:szCs w:val="24"/>
          <w:lang w:val="en-US"/>
        </w:rPr>
        <w:t>)</w:t>
      </w:r>
      <w:r w:rsidR="003F1840" w:rsidRPr="00B13326">
        <w:rPr>
          <w:rFonts w:cs="Times New Roman"/>
          <w:sz w:val="24"/>
          <w:szCs w:val="24"/>
          <w:lang w:val="en-US"/>
        </w:rPr>
        <w:t>,</w:t>
      </w:r>
      <w:r w:rsidR="003543B3" w:rsidRPr="00B13326">
        <w:rPr>
          <w:rFonts w:cs="Times New Roman"/>
          <w:sz w:val="24"/>
          <w:szCs w:val="24"/>
          <w:lang w:val="en-US"/>
        </w:rPr>
        <w:t xml:space="preserve"> 110</w:t>
      </w:r>
      <w:r w:rsidR="0039166B" w:rsidRPr="00B13326">
        <w:rPr>
          <w:rFonts w:cs="Times New Roman"/>
          <w:sz w:val="24"/>
          <w:szCs w:val="24"/>
          <w:lang w:val="en-US"/>
        </w:rPr>
        <w:t xml:space="preserve"> had</w:t>
      </w:r>
      <w:r w:rsidR="003543B3" w:rsidRPr="00B13326">
        <w:rPr>
          <w:rFonts w:cs="Times New Roman"/>
          <w:sz w:val="24"/>
          <w:szCs w:val="24"/>
          <w:lang w:val="en-US"/>
        </w:rPr>
        <w:t xml:space="preserve"> </w:t>
      </w:r>
      <w:r w:rsidR="008C13C2" w:rsidRPr="00B13326">
        <w:rPr>
          <w:rFonts w:cs="Times New Roman"/>
          <w:sz w:val="24"/>
          <w:szCs w:val="24"/>
          <w:lang w:val="en-US"/>
        </w:rPr>
        <w:t xml:space="preserve">a </w:t>
      </w:r>
      <w:r w:rsidR="007C4F98" w:rsidRPr="00B13326">
        <w:rPr>
          <w:rFonts w:cs="Times New Roman"/>
          <w:sz w:val="24"/>
          <w:szCs w:val="24"/>
          <w:lang w:val="en-US"/>
        </w:rPr>
        <w:t>1</w:t>
      </w:r>
      <w:r w:rsidR="008C13C2" w:rsidRPr="00B13326">
        <w:rPr>
          <w:rFonts w:cs="Times New Roman"/>
          <w:sz w:val="24"/>
          <w:szCs w:val="24"/>
          <w:lang w:val="en-US"/>
        </w:rPr>
        <w:t xml:space="preserve"> allele mis</w:t>
      </w:r>
      <w:r w:rsidR="003543B3" w:rsidRPr="00B13326">
        <w:rPr>
          <w:rFonts w:cs="Times New Roman"/>
          <w:sz w:val="24"/>
          <w:szCs w:val="24"/>
          <w:lang w:val="en-US"/>
        </w:rPr>
        <w:t>match</w:t>
      </w:r>
      <w:r w:rsidR="007C4F98" w:rsidRPr="00B13326">
        <w:rPr>
          <w:rFonts w:cs="Times New Roman"/>
          <w:sz w:val="24"/>
          <w:szCs w:val="24"/>
          <w:lang w:val="en-US"/>
        </w:rPr>
        <w:t>ed</w:t>
      </w:r>
      <w:r w:rsidR="008B725B" w:rsidRPr="00B13326">
        <w:rPr>
          <w:rFonts w:cs="Times New Roman"/>
          <w:sz w:val="24"/>
          <w:szCs w:val="24"/>
          <w:lang w:val="en-US"/>
        </w:rPr>
        <w:t xml:space="preserve"> </w:t>
      </w:r>
      <w:r w:rsidR="007C4F98" w:rsidRPr="00B13326">
        <w:rPr>
          <w:rFonts w:cs="Times New Roman"/>
          <w:sz w:val="24"/>
          <w:szCs w:val="24"/>
          <w:lang w:val="en-US"/>
        </w:rPr>
        <w:t>donor</w:t>
      </w:r>
      <w:r w:rsidR="003543B3" w:rsidRPr="00B13326">
        <w:rPr>
          <w:rFonts w:cs="Times New Roman"/>
          <w:sz w:val="24"/>
          <w:szCs w:val="24"/>
          <w:lang w:val="en-US"/>
        </w:rPr>
        <w:t xml:space="preserve"> </w:t>
      </w:r>
      <w:r w:rsidR="007C4F98" w:rsidRPr="00B13326">
        <w:rPr>
          <w:rFonts w:cs="Times New Roman"/>
          <w:sz w:val="24"/>
          <w:szCs w:val="24"/>
          <w:lang w:val="en-US"/>
        </w:rPr>
        <w:t xml:space="preserve">and </w:t>
      </w:r>
      <w:r w:rsidR="003543B3" w:rsidRPr="00B13326">
        <w:rPr>
          <w:rFonts w:cs="Times New Roman"/>
          <w:sz w:val="24"/>
          <w:szCs w:val="24"/>
          <w:lang w:val="en-US"/>
        </w:rPr>
        <w:t xml:space="preserve">22 </w:t>
      </w:r>
      <w:r w:rsidR="007C4F98" w:rsidRPr="00B13326">
        <w:rPr>
          <w:rFonts w:cs="Times New Roman"/>
          <w:sz w:val="24"/>
          <w:szCs w:val="24"/>
          <w:lang w:val="en-US"/>
        </w:rPr>
        <w:t xml:space="preserve">a donor with </w:t>
      </w:r>
      <w:r w:rsidR="00A6688B">
        <w:rPr>
          <w:rFonts w:cs="Times New Roman"/>
          <w:sz w:val="24"/>
          <w:szCs w:val="24"/>
          <w:lang w:val="en-US"/>
        </w:rPr>
        <w:t>&gt;</w:t>
      </w:r>
      <w:r w:rsidR="007C4F98" w:rsidRPr="00B13326">
        <w:rPr>
          <w:rFonts w:cs="Times New Roman"/>
          <w:sz w:val="24"/>
          <w:szCs w:val="24"/>
          <w:lang w:val="en-US"/>
        </w:rPr>
        <w:t xml:space="preserve"> 1 mismatch.</w:t>
      </w:r>
      <w:r w:rsidR="008B725B" w:rsidRPr="00B13326">
        <w:rPr>
          <w:rFonts w:cs="Times New Roman"/>
          <w:sz w:val="24"/>
          <w:szCs w:val="24"/>
          <w:lang w:val="en-US"/>
        </w:rPr>
        <w:t xml:space="preserve"> </w:t>
      </w:r>
      <w:r w:rsidR="007C4F98" w:rsidRPr="00B13326">
        <w:rPr>
          <w:rFonts w:cs="Times New Roman"/>
          <w:sz w:val="24"/>
          <w:szCs w:val="24"/>
          <w:lang w:val="en-US"/>
        </w:rPr>
        <w:t>T</w:t>
      </w:r>
      <w:r w:rsidR="008B725B" w:rsidRPr="00B13326">
        <w:rPr>
          <w:rFonts w:cs="Times New Roman"/>
          <w:sz w:val="24"/>
          <w:szCs w:val="24"/>
          <w:lang w:val="en-US"/>
        </w:rPr>
        <w:t>he</w:t>
      </w:r>
      <w:r w:rsidR="003543B3" w:rsidRPr="00B13326">
        <w:rPr>
          <w:rFonts w:cs="Times New Roman"/>
          <w:sz w:val="24"/>
          <w:szCs w:val="24"/>
          <w:lang w:val="en-US"/>
        </w:rPr>
        <w:t xml:space="preserve"> 3-year OS </w:t>
      </w:r>
      <w:r w:rsidR="00D279EA" w:rsidRPr="00B13326">
        <w:rPr>
          <w:rFonts w:cs="Times New Roman"/>
          <w:sz w:val="24"/>
          <w:szCs w:val="24"/>
          <w:lang w:val="en-US"/>
        </w:rPr>
        <w:t>for</w:t>
      </w:r>
      <w:r w:rsidR="007C4F98" w:rsidRPr="00B13326">
        <w:rPr>
          <w:rFonts w:cs="Times New Roman"/>
          <w:sz w:val="24"/>
          <w:szCs w:val="24"/>
          <w:lang w:val="en-US"/>
        </w:rPr>
        <w:t xml:space="preserve"> the</w:t>
      </w:r>
      <w:r w:rsidR="003543B3" w:rsidRPr="00B13326">
        <w:rPr>
          <w:rFonts w:cs="Times New Roman"/>
          <w:sz w:val="24"/>
          <w:szCs w:val="24"/>
          <w:lang w:val="en-US"/>
        </w:rPr>
        <w:t xml:space="preserve"> </w:t>
      </w:r>
      <w:r w:rsidR="008B725B" w:rsidRPr="00B13326">
        <w:rPr>
          <w:rFonts w:cs="Times New Roman"/>
          <w:sz w:val="24"/>
          <w:szCs w:val="24"/>
          <w:lang w:val="en-US"/>
        </w:rPr>
        <w:t>latter</w:t>
      </w:r>
      <w:r w:rsidR="003543B3" w:rsidRPr="00B13326">
        <w:rPr>
          <w:rFonts w:cs="Times New Roman"/>
          <w:sz w:val="24"/>
          <w:szCs w:val="24"/>
          <w:lang w:val="en-US"/>
        </w:rPr>
        <w:t xml:space="preserve"> patients was significantly </w:t>
      </w:r>
      <w:r w:rsidR="007E5FBD" w:rsidRPr="00B13326">
        <w:rPr>
          <w:rFonts w:cs="Times New Roman"/>
          <w:sz w:val="24"/>
          <w:szCs w:val="24"/>
          <w:lang w:val="en-US"/>
        </w:rPr>
        <w:t>worse</w:t>
      </w:r>
      <w:r w:rsidR="003543B3" w:rsidRPr="00B13326">
        <w:rPr>
          <w:rFonts w:cs="Times New Roman"/>
          <w:sz w:val="24"/>
          <w:szCs w:val="24"/>
          <w:lang w:val="en-US"/>
        </w:rPr>
        <w:t xml:space="preserve"> </w:t>
      </w:r>
      <w:r w:rsidR="007E5FBD" w:rsidRPr="00B13326">
        <w:rPr>
          <w:rFonts w:cs="Times New Roman"/>
          <w:sz w:val="24"/>
          <w:szCs w:val="24"/>
          <w:lang w:val="en-US"/>
        </w:rPr>
        <w:t>than</w:t>
      </w:r>
      <w:r w:rsidR="003F1840" w:rsidRPr="00B13326">
        <w:rPr>
          <w:rFonts w:cs="Times New Roman"/>
          <w:sz w:val="24"/>
          <w:szCs w:val="24"/>
          <w:lang w:val="en-US"/>
        </w:rPr>
        <w:t xml:space="preserve"> for</w:t>
      </w:r>
      <w:r w:rsidR="003543B3" w:rsidRPr="00B13326">
        <w:rPr>
          <w:rFonts w:cs="Times New Roman"/>
          <w:sz w:val="24"/>
          <w:szCs w:val="24"/>
          <w:lang w:val="en-US"/>
        </w:rPr>
        <w:t xml:space="preserve"> the other 2 groups (</w:t>
      </w:r>
      <w:r w:rsidR="00882FC9" w:rsidRPr="00B13326">
        <w:rPr>
          <w:rFonts w:cs="Times New Roman"/>
          <w:sz w:val="24"/>
          <w:szCs w:val="24"/>
          <w:lang w:val="en-US"/>
        </w:rPr>
        <w:t xml:space="preserve">36% versus 57% and 65% respectively, </w:t>
      </w:r>
      <w:r w:rsidR="005A60AB">
        <w:rPr>
          <w:rFonts w:cs="Times New Roman"/>
          <w:sz w:val="24"/>
          <w:szCs w:val="24"/>
          <w:lang w:val="en-US"/>
        </w:rPr>
        <w:t>p</w:t>
      </w:r>
      <w:r w:rsidR="00882FC9" w:rsidRPr="00B13326">
        <w:rPr>
          <w:rFonts w:cs="Times New Roman"/>
          <w:sz w:val="24"/>
          <w:szCs w:val="24"/>
          <w:lang w:val="en-US"/>
        </w:rPr>
        <w:t>=0.03</w:t>
      </w:r>
      <w:r w:rsidR="00C83A08" w:rsidRPr="00B13326">
        <w:rPr>
          <w:rFonts w:cs="Times New Roman"/>
          <w:sz w:val="24"/>
          <w:szCs w:val="24"/>
          <w:lang w:val="en-US"/>
        </w:rPr>
        <w:t>6</w:t>
      </w:r>
      <w:r w:rsidR="00882FC9" w:rsidRPr="00B13326">
        <w:rPr>
          <w:rFonts w:cs="Times New Roman"/>
          <w:sz w:val="24"/>
          <w:szCs w:val="24"/>
          <w:lang w:val="en-US"/>
        </w:rPr>
        <w:t>)</w:t>
      </w:r>
      <w:r w:rsidRPr="00B13326">
        <w:rPr>
          <w:rFonts w:cs="Times New Roman"/>
          <w:sz w:val="24"/>
          <w:szCs w:val="24"/>
          <w:lang w:val="en-US"/>
        </w:rPr>
        <w:t xml:space="preserve"> (</w:t>
      </w:r>
      <w:r w:rsidR="0073626B" w:rsidRPr="00B13326">
        <w:rPr>
          <w:rFonts w:cs="Times New Roman"/>
          <w:sz w:val="24"/>
          <w:szCs w:val="24"/>
          <w:lang w:val="en-US"/>
        </w:rPr>
        <w:t xml:space="preserve">Figure </w:t>
      </w:r>
      <w:r w:rsidR="00644782">
        <w:rPr>
          <w:rFonts w:cs="Times New Roman"/>
          <w:sz w:val="24"/>
          <w:szCs w:val="24"/>
          <w:lang w:val="en-US"/>
        </w:rPr>
        <w:t>1</w:t>
      </w:r>
      <w:r w:rsidR="00C83A08" w:rsidRPr="00B13326">
        <w:rPr>
          <w:rFonts w:cs="Times New Roman"/>
          <w:sz w:val="24"/>
          <w:szCs w:val="24"/>
          <w:lang w:val="en-US"/>
        </w:rPr>
        <w:t>B</w:t>
      </w:r>
      <w:r w:rsidRPr="00B13326">
        <w:rPr>
          <w:rFonts w:cs="Times New Roman"/>
          <w:sz w:val="24"/>
          <w:szCs w:val="24"/>
          <w:lang w:val="en-US"/>
        </w:rPr>
        <w:t>).</w:t>
      </w:r>
    </w:p>
    <w:p w14:paraId="22884776" w14:textId="3F738220" w:rsidR="00F22633" w:rsidRDefault="00484021" w:rsidP="00A14B97">
      <w:pPr>
        <w:spacing w:before="80" w:after="80" w:line="480" w:lineRule="auto"/>
        <w:jc w:val="both"/>
        <w:rPr>
          <w:rFonts w:cs="Times New Roman"/>
          <w:sz w:val="24"/>
          <w:szCs w:val="24"/>
          <w:lang w:val="en-US"/>
        </w:rPr>
      </w:pPr>
      <w:r w:rsidRPr="00B13326">
        <w:rPr>
          <w:rFonts w:cs="Times New Roman"/>
          <w:sz w:val="24"/>
          <w:szCs w:val="24"/>
          <w:lang w:val="en-US"/>
        </w:rPr>
        <w:t xml:space="preserve">The </w:t>
      </w:r>
      <w:r w:rsidR="00ED270D" w:rsidRPr="00B13326">
        <w:rPr>
          <w:rFonts w:cs="Times New Roman"/>
          <w:sz w:val="24"/>
          <w:szCs w:val="24"/>
          <w:lang w:val="en-US"/>
        </w:rPr>
        <w:t>3</w:t>
      </w:r>
      <w:r w:rsidRPr="00B13326">
        <w:rPr>
          <w:rFonts w:cs="Times New Roman"/>
          <w:sz w:val="24"/>
          <w:szCs w:val="24"/>
          <w:lang w:val="en-US"/>
        </w:rPr>
        <w:t xml:space="preserve">-year OS </w:t>
      </w:r>
      <w:r w:rsidR="00D13E88" w:rsidRPr="00B13326">
        <w:rPr>
          <w:rFonts w:cs="Times New Roman"/>
          <w:sz w:val="24"/>
          <w:szCs w:val="24"/>
          <w:lang w:val="en-US"/>
        </w:rPr>
        <w:t>in the decade 1897-1997 was 5</w:t>
      </w:r>
      <w:r w:rsidR="00ED270D" w:rsidRPr="00B13326">
        <w:rPr>
          <w:rFonts w:cs="Times New Roman"/>
          <w:sz w:val="24"/>
          <w:szCs w:val="24"/>
          <w:lang w:val="en-US"/>
        </w:rPr>
        <w:t>8</w:t>
      </w:r>
      <w:r w:rsidR="00D13E88" w:rsidRPr="00B13326">
        <w:rPr>
          <w:rFonts w:cs="Times New Roman"/>
          <w:sz w:val="24"/>
          <w:szCs w:val="24"/>
          <w:lang w:val="en-US"/>
        </w:rPr>
        <w:t>%, 5</w:t>
      </w:r>
      <w:r w:rsidR="00ED270D" w:rsidRPr="00B13326">
        <w:rPr>
          <w:rFonts w:cs="Times New Roman"/>
          <w:sz w:val="24"/>
          <w:szCs w:val="24"/>
          <w:lang w:val="en-US"/>
        </w:rPr>
        <w:t>5</w:t>
      </w:r>
      <w:r w:rsidR="00D13E88" w:rsidRPr="00B13326">
        <w:rPr>
          <w:rFonts w:cs="Times New Roman"/>
          <w:sz w:val="24"/>
          <w:szCs w:val="24"/>
          <w:lang w:val="en-US"/>
        </w:rPr>
        <w:t xml:space="preserve">% in the second decade </w:t>
      </w:r>
      <w:r w:rsidR="00DE73E1" w:rsidRPr="00B13326">
        <w:rPr>
          <w:rFonts w:cs="Times New Roman"/>
          <w:sz w:val="24"/>
          <w:szCs w:val="24"/>
          <w:lang w:val="en-US"/>
        </w:rPr>
        <w:t xml:space="preserve">and rose to </w:t>
      </w:r>
      <w:r w:rsidR="00ED270D" w:rsidRPr="00B13326">
        <w:rPr>
          <w:rFonts w:cs="Times New Roman"/>
          <w:sz w:val="24"/>
          <w:szCs w:val="24"/>
          <w:lang w:val="en-US"/>
        </w:rPr>
        <w:t>64</w:t>
      </w:r>
      <w:r w:rsidR="00DE73E1" w:rsidRPr="00B13326">
        <w:rPr>
          <w:rFonts w:cs="Times New Roman"/>
          <w:sz w:val="24"/>
          <w:szCs w:val="24"/>
          <w:lang w:val="en-US"/>
        </w:rPr>
        <w:t xml:space="preserve">% in the </w:t>
      </w:r>
      <w:r w:rsidR="00A14EC2">
        <w:rPr>
          <w:rFonts w:cs="Times New Roman"/>
          <w:sz w:val="24"/>
          <w:szCs w:val="24"/>
          <w:lang w:val="en-US"/>
        </w:rPr>
        <w:t>last decade</w:t>
      </w:r>
      <w:r w:rsidR="00DE73E1" w:rsidRPr="00B13326">
        <w:rPr>
          <w:rFonts w:cs="Times New Roman"/>
          <w:sz w:val="24"/>
          <w:szCs w:val="24"/>
          <w:lang w:val="en-US"/>
        </w:rPr>
        <w:t xml:space="preserve"> </w:t>
      </w:r>
      <w:r w:rsidR="00ED270D" w:rsidRPr="00B13326">
        <w:rPr>
          <w:rFonts w:cs="Times New Roman"/>
          <w:sz w:val="24"/>
          <w:szCs w:val="24"/>
          <w:lang w:val="en-US"/>
        </w:rPr>
        <w:t xml:space="preserve">with no </w:t>
      </w:r>
      <w:r w:rsidR="00ED270D" w:rsidRPr="00B13326">
        <w:rPr>
          <w:rFonts w:cs="Times New Roman"/>
          <w:sz w:val="24"/>
          <w:szCs w:val="24"/>
          <w:lang w:val="en-US"/>
        </w:rPr>
        <w:lastRenderedPageBreak/>
        <w:t>significant differences amon</w:t>
      </w:r>
      <w:r w:rsidR="0033393D" w:rsidRPr="00B13326">
        <w:rPr>
          <w:rFonts w:cs="Times New Roman"/>
          <w:sz w:val="24"/>
          <w:szCs w:val="24"/>
          <w:lang w:val="en-US"/>
        </w:rPr>
        <w:t>g</w:t>
      </w:r>
      <w:r w:rsidR="00ED270D" w:rsidRPr="00B13326">
        <w:rPr>
          <w:rFonts w:cs="Times New Roman"/>
          <w:sz w:val="24"/>
          <w:szCs w:val="24"/>
          <w:lang w:val="en-US"/>
        </w:rPr>
        <w:t xml:space="preserve"> the 3 time periods </w:t>
      </w:r>
      <w:r w:rsidR="00DE73E1" w:rsidRPr="00B13326">
        <w:rPr>
          <w:rFonts w:cs="Times New Roman"/>
          <w:sz w:val="24"/>
          <w:szCs w:val="24"/>
          <w:lang w:val="en-US"/>
        </w:rPr>
        <w:t>(</w:t>
      </w:r>
      <w:r w:rsidR="00644782">
        <w:rPr>
          <w:rFonts w:cs="Times New Roman"/>
          <w:sz w:val="24"/>
          <w:szCs w:val="24"/>
          <w:lang w:val="en-US"/>
        </w:rPr>
        <w:t>Figure 1</w:t>
      </w:r>
      <w:r w:rsidR="00C83A08" w:rsidRPr="00B13326">
        <w:rPr>
          <w:rFonts w:cs="Times New Roman"/>
          <w:sz w:val="24"/>
          <w:szCs w:val="24"/>
          <w:lang w:val="en-US"/>
        </w:rPr>
        <w:t>C</w:t>
      </w:r>
      <w:r w:rsidR="00DE73E1" w:rsidRPr="00B13326">
        <w:rPr>
          <w:rFonts w:cs="Times New Roman"/>
          <w:sz w:val="24"/>
          <w:szCs w:val="24"/>
          <w:lang w:val="en-US"/>
        </w:rPr>
        <w:t>).</w:t>
      </w:r>
      <w:r w:rsidR="00AD58E3" w:rsidRPr="00B13326">
        <w:rPr>
          <w:rFonts w:cs="Times New Roman"/>
          <w:sz w:val="24"/>
          <w:szCs w:val="24"/>
          <w:lang w:val="en-US"/>
        </w:rPr>
        <w:t xml:space="preserve"> </w:t>
      </w:r>
      <w:r w:rsidR="00542CF6" w:rsidRPr="00B13326">
        <w:rPr>
          <w:rFonts w:cs="Times New Roman"/>
          <w:sz w:val="24"/>
          <w:szCs w:val="24"/>
          <w:lang w:val="en-US"/>
        </w:rPr>
        <w:t xml:space="preserve">The PFS at 3 years in the first period was 51%, 49% in the second period </w:t>
      </w:r>
      <w:r w:rsidR="003F1840" w:rsidRPr="00B13326">
        <w:rPr>
          <w:rFonts w:cs="Times New Roman"/>
          <w:sz w:val="24"/>
          <w:szCs w:val="24"/>
          <w:lang w:val="en-US"/>
        </w:rPr>
        <w:t>with</w:t>
      </w:r>
      <w:r w:rsidR="00542CF6" w:rsidRPr="00B13326">
        <w:rPr>
          <w:rFonts w:cs="Times New Roman"/>
          <w:sz w:val="24"/>
          <w:szCs w:val="24"/>
          <w:lang w:val="en-US"/>
        </w:rPr>
        <w:t xml:space="preserve"> a trend to</w:t>
      </w:r>
      <w:r w:rsidR="008B725B" w:rsidRPr="00B13326">
        <w:rPr>
          <w:rFonts w:cs="Times New Roman"/>
          <w:sz w:val="24"/>
          <w:szCs w:val="24"/>
          <w:lang w:val="en-US"/>
        </w:rPr>
        <w:t>wards</w:t>
      </w:r>
      <w:r w:rsidR="00542CF6" w:rsidRPr="00B13326">
        <w:rPr>
          <w:rFonts w:cs="Times New Roman"/>
          <w:sz w:val="24"/>
          <w:szCs w:val="24"/>
          <w:lang w:val="en-US"/>
        </w:rPr>
        <w:t xml:space="preserve"> b</w:t>
      </w:r>
      <w:r w:rsidR="00C45302" w:rsidRPr="00B13326">
        <w:rPr>
          <w:rFonts w:cs="Times New Roman"/>
          <w:sz w:val="24"/>
          <w:szCs w:val="24"/>
          <w:lang w:val="en-US"/>
        </w:rPr>
        <w:t>etter results</w:t>
      </w:r>
      <w:r w:rsidR="00542CF6" w:rsidRPr="00B13326">
        <w:rPr>
          <w:rFonts w:cs="Times New Roman"/>
          <w:sz w:val="24"/>
          <w:szCs w:val="24"/>
          <w:lang w:val="en-US"/>
        </w:rPr>
        <w:t xml:space="preserve"> in the third period</w:t>
      </w:r>
      <w:r w:rsidR="00C45302" w:rsidRPr="00B13326">
        <w:rPr>
          <w:rFonts w:cs="Times New Roman"/>
          <w:sz w:val="24"/>
          <w:szCs w:val="24"/>
          <w:lang w:val="en-US"/>
        </w:rPr>
        <w:t xml:space="preserve"> (56%)</w:t>
      </w:r>
      <w:r w:rsidR="00542CF6" w:rsidRPr="00B13326">
        <w:rPr>
          <w:rFonts w:cs="Times New Roman"/>
          <w:sz w:val="24"/>
          <w:szCs w:val="24"/>
          <w:lang w:val="en-US"/>
        </w:rPr>
        <w:t xml:space="preserve"> </w:t>
      </w:r>
      <w:r w:rsidR="0073626B" w:rsidRPr="00B13326">
        <w:rPr>
          <w:rFonts w:cs="Times New Roman"/>
          <w:sz w:val="24"/>
          <w:szCs w:val="24"/>
          <w:lang w:val="en-US"/>
        </w:rPr>
        <w:t>(</w:t>
      </w:r>
      <w:r w:rsidR="00C83A08" w:rsidRPr="00B13326">
        <w:rPr>
          <w:rFonts w:cs="Times New Roman"/>
          <w:sz w:val="24"/>
          <w:szCs w:val="24"/>
          <w:lang w:val="en-US"/>
        </w:rPr>
        <w:t>p</w:t>
      </w:r>
      <w:r w:rsidR="0073626B" w:rsidRPr="00B13326">
        <w:rPr>
          <w:rFonts w:cs="Times New Roman"/>
          <w:sz w:val="24"/>
          <w:szCs w:val="24"/>
          <w:lang w:val="en-US"/>
        </w:rPr>
        <w:t>=0.12</w:t>
      </w:r>
      <w:r w:rsidR="00C83A08" w:rsidRPr="00B13326">
        <w:rPr>
          <w:rFonts w:cs="Times New Roman"/>
          <w:sz w:val="24"/>
          <w:szCs w:val="24"/>
          <w:lang w:val="en-US"/>
        </w:rPr>
        <w:t>4</w:t>
      </w:r>
      <w:r w:rsidR="0073626B" w:rsidRPr="00B13326">
        <w:rPr>
          <w:rFonts w:cs="Times New Roman"/>
          <w:sz w:val="24"/>
          <w:szCs w:val="24"/>
          <w:lang w:val="en-US"/>
        </w:rPr>
        <w:t>)</w:t>
      </w:r>
      <w:r w:rsidR="00C45302" w:rsidRPr="00B13326">
        <w:rPr>
          <w:rFonts w:cs="Times New Roman"/>
          <w:sz w:val="24"/>
          <w:szCs w:val="24"/>
          <w:lang w:val="en-US"/>
        </w:rPr>
        <w:t>.</w:t>
      </w:r>
    </w:p>
    <w:p w14:paraId="451ABCD0" w14:textId="157920F4" w:rsidR="005B58B3" w:rsidRPr="00644782" w:rsidRDefault="005B58B3" w:rsidP="00A14B97">
      <w:pPr>
        <w:spacing w:before="80" w:after="80" w:line="480" w:lineRule="auto"/>
        <w:jc w:val="both"/>
        <w:rPr>
          <w:rFonts w:cs="Times New Roman"/>
          <w:sz w:val="24"/>
          <w:szCs w:val="24"/>
          <w:lang w:val="en-US"/>
        </w:rPr>
      </w:pPr>
      <w:r w:rsidRPr="00644782">
        <w:rPr>
          <w:rFonts w:cs="Times New Roman"/>
          <w:sz w:val="24"/>
          <w:szCs w:val="24"/>
          <w:lang w:val="en-US"/>
        </w:rPr>
        <w:t>CML patie</w:t>
      </w:r>
      <w:r w:rsidR="00315927" w:rsidRPr="00644782">
        <w:rPr>
          <w:rFonts w:cs="Times New Roman"/>
          <w:sz w:val="24"/>
          <w:szCs w:val="24"/>
          <w:lang w:val="en-US"/>
        </w:rPr>
        <w:t>nts transplanted in the last d</w:t>
      </w:r>
      <w:r w:rsidRPr="00644782">
        <w:rPr>
          <w:rFonts w:cs="Times New Roman"/>
          <w:sz w:val="24"/>
          <w:szCs w:val="24"/>
          <w:lang w:val="en-US"/>
        </w:rPr>
        <w:t>ecade</w:t>
      </w:r>
      <w:r w:rsidR="00B165C2">
        <w:rPr>
          <w:rFonts w:cs="Times New Roman"/>
          <w:sz w:val="24"/>
          <w:szCs w:val="24"/>
          <w:lang w:val="en-US"/>
        </w:rPr>
        <w:t xml:space="preserve"> do not seem to have a worse survival when compared to those treated in previous decades</w:t>
      </w:r>
      <w:r w:rsidR="00644782" w:rsidRPr="00644782">
        <w:rPr>
          <w:rFonts w:cs="Times New Roman"/>
          <w:sz w:val="24"/>
          <w:szCs w:val="24"/>
          <w:lang w:val="en-US"/>
        </w:rPr>
        <w:t xml:space="preserve"> (Figure 1D)</w:t>
      </w:r>
      <w:r w:rsidR="00315927" w:rsidRPr="00644782">
        <w:rPr>
          <w:rFonts w:cs="Times New Roman"/>
          <w:sz w:val="24"/>
          <w:szCs w:val="24"/>
          <w:lang w:val="en-US"/>
        </w:rPr>
        <w:t>.</w:t>
      </w:r>
    </w:p>
    <w:p w14:paraId="612A4C96" w14:textId="6C1C4D70" w:rsidR="0046111A" w:rsidRPr="00B13326" w:rsidRDefault="0046111A" w:rsidP="00A14B97">
      <w:pPr>
        <w:spacing w:before="80" w:after="80" w:line="480" w:lineRule="auto"/>
        <w:jc w:val="both"/>
        <w:rPr>
          <w:rFonts w:cs="Times New Roman"/>
          <w:sz w:val="24"/>
          <w:szCs w:val="24"/>
          <w:lang w:val="en-US"/>
        </w:rPr>
      </w:pPr>
      <w:r w:rsidRPr="00B13326">
        <w:rPr>
          <w:rFonts w:cs="Times New Roman"/>
          <w:sz w:val="24"/>
          <w:szCs w:val="24"/>
          <w:lang w:val="en-US"/>
        </w:rPr>
        <w:t>The day 100 NRM was</w:t>
      </w:r>
      <w:r w:rsidR="005A60AB">
        <w:rPr>
          <w:rFonts w:cs="Times New Roman"/>
          <w:sz w:val="24"/>
          <w:szCs w:val="24"/>
          <w:lang w:val="en-US"/>
        </w:rPr>
        <w:t xml:space="preserve"> </w:t>
      </w:r>
      <w:r w:rsidRPr="00B13326">
        <w:rPr>
          <w:rFonts w:cs="Times New Roman"/>
          <w:sz w:val="24"/>
          <w:szCs w:val="24"/>
          <w:lang w:val="en-US"/>
        </w:rPr>
        <w:t>12%</w:t>
      </w:r>
      <w:r w:rsidR="005A60AB">
        <w:rPr>
          <w:rFonts w:cs="Times New Roman"/>
          <w:sz w:val="24"/>
          <w:szCs w:val="24"/>
          <w:lang w:val="en-US"/>
        </w:rPr>
        <w:t xml:space="preserve"> on each of</w:t>
      </w:r>
      <w:r w:rsidR="000200FC">
        <w:rPr>
          <w:rFonts w:cs="Times New Roman"/>
          <w:sz w:val="24"/>
          <w:szCs w:val="24"/>
          <w:lang w:val="en-US"/>
        </w:rPr>
        <w:t xml:space="preserve"> the first 2 decades </w:t>
      </w:r>
      <w:r w:rsidR="000200FC" w:rsidRPr="00BC6FB0">
        <w:rPr>
          <w:rFonts w:cs="Times New Roman"/>
          <w:sz w:val="24"/>
          <w:szCs w:val="24"/>
          <w:lang w:val="en-US"/>
        </w:rPr>
        <w:t>with a non-significant decrease</w:t>
      </w:r>
      <w:r w:rsidRPr="000200FC">
        <w:rPr>
          <w:rFonts w:cs="Times New Roman"/>
          <w:color w:val="0070C0"/>
          <w:sz w:val="24"/>
          <w:szCs w:val="24"/>
          <w:lang w:val="en-US"/>
        </w:rPr>
        <w:t xml:space="preserve"> </w:t>
      </w:r>
      <w:r w:rsidRPr="00B13326">
        <w:rPr>
          <w:rFonts w:cs="Times New Roman"/>
          <w:sz w:val="24"/>
          <w:szCs w:val="24"/>
          <w:lang w:val="en-US"/>
        </w:rPr>
        <w:t>to 9% in the last decade of the study.</w:t>
      </w:r>
    </w:p>
    <w:p w14:paraId="2EC904B7" w14:textId="4C4F97CB" w:rsidR="00C45302" w:rsidRPr="00BC6FB0" w:rsidRDefault="00C45302" w:rsidP="00A14B97">
      <w:pPr>
        <w:spacing w:before="80" w:after="80" w:line="480" w:lineRule="auto"/>
        <w:jc w:val="both"/>
        <w:rPr>
          <w:rFonts w:cs="Times New Roman"/>
          <w:sz w:val="24"/>
          <w:szCs w:val="24"/>
          <w:lang w:val="en-US"/>
        </w:rPr>
      </w:pPr>
      <w:r w:rsidRPr="00BC6FB0">
        <w:rPr>
          <w:rFonts w:cs="Times New Roman"/>
          <w:sz w:val="24"/>
          <w:szCs w:val="24"/>
          <w:lang w:val="en-US"/>
        </w:rPr>
        <w:t>When comparing</w:t>
      </w:r>
      <w:r w:rsidR="00644782" w:rsidRPr="00BC6FB0">
        <w:rPr>
          <w:rFonts w:cs="Times New Roman"/>
          <w:sz w:val="24"/>
          <w:szCs w:val="24"/>
          <w:lang w:val="en-US"/>
        </w:rPr>
        <w:t xml:space="preserve"> the 3-</w:t>
      </w:r>
      <w:r w:rsidR="00587CD3" w:rsidRPr="00BC6FB0">
        <w:rPr>
          <w:rFonts w:cs="Times New Roman"/>
          <w:sz w:val="24"/>
          <w:szCs w:val="24"/>
          <w:lang w:val="en-US"/>
        </w:rPr>
        <w:t>year cumulative incidence of</w:t>
      </w:r>
      <w:r w:rsidRPr="00BC6FB0">
        <w:rPr>
          <w:rFonts w:cs="Times New Roman"/>
          <w:sz w:val="24"/>
          <w:szCs w:val="24"/>
          <w:lang w:val="en-US"/>
        </w:rPr>
        <w:t xml:space="preserve"> NRM</w:t>
      </w:r>
      <w:r w:rsidR="00587CD3" w:rsidRPr="00BC6FB0">
        <w:rPr>
          <w:rFonts w:cs="Times New Roman"/>
          <w:sz w:val="24"/>
          <w:szCs w:val="24"/>
          <w:lang w:val="en-US"/>
        </w:rPr>
        <w:t xml:space="preserve"> </w:t>
      </w:r>
      <w:r w:rsidRPr="00BC6FB0">
        <w:rPr>
          <w:rFonts w:cs="Times New Roman"/>
          <w:sz w:val="24"/>
          <w:szCs w:val="24"/>
          <w:lang w:val="en-US"/>
        </w:rPr>
        <w:t>among the 3 decades</w:t>
      </w:r>
      <w:r w:rsidR="00587CD3" w:rsidRPr="00BC6FB0">
        <w:rPr>
          <w:rFonts w:cs="Times New Roman"/>
          <w:sz w:val="24"/>
          <w:szCs w:val="24"/>
          <w:lang w:val="en-US"/>
        </w:rPr>
        <w:t xml:space="preserve"> there was a significa</w:t>
      </w:r>
      <w:r w:rsidR="007E5FBD" w:rsidRPr="00BC6FB0">
        <w:rPr>
          <w:rFonts w:cs="Times New Roman"/>
          <w:sz w:val="24"/>
          <w:szCs w:val="24"/>
          <w:lang w:val="en-US"/>
        </w:rPr>
        <w:t>nt</w:t>
      </w:r>
      <w:r w:rsidR="00587CD3" w:rsidRPr="00BC6FB0">
        <w:rPr>
          <w:rFonts w:cs="Times New Roman"/>
          <w:sz w:val="24"/>
          <w:szCs w:val="24"/>
          <w:lang w:val="en-US"/>
        </w:rPr>
        <w:t xml:space="preserve"> improvement in the results observed over the time period of the study, being respectively 28%, </w:t>
      </w:r>
      <w:r w:rsidR="007E5FBD" w:rsidRPr="00BC6FB0">
        <w:rPr>
          <w:rFonts w:cs="Times New Roman"/>
          <w:sz w:val="24"/>
          <w:szCs w:val="24"/>
          <w:lang w:val="en-US"/>
        </w:rPr>
        <w:t>24% and 19% over each of the 3 time periods (</w:t>
      </w:r>
      <w:r w:rsidR="007F6643" w:rsidRPr="00BC6FB0">
        <w:rPr>
          <w:rFonts w:cs="Times New Roman"/>
          <w:sz w:val="24"/>
          <w:szCs w:val="24"/>
          <w:lang w:val="en-US"/>
        </w:rPr>
        <w:t>p</w:t>
      </w:r>
      <w:r w:rsidR="007E5FBD" w:rsidRPr="00BC6FB0">
        <w:rPr>
          <w:rFonts w:cs="Times New Roman"/>
          <w:sz w:val="24"/>
          <w:szCs w:val="24"/>
          <w:lang w:val="en-US"/>
        </w:rPr>
        <w:t>=0.04</w:t>
      </w:r>
      <w:r w:rsidR="007F6643" w:rsidRPr="00BC6FB0">
        <w:rPr>
          <w:rFonts w:cs="Times New Roman"/>
          <w:sz w:val="24"/>
          <w:szCs w:val="24"/>
          <w:lang w:val="en-US"/>
        </w:rPr>
        <w:t>5</w:t>
      </w:r>
      <w:r w:rsidR="007E5FBD" w:rsidRPr="00BC6FB0">
        <w:rPr>
          <w:rFonts w:cs="Times New Roman"/>
          <w:sz w:val="24"/>
          <w:szCs w:val="24"/>
          <w:lang w:val="en-US"/>
        </w:rPr>
        <w:t xml:space="preserve">) </w:t>
      </w:r>
      <w:r w:rsidR="0073626B" w:rsidRPr="00BC6FB0">
        <w:rPr>
          <w:rFonts w:cs="Times New Roman"/>
          <w:sz w:val="24"/>
          <w:szCs w:val="24"/>
          <w:lang w:val="en-US"/>
        </w:rPr>
        <w:t>(F</w:t>
      </w:r>
      <w:r w:rsidR="007E5FBD" w:rsidRPr="00BC6FB0">
        <w:rPr>
          <w:rFonts w:cs="Times New Roman"/>
          <w:sz w:val="24"/>
          <w:szCs w:val="24"/>
          <w:lang w:val="en-US"/>
        </w:rPr>
        <w:t>ig</w:t>
      </w:r>
      <w:r w:rsidR="0073626B" w:rsidRPr="00BC6FB0">
        <w:rPr>
          <w:rFonts w:cs="Times New Roman"/>
          <w:sz w:val="24"/>
          <w:szCs w:val="24"/>
          <w:lang w:val="en-US"/>
        </w:rPr>
        <w:t xml:space="preserve">ure </w:t>
      </w:r>
      <w:r w:rsidR="005703E2" w:rsidRPr="00BC6FB0">
        <w:rPr>
          <w:rFonts w:cs="Times New Roman"/>
          <w:sz w:val="24"/>
          <w:szCs w:val="24"/>
          <w:lang w:val="en-US"/>
        </w:rPr>
        <w:t>1</w:t>
      </w:r>
      <w:r w:rsidR="007F6643" w:rsidRPr="00BC6FB0">
        <w:rPr>
          <w:rFonts w:cs="Times New Roman"/>
          <w:sz w:val="24"/>
          <w:szCs w:val="24"/>
          <w:lang w:val="en-US"/>
        </w:rPr>
        <w:t>E</w:t>
      </w:r>
      <w:r w:rsidR="007E5FBD" w:rsidRPr="00BC6FB0">
        <w:rPr>
          <w:rFonts w:cs="Times New Roman"/>
          <w:sz w:val="24"/>
          <w:szCs w:val="24"/>
          <w:lang w:val="en-US"/>
        </w:rPr>
        <w:t>).</w:t>
      </w:r>
      <w:r w:rsidRPr="00BC6FB0">
        <w:rPr>
          <w:rFonts w:cs="Times New Roman"/>
          <w:sz w:val="24"/>
          <w:szCs w:val="24"/>
          <w:lang w:val="en-US"/>
        </w:rPr>
        <w:t xml:space="preserve"> </w:t>
      </w:r>
    </w:p>
    <w:p w14:paraId="07C5037A" w14:textId="434E9F86" w:rsidR="0000437A" w:rsidRPr="00BC6FB0" w:rsidRDefault="0000437A" w:rsidP="0000437A">
      <w:pPr>
        <w:spacing w:before="80" w:after="80" w:line="480" w:lineRule="auto"/>
        <w:jc w:val="both"/>
        <w:rPr>
          <w:rFonts w:cs="Times New Roman"/>
          <w:sz w:val="24"/>
          <w:szCs w:val="24"/>
          <w:lang w:val="en-US"/>
        </w:rPr>
      </w:pPr>
      <w:r w:rsidRPr="00BC6FB0">
        <w:rPr>
          <w:rFonts w:cs="Times New Roman"/>
          <w:sz w:val="24"/>
          <w:szCs w:val="24"/>
          <w:lang w:val="en-US"/>
        </w:rPr>
        <w:t xml:space="preserve">The 3-year cumulative mortality associated with GVHD as a whole (acute and chronic) was 8.5% in the first decade, 11.2% in the second decade and 7.6% in the last period (p=0.320, Figure 1F). </w:t>
      </w:r>
    </w:p>
    <w:p w14:paraId="10803E02" w14:textId="77777777" w:rsidR="0000437A" w:rsidRPr="00BC6FB0" w:rsidRDefault="0000437A" w:rsidP="0000437A">
      <w:pPr>
        <w:spacing w:before="80" w:after="80" w:line="480" w:lineRule="auto"/>
        <w:jc w:val="both"/>
        <w:rPr>
          <w:rFonts w:cs="Times New Roman"/>
          <w:sz w:val="24"/>
          <w:szCs w:val="24"/>
          <w:lang w:val="en-US"/>
        </w:rPr>
      </w:pPr>
      <w:r w:rsidRPr="00BC6FB0">
        <w:rPr>
          <w:rFonts w:cs="Times New Roman"/>
          <w:sz w:val="24"/>
          <w:szCs w:val="24"/>
          <w:lang w:val="en-US"/>
        </w:rPr>
        <w:t xml:space="preserve">The cumulative incidence of relapse/progression at 3-years was 27%. It remained relatively stable throughout the 3 decades (Figure 2A). </w:t>
      </w:r>
    </w:p>
    <w:p w14:paraId="70C69B5F" w14:textId="74CC2051" w:rsidR="00A12A82" w:rsidRPr="00BC6FB0" w:rsidRDefault="007F6643" w:rsidP="00A14B97">
      <w:pPr>
        <w:spacing w:before="80" w:after="80" w:line="480" w:lineRule="auto"/>
        <w:jc w:val="both"/>
        <w:rPr>
          <w:rFonts w:cs="Times New Roman"/>
          <w:sz w:val="24"/>
          <w:szCs w:val="24"/>
          <w:lang w:val="en-US"/>
        </w:rPr>
      </w:pPr>
      <w:r w:rsidRPr="00BC6FB0">
        <w:rPr>
          <w:rFonts w:cs="Times New Roman"/>
          <w:sz w:val="24"/>
          <w:szCs w:val="24"/>
          <w:lang w:val="en-US"/>
        </w:rPr>
        <w:lastRenderedPageBreak/>
        <w:t xml:space="preserve">We could not demonstrate any significant difference between RIC and </w:t>
      </w:r>
      <w:r w:rsidR="005A60AB" w:rsidRPr="00BC6FB0">
        <w:rPr>
          <w:rFonts w:cs="Times New Roman"/>
          <w:sz w:val="24"/>
          <w:szCs w:val="24"/>
          <w:lang w:val="en-US"/>
        </w:rPr>
        <w:t>MAC</w:t>
      </w:r>
      <w:r w:rsidRPr="00BC6FB0">
        <w:rPr>
          <w:rFonts w:cs="Times New Roman"/>
          <w:sz w:val="24"/>
          <w:szCs w:val="24"/>
          <w:lang w:val="en-US"/>
        </w:rPr>
        <w:t xml:space="preserve"> conditioning regarding the </w:t>
      </w:r>
      <w:r w:rsidR="008B30CA" w:rsidRPr="00BC6FB0">
        <w:rPr>
          <w:rFonts w:cs="Times New Roman"/>
          <w:sz w:val="24"/>
          <w:szCs w:val="24"/>
          <w:lang w:val="en-US"/>
        </w:rPr>
        <w:t>cumulative incidence of relapse (</w:t>
      </w:r>
      <w:r w:rsidR="0073626B" w:rsidRPr="00BC6FB0">
        <w:rPr>
          <w:rFonts w:cs="Times New Roman"/>
          <w:sz w:val="24"/>
          <w:szCs w:val="24"/>
          <w:lang w:val="en-US"/>
        </w:rPr>
        <w:t xml:space="preserve">Figure </w:t>
      </w:r>
      <w:r w:rsidR="0000437A" w:rsidRPr="00BC6FB0">
        <w:rPr>
          <w:rFonts w:cs="Times New Roman"/>
          <w:sz w:val="24"/>
          <w:szCs w:val="24"/>
          <w:lang w:val="en-US"/>
        </w:rPr>
        <w:t>2B</w:t>
      </w:r>
      <w:r w:rsidR="008B30CA" w:rsidRPr="00BC6FB0">
        <w:rPr>
          <w:rFonts w:cs="Times New Roman"/>
          <w:sz w:val="24"/>
          <w:szCs w:val="24"/>
          <w:lang w:val="en-US"/>
        </w:rPr>
        <w:t>)</w:t>
      </w:r>
      <w:r w:rsidR="007027D2" w:rsidRPr="00BC6FB0">
        <w:rPr>
          <w:rFonts w:cs="Times New Roman"/>
          <w:sz w:val="24"/>
          <w:szCs w:val="24"/>
          <w:lang w:val="en-US"/>
        </w:rPr>
        <w:t>.</w:t>
      </w:r>
    </w:p>
    <w:p w14:paraId="5BFF6E06" w14:textId="7B9C1D37" w:rsidR="007307C2" w:rsidRPr="00B13326" w:rsidRDefault="007307C2" w:rsidP="00A14B97">
      <w:pPr>
        <w:spacing w:before="80" w:after="80" w:line="480" w:lineRule="auto"/>
        <w:jc w:val="both"/>
        <w:rPr>
          <w:rFonts w:cs="Times New Roman"/>
          <w:sz w:val="24"/>
          <w:szCs w:val="24"/>
          <w:lang w:val="en-US"/>
        </w:rPr>
      </w:pPr>
      <w:r w:rsidRPr="00B13326">
        <w:rPr>
          <w:rFonts w:cs="Times New Roman"/>
          <w:sz w:val="24"/>
          <w:szCs w:val="24"/>
          <w:lang w:val="en-US"/>
        </w:rPr>
        <w:t>The cumulative incidence of secondary malignancies in the overall population rose from 0.95% at 3 years to 4.42% at 15 years, with a similar incidence in the first and second decades (</w:t>
      </w:r>
      <w:r w:rsidR="00B165C2">
        <w:rPr>
          <w:rFonts w:cs="Times New Roman"/>
          <w:sz w:val="24"/>
          <w:szCs w:val="24"/>
          <w:lang w:val="en-US"/>
        </w:rPr>
        <w:t>Figure 3</w:t>
      </w:r>
      <w:r w:rsidRPr="00B13326">
        <w:rPr>
          <w:rFonts w:cs="Times New Roman"/>
          <w:sz w:val="24"/>
          <w:szCs w:val="24"/>
          <w:lang w:val="en-US"/>
        </w:rPr>
        <w:t xml:space="preserve">). There were 10 cases of basal cell carcinoma, 4 head and neck cancers, 4 melanomas, 3 breast cancers, 2 thyroid cancers and 1 each of bladder carcinoma and liver adenocarcinoma. One further patient developed a diffuse large B cell lymphoma and another, originally transplanted for severe aplastic anemia, developed acute myeloid leukemia of donor cell origin. </w:t>
      </w:r>
    </w:p>
    <w:p w14:paraId="598D0622" w14:textId="77777777" w:rsidR="007307C2" w:rsidRPr="00B13326" w:rsidRDefault="007307C2" w:rsidP="00A14B97">
      <w:pPr>
        <w:spacing w:before="80" w:after="80" w:line="480" w:lineRule="auto"/>
        <w:jc w:val="both"/>
        <w:rPr>
          <w:rFonts w:cs="Times New Roman"/>
          <w:sz w:val="24"/>
          <w:szCs w:val="24"/>
          <w:lang w:val="en-US"/>
        </w:rPr>
      </w:pPr>
    </w:p>
    <w:p w14:paraId="631A6B54" w14:textId="77777777" w:rsidR="008A3221" w:rsidRPr="00B13326" w:rsidRDefault="008A3221" w:rsidP="00A14B97">
      <w:pPr>
        <w:spacing w:before="80" w:after="80" w:line="480" w:lineRule="auto"/>
        <w:jc w:val="both"/>
        <w:rPr>
          <w:rFonts w:cs="Times New Roman"/>
          <w:b/>
          <w:sz w:val="24"/>
          <w:szCs w:val="24"/>
          <w:lang w:val="en-US"/>
        </w:rPr>
      </w:pPr>
      <w:r w:rsidRPr="00B13326">
        <w:rPr>
          <w:rFonts w:cs="Times New Roman"/>
          <w:b/>
          <w:sz w:val="24"/>
          <w:szCs w:val="24"/>
          <w:lang w:val="en-US"/>
        </w:rPr>
        <w:t>Causes of death</w:t>
      </w:r>
    </w:p>
    <w:p w14:paraId="07946024" w14:textId="0CE54BEF" w:rsidR="00F64FA2" w:rsidRPr="00B13326" w:rsidRDefault="005A60AB" w:rsidP="00A14B97">
      <w:pPr>
        <w:spacing w:before="80" w:after="80" w:line="480" w:lineRule="auto"/>
        <w:jc w:val="both"/>
        <w:rPr>
          <w:rFonts w:cs="Times New Roman"/>
          <w:b/>
          <w:sz w:val="24"/>
          <w:szCs w:val="24"/>
          <w:lang w:val="en-US"/>
        </w:rPr>
      </w:pPr>
      <w:r>
        <w:rPr>
          <w:rFonts w:cs="Times New Roman"/>
          <w:sz w:val="24"/>
          <w:szCs w:val="24"/>
          <w:lang w:val="en-US"/>
        </w:rPr>
        <w:t>Three hundred and ten</w:t>
      </w:r>
      <w:r w:rsidR="0087076E" w:rsidRPr="00B13326">
        <w:rPr>
          <w:rFonts w:cs="Times New Roman"/>
          <w:sz w:val="24"/>
          <w:szCs w:val="24"/>
          <w:lang w:val="en-US"/>
        </w:rPr>
        <w:t xml:space="preserve"> patients died during the period of </w:t>
      </w:r>
      <w:r w:rsidR="009D6E77" w:rsidRPr="00B13326">
        <w:rPr>
          <w:rFonts w:cs="Times New Roman"/>
          <w:sz w:val="24"/>
          <w:szCs w:val="24"/>
          <w:lang w:val="en-US"/>
        </w:rPr>
        <w:t>the</w:t>
      </w:r>
      <w:r w:rsidR="0087076E" w:rsidRPr="00B13326">
        <w:rPr>
          <w:rFonts w:cs="Times New Roman"/>
          <w:sz w:val="24"/>
          <w:szCs w:val="24"/>
          <w:lang w:val="en-US"/>
        </w:rPr>
        <w:t xml:space="preserve"> study and the c</w:t>
      </w:r>
      <w:r w:rsidR="00F64FA2" w:rsidRPr="00B13326">
        <w:rPr>
          <w:rFonts w:cs="Times New Roman"/>
          <w:sz w:val="24"/>
          <w:szCs w:val="24"/>
          <w:lang w:val="en-US"/>
        </w:rPr>
        <w:t>auses of</w:t>
      </w:r>
      <w:r w:rsidR="005745EF" w:rsidRPr="00B13326">
        <w:rPr>
          <w:rFonts w:cs="Times New Roman"/>
          <w:sz w:val="24"/>
          <w:szCs w:val="24"/>
          <w:lang w:val="en-US"/>
        </w:rPr>
        <w:t xml:space="preserve"> death are detailed in T</w:t>
      </w:r>
      <w:r w:rsidR="0087076E" w:rsidRPr="00B13326">
        <w:rPr>
          <w:rFonts w:cs="Times New Roman"/>
          <w:sz w:val="24"/>
          <w:szCs w:val="24"/>
          <w:lang w:val="en-US"/>
        </w:rPr>
        <w:t>able 2. Relapse accounted for</w:t>
      </w:r>
      <w:r w:rsidR="004D5FD6" w:rsidRPr="00B13326">
        <w:rPr>
          <w:rFonts w:cs="Times New Roman"/>
          <w:sz w:val="24"/>
          <w:szCs w:val="24"/>
          <w:lang w:val="en-US"/>
        </w:rPr>
        <w:t xml:space="preserve"> 138 </w:t>
      </w:r>
      <w:r w:rsidR="0087076E" w:rsidRPr="00B13326">
        <w:rPr>
          <w:rFonts w:cs="Times New Roman"/>
          <w:sz w:val="24"/>
          <w:szCs w:val="24"/>
          <w:lang w:val="en-US"/>
        </w:rPr>
        <w:t xml:space="preserve">of the deaths, and </w:t>
      </w:r>
      <w:r w:rsidR="004D5FD6" w:rsidRPr="00B13326">
        <w:rPr>
          <w:rFonts w:cs="Times New Roman"/>
          <w:sz w:val="24"/>
          <w:szCs w:val="24"/>
          <w:lang w:val="en-US"/>
        </w:rPr>
        <w:t>169</w:t>
      </w:r>
      <w:r w:rsidR="0087076E" w:rsidRPr="00B13326">
        <w:rPr>
          <w:rFonts w:cs="Times New Roman"/>
          <w:sz w:val="24"/>
          <w:szCs w:val="24"/>
          <w:lang w:val="en-US"/>
        </w:rPr>
        <w:t xml:space="preserve"> were due to HSCT related complications</w:t>
      </w:r>
      <w:r w:rsidR="008310F7" w:rsidRPr="00B13326">
        <w:rPr>
          <w:rFonts w:cs="Times New Roman"/>
          <w:sz w:val="24"/>
          <w:szCs w:val="24"/>
          <w:lang w:val="en-US"/>
        </w:rPr>
        <w:t xml:space="preserve">, including </w:t>
      </w:r>
      <w:r w:rsidR="000E02E1">
        <w:rPr>
          <w:rFonts w:cs="Times New Roman"/>
          <w:sz w:val="24"/>
          <w:szCs w:val="24"/>
          <w:lang w:val="en-US"/>
        </w:rPr>
        <w:t>4</w:t>
      </w:r>
      <w:r w:rsidR="008310F7" w:rsidRPr="00B13326">
        <w:rPr>
          <w:rFonts w:cs="Times New Roman"/>
          <w:sz w:val="24"/>
          <w:szCs w:val="24"/>
          <w:lang w:val="en-US"/>
        </w:rPr>
        <w:t xml:space="preserve"> graft rejections</w:t>
      </w:r>
      <w:r w:rsidR="0087076E" w:rsidRPr="00B13326">
        <w:rPr>
          <w:rFonts w:cs="Times New Roman"/>
          <w:sz w:val="24"/>
          <w:szCs w:val="24"/>
          <w:lang w:val="en-US"/>
        </w:rPr>
        <w:t xml:space="preserve">. </w:t>
      </w:r>
      <w:r w:rsidR="00F64FA2" w:rsidRPr="00B13326">
        <w:rPr>
          <w:rFonts w:cs="Times New Roman"/>
          <w:color w:val="000000"/>
          <w:sz w:val="24"/>
          <w:szCs w:val="24"/>
          <w:shd w:val="clear" w:color="auto" w:fill="FFFFFF"/>
          <w:lang w:val="en-US"/>
        </w:rPr>
        <w:t xml:space="preserve">With longer follow-up, other causes of death </w:t>
      </w:r>
      <w:r w:rsidR="009D6E77" w:rsidRPr="00B13326">
        <w:rPr>
          <w:rFonts w:cs="Times New Roman"/>
          <w:color w:val="000000"/>
          <w:sz w:val="24"/>
          <w:szCs w:val="24"/>
          <w:shd w:val="clear" w:color="auto" w:fill="FFFFFF"/>
          <w:lang w:val="en-US"/>
        </w:rPr>
        <w:t>were</w:t>
      </w:r>
      <w:r w:rsidR="00F64FA2" w:rsidRPr="00B13326">
        <w:rPr>
          <w:rFonts w:cs="Times New Roman"/>
          <w:color w:val="000000"/>
          <w:sz w:val="24"/>
          <w:szCs w:val="24"/>
          <w:shd w:val="clear" w:color="auto" w:fill="FFFFFF"/>
          <w:lang w:val="en-US"/>
        </w:rPr>
        <w:t xml:space="preserve"> observed, </w:t>
      </w:r>
      <w:r w:rsidR="009503D7">
        <w:rPr>
          <w:rFonts w:cs="Times New Roman"/>
          <w:color w:val="000000"/>
          <w:sz w:val="24"/>
          <w:szCs w:val="24"/>
          <w:shd w:val="clear" w:color="auto" w:fill="FFFFFF"/>
          <w:lang w:val="en-US"/>
        </w:rPr>
        <w:t xml:space="preserve">such as cardiovascular disorders (1 myocardial infarction, </w:t>
      </w:r>
      <w:r w:rsidR="000E02E1">
        <w:rPr>
          <w:rFonts w:cs="Times New Roman"/>
          <w:color w:val="000000"/>
          <w:sz w:val="24"/>
          <w:szCs w:val="24"/>
          <w:shd w:val="clear" w:color="auto" w:fill="FFFFFF"/>
          <w:lang w:val="en-US"/>
        </w:rPr>
        <w:t>3</w:t>
      </w:r>
      <w:r w:rsidR="009503D7">
        <w:rPr>
          <w:rFonts w:cs="Times New Roman"/>
          <w:color w:val="000000"/>
          <w:sz w:val="24"/>
          <w:szCs w:val="24"/>
          <w:shd w:val="clear" w:color="auto" w:fill="FFFFFF"/>
          <w:lang w:val="en-US"/>
        </w:rPr>
        <w:t xml:space="preserve"> </w:t>
      </w:r>
      <w:r w:rsidR="00363774">
        <w:rPr>
          <w:rFonts w:cs="Times New Roman"/>
          <w:color w:val="000000"/>
          <w:sz w:val="24"/>
          <w:szCs w:val="24"/>
          <w:shd w:val="clear" w:color="auto" w:fill="FFFFFF"/>
          <w:lang w:val="en-US"/>
        </w:rPr>
        <w:t>strokes</w:t>
      </w:r>
      <w:r w:rsidR="009503D7">
        <w:rPr>
          <w:rFonts w:cs="Times New Roman"/>
          <w:color w:val="000000"/>
          <w:sz w:val="24"/>
          <w:szCs w:val="24"/>
          <w:shd w:val="clear" w:color="auto" w:fill="FFFFFF"/>
          <w:lang w:val="en-US"/>
        </w:rPr>
        <w:t xml:space="preserve">) and other </w:t>
      </w:r>
      <w:r w:rsidR="000E02E1">
        <w:rPr>
          <w:rFonts w:cs="Times New Roman"/>
          <w:color w:val="000000"/>
          <w:sz w:val="24"/>
          <w:szCs w:val="24"/>
          <w:shd w:val="clear" w:color="auto" w:fill="FFFFFF"/>
          <w:lang w:val="en-US"/>
        </w:rPr>
        <w:t>malignancies</w:t>
      </w:r>
      <w:r w:rsidR="009503D7">
        <w:rPr>
          <w:rFonts w:cs="Times New Roman"/>
          <w:color w:val="000000"/>
          <w:sz w:val="24"/>
          <w:szCs w:val="24"/>
          <w:shd w:val="clear" w:color="auto" w:fill="FFFFFF"/>
          <w:lang w:val="en-US"/>
        </w:rPr>
        <w:t xml:space="preserve"> (4 </w:t>
      </w:r>
      <w:r w:rsidR="0013720D">
        <w:rPr>
          <w:rFonts w:cs="Times New Roman"/>
          <w:color w:val="000000"/>
          <w:sz w:val="24"/>
          <w:szCs w:val="24"/>
          <w:shd w:val="clear" w:color="auto" w:fill="FFFFFF"/>
          <w:lang w:val="en-US"/>
        </w:rPr>
        <w:t>oral cavity/pharynx</w:t>
      </w:r>
      <w:r w:rsidR="009503D7">
        <w:rPr>
          <w:rFonts w:cs="Times New Roman"/>
          <w:color w:val="000000"/>
          <w:sz w:val="24"/>
          <w:szCs w:val="24"/>
          <w:shd w:val="clear" w:color="auto" w:fill="FFFFFF"/>
          <w:lang w:val="en-US"/>
        </w:rPr>
        <w:t xml:space="preserve">, 1 bladder </w:t>
      </w:r>
      <w:r w:rsidR="009503D7">
        <w:rPr>
          <w:rFonts w:cs="Times New Roman"/>
          <w:color w:val="000000"/>
          <w:sz w:val="24"/>
          <w:szCs w:val="24"/>
          <w:shd w:val="clear" w:color="auto" w:fill="FFFFFF"/>
          <w:lang w:val="en-US"/>
        </w:rPr>
        <w:lastRenderedPageBreak/>
        <w:t>carcinoma, 1 hepatic adenocarcinoma, 1 Ewing sarcoma and 1 inoperable cavernous sinus meningioma).</w:t>
      </w:r>
    </w:p>
    <w:p w14:paraId="62390AC2" w14:textId="00EBDACA" w:rsidR="007E5FBD" w:rsidRDefault="009D39E8" w:rsidP="00A14B97">
      <w:pPr>
        <w:spacing w:before="80" w:after="80" w:line="480" w:lineRule="auto"/>
        <w:jc w:val="both"/>
        <w:rPr>
          <w:rFonts w:cs="Times New Roman"/>
          <w:sz w:val="24"/>
          <w:szCs w:val="24"/>
          <w:lang w:val="en-US"/>
        </w:rPr>
      </w:pPr>
      <w:r w:rsidRPr="00B13326">
        <w:rPr>
          <w:rFonts w:cs="Times New Roman"/>
          <w:sz w:val="24"/>
          <w:szCs w:val="24"/>
          <w:lang w:val="en-US"/>
        </w:rPr>
        <w:t xml:space="preserve">There </w:t>
      </w:r>
      <w:r w:rsidR="000E3D8F" w:rsidRPr="00B13326">
        <w:rPr>
          <w:rFonts w:cs="Times New Roman"/>
          <w:sz w:val="24"/>
          <w:szCs w:val="24"/>
          <w:lang w:val="en-US"/>
        </w:rPr>
        <w:t xml:space="preserve">were </w:t>
      </w:r>
      <w:r w:rsidRPr="00B13326">
        <w:rPr>
          <w:rFonts w:cs="Times New Roman"/>
          <w:sz w:val="24"/>
          <w:szCs w:val="24"/>
          <w:lang w:val="en-US"/>
        </w:rPr>
        <w:t>2 suicides among our patients</w:t>
      </w:r>
      <w:r w:rsidR="0087076E" w:rsidRPr="00B13326">
        <w:rPr>
          <w:rFonts w:cs="Times New Roman"/>
          <w:sz w:val="24"/>
          <w:szCs w:val="24"/>
          <w:lang w:val="en-US"/>
        </w:rPr>
        <w:t xml:space="preserve">, and one </w:t>
      </w:r>
      <w:r w:rsidRPr="00B13326">
        <w:rPr>
          <w:rFonts w:cs="Times New Roman"/>
          <w:sz w:val="24"/>
          <w:szCs w:val="24"/>
          <w:lang w:val="en-US"/>
        </w:rPr>
        <w:t>fatal</w:t>
      </w:r>
      <w:r w:rsidR="0087076E" w:rsidRPr="00B13326">
        <w:rPr>
          <w:rFonts w:cs="Times New Roman"/>
          <w:sz w:val="24"/>
          <w:szCs w:val="24"/>
          <w:lang w:val="en-US"/>
        </w:rPr>
        <w:t xml:space="preserve"> traffic accident</w:t>
      </w:r>
      <w:r w:rsidR="00923A1B">
        <w:rPr>
          <w:rFonts w:cs="Times New Roman"/>
          <w:sz w:val="24"/>
          <w:szCs w:val="24"/>
          <w:lang w:val="en-US"/>
        </w:rPr>
        <w:t>.</w:t>
      </w:r>
      <w:r w:rsidR="0087076E" w:rsidRPr="00B13326">
        <w:rPr>
          <w:rFonts w:cs="Times New Roman"/>
          <w:sz w:val="24"/>
          <w:szCs w:val="24"/>
          <w:lang w:val="en-US"/>
        </w:rPr>
        <w:t xml:space="preserve"> </w:t>
      </w:r>
    </w:p>
    <w:p w14:paraId="415EB1D5" w14:textId="77777777" w:rsidR="00F2472E" w:rsidRPr="00B13326" w:rsidRDefault="00F2472E" w:rsidP="00A14B97">
      <w:pPr>
        <w:spacing w:before="80" w:after="80" w:line="480" w:lineRule="auto"/>
        <w:jc w:val="both"/>
        <w:rPr>
          <w:rFonts w:cs="Times New Roman"/>
          <w:sz w:val="24"/>
          <w:szCs w:val="24"/>
          <w:lang w:val="en-US"/>
        </w:rPr>
      </w:pPr>
    </w:p>
    <w:p w14:paraId="68D90DCC" w14:textId="60E87413" w:rsidR="0046111A" w:rsidRPr="00B13326" w:rsidRDefault="0089530C" w:rsidP="00A14B97">
      <w:pPr>
        <w:spacing w:before="80" w:after="80" w:line="480" w:lineRule="auto"/>
        <w:jc w:val="both"/>
        <w:rPr>
          <w:rFonts w:cs="Times New Roman"/>
          <w:b/>
          <w:sz w:val="24"/>
          <w:szCs w:val="24"/>
          <w:lang w:val="en-US"/>
        </w:rPr>
      </w:pPr>
      <w:r>
        <w:rPr>
          <w:rFonts w:cs="Times New Roman"/>
          <w:b/>
          <w:sz w:val="24"/>
          <w:szCs w:val="24"/>
          <w:lang w:val="en-US"/>
        </w:rPr>
        <w:t>DISCUSSION</w:t>
      </w:r>
    </w:p>
    <w:p w14:paraId="0DB50C12" w14:textId="63899D0F" w:rsidR="008C6222" w:rsidRDefault="002F7C2A" w:rsidP="00A14B97">
      <w:pPr>
        <w:spacing w:beforeLines="80" w:before="192" w:afterLines="80" w:after="192" w:line="480" w:lineRule="auto"/>
        <w:jc w:val="both"/>
        <w:rPr>
          <w:rFonts w:cs="Times New Roman"/>
          <w:sz w:val="24"/>
          <w:szCs w:val="24"/>
          <w:lang w:val="en-US"/>
        </w:rPr>
      </w:pPr>
      <w:r w:rsidRPr="00B13326">
        <w:rPr>
          <w:rFonts w:cs="Times New Roman"/>
          <w:sz w:val="24"/>
          <w:szCs w:val="24"/>
          <w:lang w:val="en-US"/>
        </w:rPr>
        <w:t>During the past decades HSCT has changed considerably with respect to patient clinical diagnosis, choice of donor, stem cell source, conditioning regimens, and</w:t>
      </w:r>
      <w:r w:rsidR="00E77167">
        <w:rPr>
          <w:rFonts w:cs="Times New Roman"/>
          <w:sz w:val="24"/>
          <w:szCs w:val="24"/>
          <w:lang w:val="en-US"/>
        </w:rPr>
        <w:t xml:space="preserve"> several</w:t>
      </w:r>
      <w:r w:rsidRPr="00B13326">
        <w:rPr>
          <w:rFonts w:cs="Times New Roman"/>
          <w:sz w:val="24"/>
          <w:szCs w:val="24"/>
          <w:lang w:val="en-US"/>
        </w:rPr>
        <w:t xml:space="preserve"> other </w:t>
      </w:r>
      <w:r w:rsidR="00E77167">
        <w:rPr>
          <w:rFonts w:cs="Times New Roman"/>
          <w:sz w:val="24"/>
          <w:szCs w:val="24"/>
          <w:lang w:val="en-US"/>
        </w:rPr>
        <w:t>measures</w:t>
      </w:r>
      <w:r w:rsidR="00315927">
        <w:rPr>
          <w:rFonts w:cs="Times New Roman"/>
          <w:sz w:val="24"/>
          <w:szCs w:val="24"/>
          <w:lang w:val="en-US"/>
        </w:rPr>
        <w:t xml:space="preserve"> destined</w:t>
      </w:r>
      <w:r w:rsidR="00E77167">
        <w:rPr>
          <w:rFonts w:cs="Times New Roman"/>
          <w:sz w:val="24"/>
          <w:szCs w:val="24"/>
          <w:lang w:val="en-US"/>
        </w:rPr>
        <w:t xml:space="preserve"> to reduce and treat transplant related complications</w:t>
      </w:r>
      <w:r w:rsidRPr="00B13326">
        <w:rPr>
          <w:rFonts w:cs="Times New Roman"/>
          <w:sz w:val="24"/>
          <w:szCs w:val="24"/>
          <w:lang w:val="en-US"/>
        </w:rPr>
        <w:t>.</w:t>
      </w:r>
      <w:r w:rsidR="00F31B66" w:rsidRPr="00B13326">
        <w:rPr>
          <w:rFonts w:cs="Times New Roman"/>
          <w:sz w:val="24"/>
          <w:szCs w:val="24"/>
          <w:lang w:val="en-US"/>
        </w:rPr>
        <w:t xml:space="preserve"> Although we have been running</w:t>
      </w:r>
      <w:r w:rsidR="0091613B" w:rsidRPr="00B13326">
        <w:rPr>
          <w:rFonts w:cs="Times New Roman"/>
          <w:sz w:val="24"/>
          <w:szCs w:val="24"/>
          <w:lang w:val="en-US"/>
        </w:rPr>
        <w:t xml:space="preserve"> </w:t>
      </w:r>
      <w:r w:rsidR="00F31B66" w:rsidRPr="00B13326">
        <w:rPr>
          <w:rFonts w:cs="Times New Roman"/>
          <w:sz w:val="24"/>
          <w:szCs w:val="24"/>
          <w:lang w:val="en-US"/>
        </w:rPr>
        <w:t>an autologous and allogeneic</w:t>
      </w:r>
      <w:r w:rsidR="00F60F5D" w:rsidRPr="00B13326">
        <w:rPr>
          <w:rFonts w:cs="Times New Roman"/>
          <w:sz w:val="24"/>
          <w:szCs w:val="24"/>
          <w:lang w:val="en-US"/>
        </w:rPr>
        <w:t xml:space="preserve"> transplant</w:t>
      </w:r>
      <w:r w:rsidR="00F31B66" w:rsidRPr="00B13326">
        <w:rPr>
          <w:rFonts w:cs="Times New Roman"/>
          <w:sz w:val="24"/>
          <w:szCs w:val="24"/>
          <w:lang w:val="en-US"/>
        </w:rPr>
        <w:t xml:space="preserve"> program, for both pediatric and adult patients, the present study</w:t>
      </w:r>
      <w:r w:rsidR="008C6222">
        <w:rPr>
          <w:rFonts w:cs="Times New Roman"/>
          <w:sz w:val="24"/>
          <w:szCs w:val="24"/>
          <w:lang w:val="en-US"/>
        </w:rPr>
        <w:t xml:space="preserve"> </w:t>
      </w:r>
      <w:r w:rsidR="008C6222" w:rsidRPr="00B13326">
        <w:rPr>
          <w:rFonts w:cs="Times New Roman"/>
          <w:sz w:val="24"/>
          <w:szCs w:val="24"/>
          <w:lang w:val="en-US"/>
        </w:rPr>
        <w:t>only</w:t>
      </w:r>
      <w:r w:rsidR="00F31B66" w:rsidRPr="00B13326">
        <w:rPr>
          <w:rFonts w:cs="Times New Roman"/>
          <w:sz w:val="24"/>
          <w:szCs w:val="24"/>
          <w:lang w:val="en-US"/>
        </w:rPr>
        <w:t xml:space="preserve"> </w:t>
      </w:r>
      <w:r w:rsidR="0091613B" w:rsidRPr="00B13326">
        <w:rPr>
          <w:rFonts w:cs="Times New Roman"/>
          <w:sz w:val="24"/>
          <w:szCs w:val="24"/>
          <w:lang w:val="en-US"/>
        </w:rPr>
        <w:t xml:space="preserve">includes </w:t>
      </w:r>
      <w:r w:rsidR="00F31B66" w:rsidRPr="00B13326">
        <w:rPr>
          <w:rFonts w:cs="Times New Roman"/>
          <w:sz w:val="24"/>
          <w:szCs w:val="24"/>
          <w:lang w:val="en-US"/>
        </w:rPr>
        <w:t>consecutively transplanted patients</w:t>
      </w:r>
      <w:r w:rsidR="0091613B" w:rsidRPr="00B13326">
        <w:rPr>
          <w:rFonts w:cs="Times New Roman"/>
          <w:sz w:val="24"/>
          <w:szCs w:val="24"/>
          <w:lang w:val="en-US"/>
        </w:rPr>
        <w:t xml:space="preserve"> given a first allogeneic transplant</w:t>
      </w:r>
      <w:r w:rsidR="00F31B66" w:rsidRPr="00B13326">
        <w:rPr>
          <w:rFonts w:cs="Times New Roman"/>
          <w:sz w:val="24"/>
          <w:szCs w:val="24"/>
          <w:lang w:val="en-US"/>
        </w:rPr>
        <w:t xml:space="preserve">, from May 1987 to May 2016. </w:t>
      </w:r>
      <w:r w:rsidR="008C6222">
        <w:rPr>
          <w:rFonts w:cs="Times New Roman"/>
          <w:sz w:val="24"/>
          <w:szCs w:val="24"/>
          <w:lang w:val="en-US"/>
        </w:rPr>
        <w:t xml:space="preserve"> </w:t>
      </w:r>
    </w:p>
    <w:p w14:paraId="69F327A5" w14:textId="0CAD5643" w:rsidR="0046111A" w:rsidRPr="00B13326" w:rsidRDefault="00F31B66" w:rsidP="00A14B97">
      <w:pPr>
        <w:spacing w:beforeLines="80" w:before="192" w:afterLines="80" w:after="192" w:line="480" w:lineRule="auto"/>
        <w:jc w:val="both"/>
        <w:rPr>
          <w:rFonts w:cs="Times New Roman"/>
          <w:sz w:val="24"/>
          <w:szCs w:val="24"/>
          <w:lang w:val="en-US"/>
        </w:rPr>
      </w:pPr>
      <w:r w:rsidRPr="00B13326">
        <w:rPr>
          <w:rFonts w:cs="Times New Roman"/>
          <w:sz w:val="24"/>
          <w:szCs w:val="24"/>
          <w:lang w:val="en-US"/>
        </w:rPr>
        <w:t xml:space="preserve">The entire population </w:t>
      </w:r>
      <w:r w:rsidR="0091613B" w:rsidRPr="00B13326">
        <w:rPr>
          <w:rFonts w:cs="Times New Roman"/>
          <w:sz w:val="24"/>
          <w:szCs w:val="24"/>
          <w:lang w:val="en-US"/>
        </w:rPr>
        <w:t>is composed of</w:t>
      </w:r>
      <w:r w:rsidRPr="00B13326">
        <w:rPr>
          <w:rFonts w:cs="Times New Roman"/>
          <w:sz w:val="24"/>
          <w:szCs w:val="24"/>
          <w:lang w:val="en-US"/>
        </w:rPr>
        <w:t xml:space="preserve"> 682 patients and all</w:t>
      </w:r>
      <w:r w:rsidR="0091613B" w:rsidRPr="00B13326">
        <w:rPr>
          <w:rFonts w:cs="Times New Roman"/>
          <w:sz w:val="24"/>
          <w:szCs w:val="24"/>
          <w:lang w:val="en-US"/>
        </w:rPr>
        <w:t xml:space="preserve"> of them</w:t>
      </w:r>
      <w:r w:rsidR="00A52D27" w:rsidRPr="00B13326">
        <w:rPr>
          <w:rFonts w:cs="Times New Roman"/>
          <w:sz w:val="24"/>
          <w:szCs w:val="24"/>
          <w:lang w:val="en-US"/>
        </w:rPr>
        <w:t>, with the exception of 3 cases</w:t>
      </w:r>
      <w:r w:rsidRPr="00B13326">
        <w:rPr>
          <w:rFonts w:cs="Times New Roman"/>
          <w:sz w:val="24"/>
          <w:szCs w:val="24"/>
          <w:lang w:val="en-US"/>
        </w:rPr>
        <w:t xml:space="preserve"> lost to follow-up</w:t>
      </w:r>
      <w:r w:rsidR="00A52D27" w:rsidRPr="00B13326">
        <w:rPr>
          <w:rFonts w:cs="Times New Roman"/>
          <w:sz w:val="24"/>
          <w:szCs w:val="24"/>
          <w:lang w:val="en-US"/>
        </w:rPr>
        <w:t>, were followed-up until the time of death or</w:t>
      </w:r>
      <w:r w:rsidR="0091613B" w:rsidRPr="00B13326">
        <w:rPr>
          <w:rFonts w:cs="Times New Roman"/>
          <w:sz w:val="24"/>
          <w:szCs w:val="24"/>
          <w:lang w:val="en-US"/>
        </w:rPr>
        <w:t xml:space="preserve"> the</w:t>
      </w:r>
      <w:r w:rsidR="00A52D27" w:rsidRPr="00B13326">
        <w:rPr>
          <w:rFonts w:cs="Times New Roman"/>
          <w:sz w:val="24"/>
          <w:szCs w:val="24"/>
          <w:lang w:val="en-US"/>
        </w:rPr>
        <w:t xml:space="preserve"> last yearly visit</w:t>
      </w:r>
      <w:r w:rsidR="00236CF0" w:rsidRPr="00B13326">
        <w:rPr>
          <w:rFonts w:cs="Times New Roman"/>
          <w:sz w:val="24"/>
          <w:szCs w:val="24"/>
          <w:lang w:val="en-US"/>
        </w:rPr>
        <w:t xml:space="preserve"> since transplant</w:t>
      </w:r>
      <w:r w:rsidR="00F60F5D" w:rsidRPr="00B13326">
        <w:rPr>
          <w:rFonts w:cs="Times New Roman"/>
          <w:sz w:val="24"/>
          <w:szCs w:val="24"/>
          <w:lang w:val="en-US"/>
        </w:rPr>
        <w:t>ation</w:t>
      </w:r>
      <w:r w:rsidR="0091613B" w:rsidRPr="00B13326">
        <w:rPr>
          <w:rFonts w:cs="Times New Roman"/>
          <w:sz w:val="24"/>
          <w:szCs w:val="24"/>
          <w:lang w:val="en-US"/>
        </w:rPr>
        <w:t>,</w:t>
      </w:r>
      <w:r w:rsidR="00236CF0" w:rsidRPr="00B13326">
        <w:rPr>
          <w:rFonts w:cs="Times New Roman"/>
          <w:sz w:val="24"/>
          <w:szCs w:val="24"/>
          <w:lang w:val="en-US"/>
        </w:rPr>
        <w:t xml:space="preserve"> allowing us to have a broader view of the long term outcome of our patient population</w:t>
      </w:r>
      <w:r w:rsidR="008C6222">
        <w:rPr>
          <w:rFonts w:cs="Times New Roman"/>
          <w:sz w:val="24"/>
          <w:szCs w:val="24"/>
          <w:lang w:val="en-US"/>
        </w:rPr>
        <w:t>.</w:t>
      </w:r>
    </w:p>
    <w:p w14:paraId="3044CB4B" w14:textId="283D2FEC" w:rsidR="0037606C" w:rsidRPr="00CC7416" w:rsidRDefault="00A52D27" w:rsidP="00A14B97">
      <w:pPr>
        <w:spacing w:beforeLines="80" w:before="192" w:afterLines="80" w:after="192" w:line="480" w:lineRule="auto"/>
        <w:jc w:val="both"/>
        <w:rPr>
          <w:rFonts w:cs="Times New Roman"/>
          <w:sz w:val="24"/>
          <w:szCs w:val="24"/>
          <w:u w:val="single"/>
          <w:lang w:val="en-US"/>
        </w:rPr>
      </w:pPr>
      <w:r w:rsidRPr="00B13326">
        <w:rPr>
          <w:rFonts w:cs="Times New Roman"/>
          <w:sz w:val="24"/>
          <w:szCs w:val="24"/>
          <w:lang w:val="en-US"/>
        </w:rPr>
        <w:t xml:space="preserve">The total number of </w:t>
      </w:r>
      <w:r w:rsidR="00412ED7" w:rsidRPr="00B13326">
        <w:rPr>
          <w:rFonts w:cs="Times New Roman"/>
          <w:sz w:val="24"/>
          <w:szCs w:val="24"/>
          <w:lang w:val="en-US"/>
        </w:rPr>
        <w:t>transplanted patients</w:t>
      </w:r>
      <w:r w:rsidRPr="00B13326">
        <w:rPr>
          <w:rFonts w:cs="Times New Roman"/>
          <w:sz w:val="24"/>
          <w:szCs w:val="24"/>
          <w:lang w:val="en-US"/>
        </w:rPr>
        <w:t xml:space="preserve"> </w:t>
      </w:r>
      <w:r w:rsidR="00845DB1" w:rsidRPr="00B13326">
        <w:rPr>
          <w:rFonts w:cs="Times New Roman"/>
          <w:sz w:val="24"/>
          <w:szCs w:val="24"/>
          <w:lang w:val="en-US"/>
        </w:rPr>
        <w:t>increased</w:t>
      </w:r>
      <w:r w:rsidRPr="00B13326">
        <w:rPr>
          <w:rFonts w:cs="Times New Roman"/>
          <w:sz w:val="24"/>
          <w:szCs w:val="24"/>
          <w:lang w:val="en-US"/>
        </w:rPr>
        <w:t xml:space="preserve"> in each </w:t>
      </w:r>
      <w:r w:rsidR="0091613B" w:rsidRPr="00B13326">
        <w:rPr>
          <w:rFonts w:cs="Times New Roman"/>
          <w:sz w:val="24"/>
          <w:szCs w:val="24"/>
          <w:lang w:val="en-US"/>
        </w:rPr>
        <w:t>decade</w:t>
      </w:r>
      <w:r w:rsidR="004C32B1">
        <w:rPr>
          <w:rFonts w:cs="Times New Roman"/>
          <w:sz w:val="24"/>
          <w:szCs w:val="24"/>
          <w:lang w:val="en-US"/>
        </w:rPr>
        <w:t xml:space="preserve"> </w:t>
      </w:r>
      <w:r w:rsidR="004C32B1" w:rsidRPr="00B13326">
        <w:rPr>
          <w:rFonts w:cs="Times New Roman"/>
          <w:sz w:val="24"/>
          <w:szCs w:val="24"/>
          <w:lang w:val="en-US"/>
        </w:rPr>
        <w:t xml:space="preserve">and they tended to be transplanted with more </w:t>
      </w:r>
      <w:r w:rsidR="004C32B1" w:rsidRPr="00B13326">
        <w:rPr>
          <w:rFonts w:cs="Times New Roman"/>
          <w:sz w:val="24"/>
          <w:szCs w:val="24"/>
          <w:lang w:val="en-US"/>
        </w:rPr>
        <w:lastRenderedPageBreak/>
        <w:t>advanced disease.</w:t>
      </w:r>
      <w:r w:rsidRPr="00B13326">
        <w:rPr>
          <w:rFonts w:cs="Times New Roman"/>
          <w:sz w:val="24"/>
          <w:szCs w:val="24"/>
          <w:lang w:val="en-US"/>
        </w:rPr>
        <w:t xml:space="preserve"> </w:t>
      </w:r>
      <w:r w:rsidR="004C32B1">
        <w:rPr>
          <w:rFonts w:cs="Times New Roman"/>
          <w:sz w:val="24"/>
          <w:szCs w:val="24"/>
          <w:lang w:val="en-US"/>
        </w:rPr>
        <w:t>The</w:t>
      </w:r>
      <w:r w:rsidR="00236CF0" w:rsidRPr="00B13326">
        <w:rPr>
          <w:rFonts w:cs="Times New Roman"/>
          <w:sz w:val="24"/>
          <w:szCs w:val="24"/>
          <w:lang w:val="en-US"/>
        </w:rPr>
        <w:t xml:space="preserve"> </w:t>
      </w:r>
      <w:r w:rsidR="004C32B1">
        <w:rPr>
          <w:rFonts w:cs="Times New Roman"/>
          <w:sz w:val="24"/>
          <w:szCs w:val="24"/>
          <w:lang w:val="en-US"/>
        </w:rPr>
        <w:t xml:space="preserve">adult patients’ </w:t>
      </w:r>
      <w:r w:rsidR="00236CF0" w:rsidRPr="00B13326">
        <w:rPr>
          <w:rFonts w:cs="Times New Roman"/>
          <w:sz w:val="24"/>
          <w:szCs w:val="24"/>
          <w:lang w:val="en-US"/>
        </w:rPr>
        <w:t>age increased significantly</w:t>
      </w:r>
      <w:r w:rsidR="00B13326">
        <w:rPr>
          <w:rFonts w:cs="Times New Roman"/>
          <w:sz w:val="24"/>
          <w:szCs w:val="24"/>
          <w:lang w:val="en-US"/>
        </w:rPr>
        <w:t xml:space="preserve"> </w:t>
      </w:r>
      <w:r w:rsidR="000D561A" w:rsidRPr="00B13326">
        <w:rPr>
          <w:rFonts w:cs="Times New Roman"/>
          <w:sz w:val="24"/>
          <w:szCs w:val="24"/>
          <w:lang w:val="en-US"/>
        </w:rPr>
        <w:t>(p&lt;0.001)</w:t>
      </w:r>
      <w:r w:rsidR="004C32B1">
        <w:rPr>
          <w:rFonts w:cs="Times New Roman"/>
          <w:sz w:val="24"/>
          <w:szCs w:val="24"/>
          <w:lang w:val="en-US"/>
        </w:rPr>
        <w:t>.</w:t>
      </w:r>
      <w:r w:rsidR="00236CF0" w:rsidRPr="00B13326">
        <w:rPr>
          <w:rFonts w:cs="Times New Roman"/>
          <w:sz w:val="24"/>
          <w:szCs w:val="24"/>
          <w:lang w:val="en-US"/>
        </w:rPr>
        <w:t xml:space="preserve"> Peripheral blood stem cells became</w:t>
      </w:r>
      <w:r w:rsidR="00431A8B" w:rsidRPr="00B13326">
        <w:rPr>
          <w:rFonts w:cs="Times New Roman"/>
          <w:sz w:val="24"/>
          <w:szCs w:val="24"/>
          <w:lang w:val="en-US"/>
        </w:rPr>
        <w:t xml:space="preserve"> </w:t>
      </w:r>
      <w:r w:rsidR="00236CF0" w:rsidRPr="00B13326">
        <w:rPr>
          <w:rFonts w:cs="Times New Roman"/>
          <w:sz w:val="24"/>
          <w:szCs w:val="24"/>
          <w:lang w:val="en-US"/>
        </w:rPr>
        <w:t>the preferred</w:t>
      </w:r>
      <w:r w:rsidR="0091613B" w:rsidRPr="00B13326">
        <w:rPr>
          <w:rFonts w:cs="Times New Roman"/>
          <w:sz w:val="24"/>
          <w:szCs w:val="24"/>
          <w:lang w:val="en-US"/>
        </w:rPr>
        <w:t xml:space="preserve"> stem cell</w:t>
      </w:r>
      <w:r w:rsidR="00236CF0" w:rsidRPr="00B13326">
        <w:rPr>
          <w:rFonts w:cs="Times New Roman"/>
          <w:sz w:val="24"/>
          <w:szCs w:val="24"/>
          <w:lang w:val="en-US"/>
        </w:rPr>
        <w:t xml:space="preserve"> source </w:t>
      </w:r>
      <w:r w:rsidR="0091613B" w:rsidRPr="00B13326">
        <w:rPr>
          <w:rFonts w:cs="Times New Roman"/>
          <w:sz w:val="24"/>
          <w:szCs w:val="24"/>
          <w:lang w:val="en-US"/>
        </w:rPr>
        <w:t>for transplant</w:t>
      </w:r>
      <w:r w:rsidR="00236CF0" w:rsidRPr="00B13326">
        <w:rPr>
          <w:rFonts w:cs="Times New Roman"/>
          <w:sz w:val="24"/>
          <w:szCs w:val="24"/>
          <w:lang w:val="en-US"/>
        </w:rPr>
        <w:t xml:space="preserve"> </w:t>
      </w:r>
      <w:r w:rsidR="0051339E" w:rsidRPr="00B13326">
        <w:rPr>
          <w:rFonts w:cs="Times New Roman"/>
          <w:sz w:val="24"/>
          <w:szCs w:val="24"/>
          <w:lang w:val="en-US"/>
        </w:rPr>
        <w:t>(although in the last decade we saw an increase in the number of bone marrow donations)</w:t>
      </w:r>
      <w:r w:rsidR="00236CF0" w:rsidRPr="00B13326">
        <w:rPr>
          <w:rFonts w:cs="Times New Roman"/>
          <w:sz w:val="24"/>
          <w:szCs w:val="24"/>
          <w:lang w:val="en-US"/>
        </w:rPr>
        <w:t xml:space="preserve"> and</w:t>
      </w:r>
      <w:r w:rsidR="0091613B" w:rsidRPr="00B13326">
        <w:rPr>
          <w:rFonts w:cs="Times New Roman"/>
          <w:sz w:val="24"/>
          <w:szCs w:val="24"/>
          <w:lang w:val="en-US"/>
        </w:rPr>
        <w:t xml:space="preserve"> in the last decade</w:t>
      </w:r>
      <w:r w:rsidR="00236CF0" w:rsidRPr="00B13326">
        <w:rPr>
          <w:rFonts w:cs="Times New Roman"/>
          <w:sz w:val="24"/>
          <w:szCs w:val="24"/>
          <w:lang w:val="en-US"/>
        </w:rPr>
        <w:t xml:space="preserve"> unrelated donors</w:t>
      </w:r>
      <w:r w:rsidR="000B5AD3" w:rsidRPr="00B13326">
        <w:rPr>
          <w:rFonts w:cs="Times New Roman"/>
          <w:sz w:val="24"/>
          <w:szCs w:val="24"/>
          <w:lang w:val="en-US"/>
        </w:rPr>
        <w:t xml:space="preserve"> clearly</w:t>
      </w:r>
      <w:r w:rsidR="00236CF0" w:rsidRPr="00B13326">
        <w:rPr>
          <w:rFonts w:cs="Times New Roman"/>
          <w:sz w:val="24"/>
          <w:szCs w:val="24"/>
          <w:lang w:val="en-US"/>
        </w:rPr>
        <w:t xml:space="preserve"> outnumbered family donors</w:t>
      </w:r>
      <w:r w:rsidR="001662E5" w:rsidRPr="00B13326">
        <w:rPr>
          <w:rFonts w:cs="Times New Roman"/>
          <w:sz w:val="24"/>
          <w:szCs w:val="24"/>
          <w:lang w:val="en-US"/>
        </w:rPr>
        <w:t xml:space="preserve"> (</w:t>
      </w:r>
      <w:r w:rsidR="000D561A" w:rsidRPr="00B13326">
        <w:rPr>
          <w:rFonts w:cs="Times New Roman"/>
          <w:sz w:val="24"/>
          <w:szCs w:val="24"/>
          <w:lang w:val="en-US"/>
        </w:rPr>
        <w:t>p&lt;0.001</w:t>
      </w:r>
      <w:r w:rsidR="001662E5" w:rsidRPr="00B13326">
        <w:rPr>
          <w:rFonts w:cs="Times New Roman"/>
          <w:sz w:val="24"/>
          <w:szCs w:val="24"/>
          <w:lang w:val="en-US"/>
        </w:rPr>
        <w:t>)</w:t>
      </w:r>
      <w:r w:rsidR="00236CF0" w:rsidRPr="00B13326">
        <w:rPr>
          <w:rFonts w:cs="Times New Roman"/>
          <w:sz w:val="24"/>
          <w:szCs w:val="24"/>
          <w:lang w:val="en-US"/>
        </w:rPr>
        <w:t>.</w:t>
      </w:r>
      <w:r w:rsidR="00DA40B7" w:rsidRPr="00B13326">
        <w:rPr>
          <w:rFonts w:cs="Times New Roman"/>
          <w:sz w:val="24"/>
          <w:szCs w:val="24"/>
          <w:lang w:val="en-US"/>
        </w:rPr>
        <w:t xml:space="preserve"> This is </w:t>
      </w:r>
      <w:r w:rsidR="00E77167">
        <w:rPr>
          <w:rFonts w:cs="Times New Roman"/>
          <w:sz w:val="24"/>
          <w:szCs w:val="24"/>
          <w:lang w:val="en-US"/>
        </w:rPr>
        <w:t xml:space="preserve">probably related </w:t>
      </w:r>
      <w:r w:rsidR="00DA40B7" w:rsidRPr="00B13326">
        <w:rPr>
          <w:rFonts w:cs="Times New Roman"/>
          <w:sz w:val="24"/>
          <w:szCs w:val="24"/>
          <w:lang w:val="en-US"/>
        </w:rPr>
        <w:t>to the success of the donor registries in recruiting more donors, (the Portuguese registry</w:t>
      </w:r>
      <w:r w:rsidR="0092141A" w:rsidRPr="00B13326">
        <w:rPr>
          <w:rFonts w:cs="Times New Roman"/>
          <w:sz w:val="24"/>
          <w:szCs w:val="24"/>
          <w:lang w:val="en-US"/>
        </w:rPr>
        <w:t xml:space="preserve"> has</w:t>
      </w:r>
      <w:r w:rsidR="00DA40B7" w:rsidRPr="00B13326">
        <w:rPr>
          <w:rFonts w:cs="Times New Roman"/>
          <w:sz w:val="24"/>
          <w:szCs w:val="24"/>
          <w:lang w:val="en-US"/>
        </w:rPr>
        <w:t xml:space="preserve"> increased its number of</w:t>
      </w:r>
      <w:r w:rsidR="00C40A31">
        <w:rPr>
          <w:rFonts w:cs="Times New Roman"/>
          <w:sz w:val="24"/>
          <w:szCs w:val="24"/>
          <w:lang w:val="en-US"/>
        </w:rPr>
        <w:t xml:space="preserve"> donors from 1 500 to nearly 400 </w:t>
      </w:r>
      <w:r w:rsidR="00DA40B7" w:rsidRPr="00B13326">
        <w:rPr>
          <w:rFonts w:cs="Times New Roman"/>
          <w:sz w:val="24"/>
          <w:szCs w:val="24"/>
          <w:lang w:val="en-US"/>
        </w:rPr>
        <w:t xml:space="preserve">000 over the last 15 years) </w:t>
      </w:r>
      <w:r w:rsidR="008C6222">
        <w:rPr>
          <w:rFonts w:cs="Times New Roman"/>
          <w:sz w:val="24"/>
          <w:szCs w:val="24"/>
          <w:lang w:val="en-US"/>
        </w:rPr>
        <w:t>and to</w:t>
      </w:r>
      <w:r w:rsidR="00DA40B7" w:rsidRPr="00B13326">
        <w:rPr>
          <w:rFonts w:cs="Times New Roman"/>
          <w:sz w:val="24"/>
          <w:szCs w:val="24"/>
          <w:lang w:val="en-US"/>
        </w:rPr>
        <w:t xml:space="preserve"> </w:t>
      </w:r>
      <w:r w:rsidR="0092141A" w:rsidRPr="00B13326">
        <w:rPr>
          <w:rFonts w:cs="Times New Roman"/>
          <w:sz w:val="24"/>
          <w:szCs w:val="24"/>
          <w:lang w:val="en-US"/>
        </w:rPr>
        <w:t xml:space="preserve">advances in HLA typing </w:t>
      </w:r>
      <w:r w:rsidR="00F15E74" w:rsidRPr="00B13326">
        <w:rPr>
          <w:rFonts w:cs="Times New Roman"/>
          <w:sz w:val="24"/>
          <w:szCs w:val="24"/>
          <w:lang w:val="en-US"/>
        </w:rPr>
        <w:t>allowing for a better selection of unrelated donors. This may contribute to the improved survival reported in</w:t>
      </w:r>
      <w:r w:rsidR="0092141A" w:rsidRPr="00B13326">
        <w:rPr>
          <w:rFonts w:cs="Times New Roman"/>
          <w:sz w:val="24"/>
          <w:szCs w:val="24"/>
          <w:lang w:val="en-US"/>
        </w:rPr>
        <w:t xml:space="preserve"> several studies</w:t>
      </w:r>
      <w:r w:rsidR="0072092D" w:rsidRPr="00B13326">
        <w:rPr>
          <w:rFonts w:cs="Times New Roman"/>
          <w:sz w:val="24"/>
          <w:szCs w:val="24"/>
          <w:lang w:val="en-US"/>
        </w:rPr>
        <w:t>,</w:t>
      </w:r>
      <w:r w:rsidR="00F15E74" w:rsidRPr="00B13326">
        <w:rPr>
          <w:rFonts w:cs="Times New Roman"/>
          <w:sz w:val="24"/>
          <w:szCs w:val="24"/>
          <w:lang w:val="en-US"/>
        </w:rPr>
        <w:t xml:space="preserve"> with</w:t>
      </w:r>
      <w:r w:rsidR="0092141A" w:rsidRPr="00B13326">
        <w:rPr>
          <w:rFonts w:cs="Times New Roman"/>
          <w:sz w:val="24"/>
          <w:szCs w:val="24"/>
          <w:lang w:val="en-US"/>
        </w:rPr>
        <w:t xml:space="preserve"> similar outcome</w:t>
      </w:r>
      <w:r w:rsidR="00F15E74" w:rsidRPr="00B13326">
        <w:rPr>
          <w:rFonts w:cs="Times New Roman"/>
          <w:sz w:val="24"/>
          <w:szCs w:val="24"/>
          <w:lang w:val="en-US"/>
        </w:rPr>
        <w:t>s</w:t>
      </w:r>
      <w:r w:rsidR="0092141A" w:rsidRPr="00B13326">
        <w:rPr>
          <w:rFonts w:cs="Times New Roman"/>
          <w:sz w:val="24"/>
          <w:szCs w:val="24"/>
          <w:lang w:val="en-US"/>
        </w:rPr>
        <w:t xml:space="preserve"> </w:t>
      </w:r>
      <w:r w:rsidR="00F15E74" w:rsidRPr="00B13326">
        <w:rPr>
          <w:rFonts w:cs="Times New Roman"/>
          <w:sz w:val="24"/>
          <w:szCs w:val="24"/>
          <w:lang w:val="en-US"/>
        </w:rPr>
        <w:t>among</w:t>
      </w:r>
      <w:r w:rsidR="0092141A" w:rsidRPr="00B13326">
        <w:rPr>
          <w:rFonts w:cs="Times New Roman"/>
          <w:sz w:val="24"/>
          <w:szCs w:val="24"/>
          <w:lang w:val="en-US"/>
        </w:rPr>
        <w:t xml:space="preserve"> transplantations from HLA matched related </w:t>
      </w:r>
      <w:r w:rsidR="00F15E74" w:rsidRPr="00B13326">
        <w:rPr>
          <w:rFonts w:cs="Times New Roman"/>
          <w:sz w:val="24"/>
          <w:szCs w:val="24"/>
          <w:lang w:val="en-US"/>
        </w:rPr>
        <w:t>or</w:t>
      </w:r>
      <w:r w:rsidR="0092141A" w:rsidRPr="00B13326">
        <w:rPr>
          <w:rFonts w:cs="Times New Roman"/>
          <w:sz w:val="24"/>
          <w:szCs w:val="24"/>
          <w:lang w:val="en-US"/>
        </w:rPr>
        <w:t xml:space="preserve"> 10/10</w:t>
      </w:r>
      <w:r w:rsidR="00F15E74" w:rsidRPr="00B13326">
        <w:rPr>
          <w:rFonts w:cs="Times New Roman"/>
          <w:sz w:val="24"/>
          <w:szCs w:val="24"/>
          <w:lang w:val="en-US"/>
        </w:rPr>
        <w:t xml:space="preserve"> allele-matched unrelated donors</w:t>
      </w:r>
      <w:r w:rsidR="0092141A" w:rsidRPr="00B13326">
        <w:rPr>
          <w:rFonts w:cs="Times New Roman"/>
          <w:sz w:val="24"/>
          <w:szCs w:val="24"/>
          <w:lang w:val="en-US"/>
        </w:rPr>
        <w:t>, or even 9/10 unrelated donors</w:t>
      </w:r>
      <w:r w:rsidR="0072092D" w:rsidRPr="00B13326">
        <w:rPr>
          <w:rFonts w:cs="Times New Roman"/>
          <w:sz w:val="24"/>
          <w:szCs w:val="24"/>
          <w:lang w:val="en-US"/>
        </w:rPr>
        <w:t>,</w:t>
      </w:r>
      <w:r w:rsidR="0092141A" w:rsidRPr="00B13326">
        <w:rPr>
          <w:rFonts w:cs="Times New Roman"/>
          <w:sz w:val="24"/>
          <w:szCs w:val="24"/>
          <w:lang w:val="en-US"/>
        </w:rPr>
        <w:t xml:space="preserve"> as is our experience in this study</w:t>
      </w:r>
      <w:r w:rsidR="00BC6FB0">
        <w:rPr>
          <w:rFonts w:cs="Times New Roman"/>
          <w:sz w:val="24"/>
          <w:szCs w:val="24"/>
          <w:lang w:val="en-US"/>
        </w:rPr>
        <w:t>.</w:t>
      </w:r>
      <w:r w:rsidR="00994064">
        <w:rPr>
          <w:rFonts w:cs="Times New Roman"/>
          <w:sz w:val="24"/>
          <w:szCs w:val="24"/>
          <w:lang w:val="en-US"/>
        </w:rPr>
        <w:t xml:space="preserve"> </w:t>
      </w:r>
      <w:r w:rsidR="00994064" w:rsidRPr="00896465">
        <w:rPr>
          <w:rFonts w:cs="Times New Roman"/>
          <w:color w:val="0070C0"/>
          <w:sz w:val="24"/>
          <w:szCs w:val="24"/>
          <w:vertAlign w:val="superscript"/>
          <w:lang w:val="en-US"/>
        </w:rPr>
        <w:t>17-19</w:t>
      </w:r>
      <w:r w:rsidR="0072092D" w:rsidRPr="00896465">
        <w:rPr>
          <w:rFonts w:cs="Times New Roman"/>
          <w:color w:val="0070C0"/>
          <w:sz w:val="24"/>
          <w:szCs w:val="24"/>
          <w:lang w:val="en-US"/>
        </w:rPr>
        <w:t xml:space="preserve"> </w:t>
      </w:r>
      <w:r w:rsidR="005866E7" w:rsidRPr="00994064">
        <w:rPr>
          <w:rFonts w:cs="Times New Roman"/>
          <w:color w:val="000000" w:themeColor="text1"/>
          <w:sz w:val="24"/>
          <w:szCs w:val="24"/>
          <w:lang w:val="en-US"/>
        </w:rPr>
        <w:t xml:space="preserve"> </w:t>
      </w:r>
      <w:r w:rsidR="005866E7">
        <w:rPr>
          <w:rFonts w:cs="Times New Roman"/>
          <w:sz w:val="24"/>
          <w:szCs w:val="24"/>
          <w:lang w:val="en-US"/>
        </w:rPr>
        <w:t>The 3-year OS of our</w:t>
      </w:r>
      <w:r w:rsidR="001662E5" w:rsidRPr="00B13326">
        <w:rPr>
          <w:rFonts w:cs="Times New Roman"/>
          <w:sz w:val="24"/>
          <w:szCs w:val="24"/>
          <w:lang w:val="en-US"/>
        </w:rPr>
        <w:t xml:space="preserve"> patients transplanted with a</w:t>
      </w:r>
      <w:r w:rsidR="00FA0481" w:rsidRPr="00B13326">
        <w:rPr>
          <w:rFonts w:cs="Times New Roman"/>
          <w:sz w:val="24"/>
          <w:szCs w:val="24"/>
          <w:lang w:val="en-US"/>
        </w:rPr>
        <w:t>n</w:t>
      </w:r>
      <w:r w:rsidR="001662E5" w:rsidRPr="00B13326">
        <w:rPr>
          <w:rFonts w:cs="Times New Roman"/>
          <w:sz w:val="24"/>
          <w:szCs w:val="24"/>
          <w:lang w:val="en-US"/>
        </w:rPr>
        <w:t xml:space="preserve"> unrelated donor was 59%</w:t>
      </w:r>
      <w:r w:rsidR="008737CC" w:rsidRPr="00B13326">
        <w:rPr>
          <w:rFonts w:cs="Times New Roman"/>
          <w:sz w:val="24"/>
          <w:szCs w:val="24"/>
          <w:lang w:val="en-US"/>
        </w:rPr>
        <w:t>,</w:t>
      </w:r>
      <w:r w:rsidR="00FA0481" w:rsidRPr="00B13326">
        <w:rPr>
          <w:rFonts w:cs="Times New Roman"/>
          <w:sz w:val="24"/>
          <w:szCs w:val="24"/>
          <w:lang w:val="en-US"/>
        </w:rPr>
        <w:t xml:space="preserve"> which is identical to the 60% observed in </w:t>
      </w:r>
      <w:r w:rsidR="008737CC" w:rsidRPr="00B13326">
        <w:rPr>
          <w:rFonts w:cs="Times New Roman"/>
          <w:sz w:val="24"/>
          <w:szCs w:val="24"/>
          <w:lang w:val="en-US"/>
        </w:rPr>
        <w:t>th</w:t>
      </w:r>
      <w:r w:rsidR="005866E7">
        <w:rPr>
          <w:rFonts w:cs="Times New Roman"/>
          <w:sz w:val="24"/>
          <w:szCs w:val="24"/>
          <w:lang w:val="en-US"/>
        </w:rPr>
        <w:t>ose</w:t>
      </w:r>
      <w:r w:rsidR="008737CC" w:rsidRPr="00B13326">
        <w:rPr>
          <w:rFonts w:cs="Times New Roman"/>
          <w:sz w:val="24"/>
          <w:szCs w:val="24"/>
          <w:lang w:val="en-US"/>
        </w:rPr>
        <w:t xml:space="preserve"> transplanted</w:t>
      </w:r>
      <w:r w:rsidR="00FA0481" w:rsidRPr="00B13326">
        <w:rPr>
          <w:rFonts w:cs="Times New Roman"/>
          <w:sz w:val="24"/>
          <w:szCs w:val="24"/>
          <w:lang w:val="en-US"/>
        </w:rPr>
        <w:t xml:space="preserve"> with a related donor</w:t>
      </w:r>
      <w:r w:rsidR="00B72ABE" w:rsidRPr="00B13326">
        <w:rPr>
          <w:rFonts w:cs="Times New Roman"/>
          <w:sz w:val="24"/>
          <w:szCs w:val="24"/>
          <w:lang w:val="en-US"/>
        </w:rPr>
        <w:t>; no difference in OS was seen between patients transplanted with an HLA identical unrelated donor and those whose donor</w:t>
      </w:r>
      <w:r w:rsidR="00016D0E" w:rsidRPr="00B13326">
        <w:rPr>
          <w:rFonts w:cs="Times New Roman"/>
          <w:sz w:val="24"/>
          <w:szCs w:val="24"/>
          <w:lang w:val="en-US"/>
        </w:rPr>
        <w:t>s</w:t>
      </w:r>
      <w:r w:rsidR="00B72ABE" w:rsidRPr="00B13326">
        <w:rPr>
          <w:rFonts w:cs="Times New Roman"/>
          <w:sz w:val="24"/>
          <w:szCs w:val="24"/>
          <w:lang w:val="en-US"/>
        </w:rPr>
        <w:t xml:space="preserve"> </w:t>
      </w:r>
      <w:r w:rsidR="00016D0E" w:rsidRPr="00B13326">
        <w:rPr>
          <w:rFonts w:cs="Times New Roman"/>
          <w:sz w:val="24"/>
          <w:szCs w:val="24"/>
          <w:lang w:val="en-US"/>
        </w:rPr>
        <w:t xml:space="preserve">had a single HLA </w:t>
      </w:r>
      <w:r w:rsidR="00B72ABE" w:rsidRPr="00B13326">
        <w:rPr>
          <w:rFonts w:cs="Times New Roman"/>
          <w:sz w:val="24"/>
          <w:szCs w:val="24"/>
          <w:lang w:val="en-US"/>
        </w:rPr>
        <w:t>mismatch</w:t>
      </w:r>
      <w:r w:rsidR="00016D0E" w:rsidRPr="00B13326">
        <w:rPr>
          <w:rFonts w:cs="Times New Roman"/>
          <w:sz w:val="24"/>
          <w:szCs w:val="24"/>
          <w:lang w:val="en-US"/>
        </w:rPr>
        <w:t>.</w:t>
      </w:r>
      <w:r w:rsidR="008737CC" w:rsidRPr="00B13326">
        <w:rPr>
          <w:rFonts w:cs="Times New Roman"/>
          <w:sz w:val="24"/>
          <w:szCs w:val="24"/>
          <w:lang w:val="en-US"/>
        </w:rPr>
        <w:t xml:space="preserve"> The outcome for 9/10 unrelated transplants is still a matter of controversy with some authors reporting inferior OS when compared to 10/10 unrelated transplants </w:t>
      </w:r>
      <w:r w:rsidR="00895EF1" w:rsidRPr="00B13326">
        <w:rPr>
          <w:rFonts w:cs="Times New Roman"/>
          <w:sz w:val="24"/>
          <w:szCs w:val="24"/>
          <w:lang w:val="en-US"/>
        </w:rPr>
        <w:t xml:space="preserve">and others reporting similar results in terms of OS, </w:t>
      </w:r>
      <w:r w:rsidR="001109B8" w:rsidRPr="001109B8">
        <w:rPr>
          <w:rFonts w:cs="Times New Roman"/>
          <w:color w:val="00B0F0"/>
          <w:sz w:val="24"/>
          <w:szCs w:val="24"/>
          <w:lang w:val="en-US"/>
        </w:rPr>
        <w:t>GvHD</w:t>
      </w:r>
      <w:r w:rsidR="00B91893" w:rsidRPr="00B13326">
        <w:rPr>
          <w:rFonts w:cs="Times New Roman"/>
          <w:sz w:val="24"/>
          <w:szCs w:val="24"/>
          <w:lang w:val="en-US"/>
        </w:rPr>
        <w:t xml:space="preserve">, </w:t>
      </w:r>
      <w:r w:rsidR="00895EF1" w:rsidRPr="00B13326">
        <w:rPr>
          <w:rFonts w:cs="Times New Roman"/>
          <w:sz w:val="24"/>
          <w:szCs w:val="24"/>
          <w:lang w:val="en-US"/>
        </w:rPr>
        <w:t>TRM and relapse</w:t>
      </w:r>
      <w:r w:rsidR="00BC6FB0">
        <w:rPr>
          <w:rFonts w:cs="Times New Roman"/>
          <w:sz w:val="24"/>
          <w:szCs w:val="24"/>
          <w:lang w:val="en-US"/>
        </w:rPr>
        <w:t>.</w:t>
      </w:r>
      <w:r w:rsidR="00896465">
        <w:rPr>
          <w:rFonts w:cs="Times New Roman"/>
          <w:sz w:val="24"/>
          <w:szCs w:val="24"/>
          <w:lang w:val="en-US"/>
        </w:rPr>
        <w:t xml:space="preserve"> </w:t>
      </w:r>
      <w:r w:rsidR="00994064" w:rsidRPr="00896465">
        <w:rPr>
          <w:rFonts w:cs="Times New Roman"/>
          <w:color w:val="0070C0"/>
          <w:sz w:val="24"/>
          <w:szCs w:val="24"/>
          <w:vertAlign w:val="superscript"/>
          <w:lang w:val="en-US"/>
        </w:rPr>
        <w:t>17-20</w:t>
      </w:r>
      <w:r w:rsidR="00895EF1" w:rsidRPr="00896465">
        <w:rPr>
          <w:rFonts w:cs="Times New Roman"/>
          <w:color w:val="0070C0"/>
          <w:sz w:val="24"/>
          <w:szCs w:val="24"/>
          <w:lang w:val="en-US"/>
        </w:rPr>
        <w:t xml:space="preserve"> </w:t>
      </w:r>
      <w:r w:rsidR="00895EF1" w:rsidRPr="00B13326">
        <w:rPr>
          <w:rFonts w:cs="Times New Roman"/>
          <w:sz w:val="24"/>
          <w:szCs w:val="24"/>
          <w:lang w:val="en-US"/>
        </w:rPr>
        <w:t xml:space="preserve"> </w:t>
      </w:r>
      <w:r w:rsidR="00895EF1" w:rsidRPr="00B13326">
        <w:rPr>
          <w:rFonts w:cs="Times New Roman"/>
          <w:sz w:val="24"/>
          <w:szCs w:val="24"/>
          <w:lang w:val="en-US"/>
        </w:rPr>
        <w:lastRenderedPageBreak/>
        <w:t xml:space="preserve">Differences in conditioning regimens (use of ATG, </w:t>
      </w:r>
      <w:r w:rsidR="008C6222">
        <w:rPr>
          <w:rFonts w:cs="Times New Roman"/>
          <w:sz w:val="24"/>
          <w:szCs w:val="24"/>
          <w:lang w:val="en-US"/>
        </w:rPr>
        <w:t>MAC</w:t>
      </w:r>
      <w:r w:rsidR="00895EF1" w:rsidRPr="00B13326">
        <w:rPr>
          <w:rFonts w:cs="Times New Roman"/>
          <w:sz w:val="24"/>
          <w:szCs w:val="24"/>
          <w:lang w:val="en-US"/>
        </w:rPr>
        <w:t xml:space="preserve"> versus RIC), </w:t>
      </w:r>
      <w:r w:rsidR="001109B8" w:rsidRPr="001109B8">
        <w:rPr>
          <w:rFonts w:cs="Times New Roman"/>
          <w:color w:val="00B0F0"/>
          <w:sz w:val="24"/>
          <w:szCs w:val="24"/>
          <w:lang w:val="en-US"/>
        </w:rPr>
        <w:t>GvHD</w:t>
      </w:r>
      <w:r w:rsidR="00234809" w:rsidRPr="00B13326">
        <w:rPr>
          <w:rFonts w:cs="Times New Roman"/>
          <w:sz w:val="24"/>
          <w:szCs w:val="24"/>
          <w:lang w:val="en-US"/>
        </w:rPr>
        <w:t xml:space="preserve"> prophylaxis, </w:t>
      </w:r>
      <w:r w:rsidR="00363774">
        <w:rPr>
          <w:rFonts w:cs="Times New Roman"/>
          <w:sz w:val="24"/>
          <w:szCs w:val="24"/>
          <w:lang w:val="en-US"/>
        </w:rPr>
        <w:t>disease diagnosis and</w:t>
      </w:r>
      <w:r w:rsidR="00895EF1" w:rsidRPr="00B13326">
        <w:rPr>
          <w:rFonts w:cs="Times New Roman"/>
          <w:sz w:val="24"/>
          <w:szCs w:val="24"/>
          <w:lang w:val="en-US"/>
        </w:rPr>
        <w:t xml:space="preserve"> stage at transplant are possible explanations for this discrepancy</w:t>
      </w:r>
      <w:r w:rsidR="00BC6FB0">
        <w:rPr>
          <w:rFonts w:cs="Times New Roman"/>
          <w:sz w:val="24"/>
          <w:szCs w:val="24"/>
          <w:lang w:val="en-US"/>
        </w:rPr>
        <w:t>.</w:t>
      </w:r>
      <w:r w:rsidR="00896465">
        <w:rPr>
          <w:rFonts w:cs="Times New Roman"/>
          <w:sz w:val="24"/>
          <w:szCs w:val="24"/>
          <w:lang w:val="en-US"/>
        </w:rPr>
        <w:t xml:space="preserve"> </w:t>
      </w:r>
      <w:r w:rsidR="00994064" w:rsidRPr="00896465">
        <w:rPr>
          <w:rFonts w:cs="Times New Roman"/>
          <w:color w:val="0070C0"/>
          <w:sz w:val="24"/>
          <w:szCs w:val="24"/>
          <w:vertAlign w:val="superscript"/>
          <w:lang w:val="en-US"/>
        </w:rPr>
        <w:t>17-21</w:t>
      </w:r>
      <w:r w:rsidR="000F79E6" w:rsidRPr="00896465">
        <w:rPr>
          <w:rFonts w:cs="Times New Roman"/>
          <w:color w:val="0070C0"/>
          <w:sz w:val="24"/>
          <w:szCs w:val="24"/>
          <w:lang w:val="en-US"/>
        </w:rPr>
        <w:t xml:space="preserve"> </w:t>
      </w:r>
      <w:r w:rsidR="00E05075" w:rsidRPr="00B13326">
        <w:rPr>
          <w:rFonts w:cs="Times New Roman"/>
          <w:sz w:val="24"/>
          <w:szCs w:val="24"/>
          <w:lang w:val="en-US"/>
        </w:rPr>
        <w:t xml:space="preserve"> </w:t>
      </w:r>
    </w:p>
    <w:p w14:paraId="2BCF13A6" w14:textId="0D350005" w:rsidR="00E05075" w:rsidRPr="00B13326" w:rsidRDefault="00E05075" w:rsidP="00A14B97">
      <w:pPr>
        <w:spacing w:beforeLines="80" w:before="192" w:afterLines="80" w:after="192" w:line="480" w:lineRule="auto"/>
        <w:jc w:val="both"/>
        <w:rPr>
          <w:rFonts w:cs="Times New Roman"/>
          <w:sz w:val="24"/>
          <w:szCs w:val="24"/>
          <w:lang w:val="en-US"/>
        </w:rPr>
      </w:pPr>
      <w:r w:rsidRPr="00B13326">
        <w:rPr>
          <w:rFonts w:cs="Times New Roman"/>
          <w:sz w:val="24"/>
          <w:szCs w:val="24"/>
          <w:lang w:val="en-US"/>
        </w:rPr>
        <w:t>Major developments in hemato-oncology translated into variations in the disease</w:t>
      </w:r>
      <w:r w:rsidR="00E77167">
        <w:rPr>
          <w:rFonts w:cs="Times New Roman"/>
          <w:sz w:val="24"/>
          <w:szCs w:val="24"/>
          <w:lang w:val="en-US"/>
        </w:rPr>
        <w:t xml:space="preserve"> profile of the patients</w:t>
      </w:r>
      <w:r w:rsidRPr="00B13326">
        <w:rPr>
          <w:rFonts w:cs="Times New Roman"/>
          <w:sz w:val="24"/>
          <w:szCs w:val="24"/>
          <w:lang w:val="en-US"/>
        </w:rPr>
        <w:t xml:space="preserve"> treated in our program</w:t>
      </w:r>
      <w:r w:rsidR="004D6DA7">
        <w:rPr>
          <w:rFonts w:cs="Times New Roman"/>
          <w:sz w:val="24"/>
          <w:szCs w:val="24"/>
          <w:lang w:val="en-US"/>
        </w:rPr>
        <w:t>.</w:t>
      </w:r>
      <w:r w:rsidRPr="00B13326">
        <w:rPr>
          <w:rFonts w:cs="Times New Roman"/>
          <w:sz w:val="24"/>
          <w:szCs w:val="24"/>
          <w:lang w:val="en-US"/>
        </w:rPr>
        <w:t xml:space="preserve"> </w:t>
      </w:r>
      <w:r w:rsidR="00923A1B">
        <w:rPr>
          <w:rFonts w:cs="Times New Roman"/>
          <w:sz w:val="24"/>
          <w:szCs w:val="24"/>
          <w:lang w:val="en-US"/>
        </w:rPr>
        <w:t xml:space="preserve">Presently, </w:t>
      </w:r>
      <w:r w:rsidRPr="00B13326">
        <w:rPr>
          <w:rFonts w:cs="Times New Roman"/>
          <w:sz w:val="24"/>
          <w:szCs w:val="24"/>
          <w:lang w:val="en-US"/>
        </w:rPr>
        <w:t xml:space="preserve">CML patients needing a transplant are those who fail </w:t>
      </w:r>
      <w:r w:rsidR="00923A1B">
        <w:rPr>
          <w:rFonts w:cs="Times New Roman"/>
          <w:sz w:val="24"/>
          <w:szCs w:val="24"/>
          <w:lang w:val="en-US"/>
        </w:rPr>
        <w:t>tyrosine kinase inhibitors (TKIs)</w:t>
      </w:r>
      <w:r w:rsidRPr="00B13326">
        <w:rPr>
          <w:rFonts w:cs="Times New Roman"/>
          <w:sz w:val="24"/>
          <w:szCs w:val="24"/>
          <w:lang w:val="en-US"/>
        </w:rPr>
        <w:t xml:space="preserve"> treatment or present in accelerated</w:t>
      </w:r>
      <w:r w:rsidR="00923A1B">
        <w:rPr>
          <w:rFonts w:cs="Times New Roman"/>
          <w:sz w:val="24"/>
          <w:szCs w:val="24"/>
          <w:lang w:val="en-US"/>
        </w:rPr>
        <w:t xml:space="preserve"> or</w:t>
      </w:r>
      <w:r w:rsidRPr="00B13326">
        <w:rPr>
          <w:rFonts w:cs="Times New Roman"/>
          <w:sz w:val="24"/>
          <w:szCs w:val="24"/>
          <w:lang w:val="en-US"/>
        </w:rPr>
        <w:t xml:space="preserve"> blast crisis, </w:t>
      </w:r>
      <w:r w:rsidR="005B58B3">
        <w:rPr>
          <w:rFonts w:cs="Times New Roman"/>
          <w:sz w:val="24"/>
          <w:szCs w:val="24"/>
          <w:lang w:val="en-US"/>
        </w:rPr>
        <w:t xml:space="preserve">with </w:t>
      </w:r>
      <w:r w:rsidRPr="00B13326">
        <w:rPr>
          <w:rFonts w:cs="Times New Roman"/>
          <w:sz w:val="24"/>
          <w:szCs w:val="24"/>
          <w:lang w:val="en-US"/>
        </w:rPr>
        <w:t xml:space="preserve">a decline of patients transplanted for CML. </w:t>
      </w:r>
      <w:r w:rsidR="005B58B3">
        <w:rPr>
          <w:rFonts w:cs="Times New Roman"/>
          <w:sz w:val="24"/>
          <w:szCs w:val="24"/>
          <w:lang w:val="en-US"/>
        </w:rPr>
        <w:t xml:space="preserve">This </w:t>
      </w:r>
      <w:r w:rsidR="00923A1B">
        <w:rPr>
          <w:rFonts w:cs="Times New Roman"/>
          <w:sz w:val="24"/>
          <w:szCs w:val="24"/>
          <w:lang w:val="en-US"/>
        </w:rPr>
        <w:t>may</w:t>
      </w:r>
      <w:r w:rsidRPr="00B13326">
        <w:rPr>
          <w:rFonts w:cs="Times New Roman"/>
          <w:sz w:val="24"/>
          <w:szCs w:val="24"/>
          <w:lang w:val="en-US"/>
        </w:rPr>
        <w:t xml:space="preserve"> start to increase as the prevalence of CML increases, </w:t>
      </w:r>
      <w:r w:rsidR="006D3777">
        <w:rPr>
          <w:rFonts w:cs="Times New Roman"/>
          <w:sz w:val="24"/>
          <w:szCs w:val="24"/>
          <w:lang w:val="en-US"/>
        </w:rPr>
        <w:t>and</w:t>
      </w:r>
      <w:r w:rsidRPr="00B13326">
        <w:rPr>
          <w:rFonts w:cs="Times New Roman"/>
          <w:sz w:val="24"/>
          <w:szCs w:val="24"/>
          <w:lang w:val="en-US"/>
        </w:rPr>
        <w:t xml:space="preserve"> patients resistant to TKIs will </w:t>
      </w:r>
      <w:r w:rsidR="00923A1B">
        <w:rPr>
          <w:rFonts w:cs="Times New Roman"/>
          <w:sz w:val="24"/>
          <w:szCs w:val="24"/>
          <w:lang w:val="en-US"/>
        </w:rPr>
        <w:t xml:space="preserve">likely </w:t>
      </w:r>
      <w:r w:rsidRPr="00B13326">
        <w:rPr>
          <w:rFonts w:cs="Times New Roman"/>
          <w:sz w:val="24"/>
          <w:szCs w:val="24"/>
          <w:lang w:val="en-US"/>
        </w:rPr>
        <w:t>require HSCT</w:t>
      </w:r>
      <w:r w:rsidR="00BC6FB0">
        <w:rPr>
          <w:rFonts w:cs="Times New Roman"/>
          <w:sz w:val="24"/>
          <w:szCs w:val="24"/>
          <w:lang w:val="en-US"/>
        </w:rPr>
        <w:t>.</w:t>
      </w:r>
      <w:r w:rsidR="00896465">
        <w:rPr>
          <w:rFonts w:cs="Times New Roman"/>
          <w:sz w:val="24"/>
          <w:szCs w:val="24"/>
          <w:lang w:val="en-US"/>
        </w:rPr>
        <w:t xml:space="preserve"> </w:t>
      </w:r>
      <w:r w:rsidR="00994064" w:rsidRPr="00896465">
        <w:rPr>
          <w:rFonts w:cs="Times New Roman"/>
          <w:color w:val="0070C0"/>
          <w:sz w:val="24"/>
          <w:szCs w:val="24"/>
          <w:vertAlign w:val="superscript"/>
          <w:lang w:val="en-US"/>
        </w:rPr>
        <w:t>22-24</w:t>
      </w:r>
      <w:r w:rsidR="009B2042" w:rsidRPr="00896465">
        <w:rPr>
          <w:rFonts w:cs="Times New Roman"/>
          <w:color w:val="0070C0"/>
          <w:sz w:val="24"/>
          <w:szCs w:val="24"/>
          <w:lang w:val="en-US"/>
        </w:rPr>
        <w:t xml:space="preserve"> </w:t>
      </w:r>
      <w:r w:rsidR="00AD5DC5" w:rsidRPr="00AF7936">
        <w:rPr>
          <w:rFonts w:cs="Times New Roman"/>
          <w:sz w:val="24"/>
          <w:szCs w:val="24"/>
          <w:lang w:val="en-US"/>
        </w:rPr>
        <w:t>One would expect a worse sur</w:t>
      </w:r>
      <w:r w:rsidR="0007452A">
        <w:rPr>
          <w:rFonts w:cs="Times New Roman"/>
          <w:sz w:val="24"/>
          <w:szCs w:val="24"/>
          <w:lang w:val="en-US"/>
        </w:rPr>
        <w:t>vival for these patients but our preliminary results indicate a similar</w:t>
      </w:r>
      <w:r w:rsidR="00AD5DC5" w:rsidRPr="00AF7936">
        <w:rPr>
          <w:rFonts w:cs="Times New Roman"/>
          <w:sz w:val="24"/>
          <w:szCs w:val="24"/>
          <w:lang w:val="en-US"/>
        </w:rPr>
        <w:t xml:space="preserve"> PFS for patients transplanted in the </w:t>
      </w:r>
      <w:r w:rsidR="006D3777">
        <w:rPr>
          <w:rFonts w:cs="Times New Roman"/>
          <w:sz w:val="24"/>
          <w:szCs w:val="24"/>
          <w:lang w:val="en-US"/>
        </w:rPr>
        <w:t>TKI era</w:t>
      </w:r>
      <w:r w:rsidR="00AD5DC5" w:rsidRPr="00AF7936">
        <w:rPr>
          <w:rFonts w:cs="Times New Roman"/>
          <w:sz w:val="24"/>
          <w:szCs w:val="24"/>
          <w:lang w:val="en-US"/>
        </w:rPr>
        <w:t>. These results are in keeping with recent reports</w:t>
      </w:r>
      <w:r w:rsidR="00BC6FB0">
        <w:rPr>
          <w:rFonts w:cs="Times New Roman"/>
          <w:sz w:val="24"/>
          <w:szCs w:val="24"/>
          <w:lang w:val="en-US"/>
        </w:rPr>
        <w:t>.</w:t>
      </w:r>
      <w:r w:rsidR="00896465">
        <w:rPr>
          <w:rFonts w:cs="Times New Roman"/>
          <w:sz w:val="24"/>
          <w:szCs w:val="24"/>
          <w:lang w:val="en-US"/>
        </w:rPr>
        <w:t xml:space="preserve"> </w:t>
      </w:r>
      <w:r w:rsidR="00994064" w:rsidRPr="00896465">
        <w:rPr>
          <w:rFonts w:cs="Times New Roman"/>
          <w:color w:val="0070C0"/>
          <w:sz w:val="24"/>
          <w:szCs w:val="24"/>
          <w:vertAlign w:val="superscript"/>
          <w:lang w:val="en-US"/>
        </w:rPr>
        <w:t>22-24</w:t>
      </w:r>
      <w:r w:rsidR="00AD5DC5" w:rsidRPr="00896465">
        <w:rPr>
          <w:rFonts w:cs="Times New Roman"/>
          <w:color w:val="0070C0"/>
          <w:sz w:val="24"/>
          <w:szCs w:val="24"/>
          <w:lang w:val="en-US"/>
        </w:rPr>
        <w:t xml:space="preserve"> </w:t>
      </w:r>
      <w:r w:rsidR="00AB7504" w:rsidRPr="00B13326">
        <w:rPr>
          <w:rFonts w:cs="Times New Roman"/>
          <w:sz w:val="24"/>
          <w:szCs w:val="24"/>
          <w:lang w:val="en-US"/>
        </w:rPr>
        <w:t>W</w:t>
      </w:r>
      <w:r w:rsidRPr="00B13326">
        <w:rPr>
          <w:rFonts w:cs="Times New Roman"/>
          <w:sz w:val="24"/>
          <w:szCs w:val="24"/>
          <w:lang w:val="en-US"/>
        </w:rPr>
        <w:t>e have also</w:t>
      </w:r>
      <w:r w:rsidR="0007452A">
        <w:rPr>
          <w:rFonts w:cs="Times New Roman"/>
          <w:sz w:val="24"/>
          <w:szCs w:val="24"/>
          <w:lang w:val="en-US"/>
        </w:rPr>
        <w:t xml:space="preserve"> seen a reduction in the number</w:t>
      </w:r>
      <w:r w:rsidRPr="00B13326">
        <w:rPr>
          <w:rFonts w:cs="Times New Roman"/>
          <w:sz w:val="24"/>
          <w:szCs w:val="24"/>
          <w:lang w:val="en-US"/>
        </w:rPr>
        <w:t xml:space="preserve"> of patients transplanted for ALL, particularly children, reflecting the improvement in the</w:t>
      </w:r>
      <w:r w:rsidR="00B94976">
        <w:rPr>
          <w:rFonts w:cs="Times New Roman"/>
          <w:sz w:val="24"/>
          <w:szCs w:val="24"/>
          <w:lang w:val="en-US"/>
        </w:rPr>
        <w:t xml:space="preserve"> modern</w:t>
      </w:r>
      <w:r w:rsidRPr="00B13326">
        <w:rPr>
          <w:rFonts w:cs="Times New Roman"/>
          <w:sz w:val="24"/>
          <w:szCs w:val="24"/>
          <w:lang w:val="en-US"/>
        </w:rPr>
        <w:t xml:space="preserve"> chemotherapy protocols and the introduction of the minimal residual disease concept, whose negativity has become the target of the more recent protocols</w:t>
      </w:r>
      <w:r w:rsidR="00BC6FB0">
        <w:rPr>
          <w:rFonts w:cs="Times New Roman"/>
          <w:sz w:val="24"/>
          <w:szCs w:val="24"/>
          <w:lang w:val="en-US"/>
        </w:rPr>
        <w:t>.</w:t>
      </w:r>
      <w:r w:rsidR="00896465">
        <w:rPr>
          <w:rFonts w:cs="Times New Roman"/>
          <w:sz w:val="24"/>
          <w:szCs w:val="24"/>
          <w:lang w:val="en-US"/>
        </w:rPr>
        <w:t xml:space="preserve"> </w:t>
      </w:r>
      <w:r w:rsidR="00994064" w:rsidRPr="00896465">
        <w:rPr>
          <w:rFonts w:cs="Times New Roman"/>
          <w:color w:val="0070C0"/>
          <w:sz w:val="24"/>
          <w:szCs w:val="24"/>
          <w:vertAlign w:val="superscript"/>
          <w:lang w:val="en-US"/>
        </w:rPr>
        <w:t>25</w:t>
      </w:r>
      <w:r w:rsidR="00B94976">
        <w:rPr>
          <w:rFonts w:cs="Times New Roman"/>
          <w:sz w:val="24"/>
          <w:szCs w:val="24"/>
          <w:lang w:val="en-US"/>
        </w:rPr>
        <w:t xml:space="preserve"> </w:t>
      </w:r>
      <w:r w:rsidRPr="00B13326">
        <w:rPr>
          <w:rFonts w:cs="Times New Roman"/>
          <w:sz w:val="24"/>
          <w:szCs w:val="24"/>
          <w:lang w:val="en-US"/>
        </w:rPr>
        <w:t xml:space="preserve"> Conversely, the number of transplants for AML patients rose significantly and this is probably multifactorial, namely better supportive care during induction chemotherapy allowing for more patients being brought to transplant, better definition of </w:t>
      </w:r>
      <w:r w:rsidRPr="00B13326">
        <w:rPr>
          <w:rFonts w:cs="Times New Roman"/>
          <w:sz w:val="24"/>
          <w:szCs w:val="24"/>
          <w:lang w:val="en-US"/>
        </w:rPr>
        <w:lastRenderedPageBreak/>
        <w:t>patients who may benefit from a transplant, acceptance of older patients in our program and the availability of better well matched unrelated donors. Although the numbers are small we also saw an increase in the numbers of patients transplanted for lymphomas, from 6% of all lymphoid malignancies in the first decade to 41% in the third decade. This is in line with the recent trend observed in the most recent EBMT survey analysis</w:t>
      </w:r>
      <w:r w:rsidR="001109B8">
        <w:rPr>
          <w:rFonts w:cs="Times New Roman"/>
          <w:sz w:val="24"/>
          <w:szCs w:val="24"/>
          <w:lang w:val="en-US"/>
        </w:rPr>
        <w:t>.</w:t>
      </w:r>
      <w:r w:rsidR="00896465">
        <w:rPr>
          <w:rFonts w:cs="Times New Roman"/>
          <w:sz w:val="24"/>
          <w:szCs w:val="24"/>
          <w:lang w:val="en-US"/>
        </w:rPr>
        <w:t xml:space="preserve"> </w:t>
      </w:r>
      <w:r w:rsidR="00994064" w:rsidRPr="00896465">
        <w:rPr>
          <w:rFonts w:cs="Times New Roman"/>
          <w:color w:val="0070C0"/>
          <w:sz w:val="24"/>
          <w:szCs w:val="24"/>
          <w:vertAlign w:val="superscript"/>
          <w:lang w:val="en-US"/>
        </w:rPr>
        <w:t>26</w:t>
      </w:r>
      <w:r w:rsidRPr="00B13326">
        <w:rPr>
          <w:rFonts w:cs="Times New Roman"/>
          <w:sz w:val="24"/>
          <w:szCs w:val="24"/>
          <w:lang w:val="en-US"/>
        </w:rPr>
        <w:t xml:space="preserve"> </w:t>
      </w:r>
    </w:p>
    <w:p w14:paraId="4231875E" w14:textId="24B86694" w:rsidR="00A52D27" w:rsidRPr="00B13326" w:rsidRDefault="00431A8B" w:rsidP="00A14B97">
      <w:pPr>
        <w:spacing w:beforeLines="80" w:before="192" w:afterLines="80" w:after="192" w:line="480" w:lineRule="auto"/>
        <w:jc w:val="both"/>
        <w:rPr>
          <w:rFonts w:cs="Times New Roman"/>
          <w:sz w:val="24"/>
          <w:szCs w:val="24"/>
          <w:lang w:val="en-US"/>
        </w:rPr>
      </w:pPr>
      <w:r w:rsidRPr="00B13326">
        <w:rPr>
          <w:rFonts w:cs="Times New Roman"/>
          <w:sz w:val="24"/>
          <w:szCs w:val="24"/>
          <w:lang w:val="en-US"/>
        </w:rPr>
        <w:t>Even though t</w:t>
      </w:r>
      <w:r w:rsidR="00412ED7" w:rsidRPr="00B13326">
        <w:rPr>
          <w:rFonts w:cs="Times New Roman"/>
          <w:sz w:val="24"/>
          <w:szCs w:val="24"/>
          <w:lang w:val="en-US"/>
        </w:rPr>
        <w:t>he number of patients given</w:t>
      </w:r>
      <w:r w:rsidRPr="00B13326">
        <w:rPr>
          <w:rFonts w:cs="Times New Roman"/>
          <w:sz w:val="24"/>
          <w:szCs w:val="24"/>
          <w:lang w:val="en-US"/>
        </w:rPr>
        <w:t xml:space="preserve"> a</w:t>
      </w:r>
      <w:r w:rsidR="00412ED7" w:rsidRPr="00B13326">
        <w:rPr>
          <w:rFonts w:cs="Times New Roman"/>
          <w:sz w:val="24"/>
          <w:szCs w:val="24"/>
          <w:lang w:val="en-US"/>
        </w:rPr>
        <w:t xml:space="preserve"> </w:t>
      </w:r>
      <w:r w:rsidR="00923A1B">
        <w:rPr>
          <w:rFonts w:cs="Times New Roman"/>
          <w:sz w:val="24"/>
          <w:szCs w:val="24"/>
          <w:lang w:val="en-US"/>
        </w:rPr>
        <w:t xml:space="preserve">MAC </w:t>
      </w:r>
      <w:r w:rsidR="00412ED7" w:rsidRPr="00B13326">
        <w:rPr>
          <w:rFonts w:cs="Times New Roman"/>
          <w:sz w:val="24"/>
          <w:szCs w:val="24"/>
          <w:lang w:val="en-US"/>
        </w:rPr>
        <w:t xml:space="preserve">conditioning </w:t>
      </w:r>
      <w:r w:rsidR="00A12A82" w:rsidRPr="00B13326">
        <w:rPr>
          <w:rFonts w:cs="Times New Roman"/>
          <w:sz w:val="24"/>
          <w:szCs w:val="24"/>
          <w:lang w:val="en-US"/>
        </w:rPr>
        <w:t>was significantly reduced</w:t>
      </w:r>
      <w:r w:rsidR="00412ED7" w:rsidRPr="00B13326">
        <w:rPr>
          <w:rFonts w:cs="Times New Roman"/>
          <w:sz w:val="24"/>
          <w:szCs w:val="24"/>
          <w:lang w:val="en-US"/>
        </w:rPr>
        <w:t xml:space="preserve"> over time</w:t>
      </w:r>
      <w:r w:rsidR="004A7255" w:rsidRPr="00B13326">
        <w:rPr>
          <w:rFonts w:cs="Times New Roman"/>
          <w:sz w:val="24"/>
          <w:szCs w:val="24"/>
          <w:lang w:val="en-US"/>
        </w:rPr>
        <w:t xml:space="preserve"> (</w:t>
      </w:r>
      <w:r w:rsidR="00C73EB2" w:rsidRPr="00B13326">
        <w:rPr>
          <w:rFonts w:cs="Times New Roman"/>
          <w:sz w:val="24"/>
          <w:szCs w:val="24"/>
          <w:lang w:val="en-US"/>
        </w:rPr>
        <w:t>p&lt;0.001</w:t>
      </w:r>
      <w:r w:rsidR="004A7255" w:rsidRPr="00B13326">
        <w:rPr>
          <w:rFonts w:cs="Times New Roman"/>
          <w:sz w:val="24"/>
          <w:szCs w:val="24"/>
          <w:lang w:val="en-US"/>
        </w:rPr>
        <w:t>)</w:t>
      </w:r>
      <w:r w:rsidR="00F15E74" w:rsidRPr="00B13326">
        <w:rPr>
          <w:rFonts w:cs="Times New Roman"/>
          <w:sz w:val="24"/>
          <w:szCs w:val="24"/>
          <w:lang w:val="en-US"/>
        </w:rPr>
        <w:t>,</w:t>
      </w:r>
      <w:r w:rsidR="008B30CA" w:rsidRPr="00B13326">
        <w:rPr>
          <w:rFonts w:cs="Times New Roman"/>
          <w:sz w:val="24"/>
          <w:szCs w:val="24"/>
          <w:lang w:val="en-US"/>
        </w:rPr>
        <w:t xml:space="preserve"> with a consequent increase in</w:t>
      </w:r>
      <w:r w:rsidR="001D5454" w:rsidRPr="00B13326">
        <w:rPr>
          <w:rFonts w:cs="Times New Roman"/>
          <w:sz w:val="24"/>
          <w:szCs w:val="24"/>
          <w:lang w:val="en-US"/>
        </w:rPr>
        <w:t xml:space="preserve"> patients given a</w:t>
      </w:r>
      <w:r w:rsidR="008B30CA" w:rsidRPr="00B13326">
        <w:rPr>
          <w:rFonts w:cs="Times New Roman"/>
          <w:sz w:val="24"/>
          <w:szCs w:val="24"/>
          <w:lang w:val="en-US"/>
        </w:rPr>
        <w:t xml:space="preserve"> RIC conditioning</w:t>
      </w:r>
      <w:r w:rsidR="00D11A76" w:rsidRPr="00B13326">
        <w:rPr>
          <w:rFonts w:cs="Times New Roman"/>
          <w:sz w:val="24"/>
          <w:szCs w:val="24"/>
          <w:lang w:val="en-US"/>
        </w:rPr>
        <w:t>,</w:t>
      </w:r>
      <w:r w:rsidR="00F15E74" w:rsidRPr="00B13326">
        <w:rPr>
          <w:rFonts w:cs="Times New Roman"/>
          <w:sz w:val="24"/>
          <w:szCs w:val="24"/>
          <w:lang w:val="en-US"/>
        </w:rPr>
        <w:t xml:space="preserve"> this </w:t>
      </w:r>
      <w:r w:rsidRPr="00B13326">
        <w:rPr>
          <w:rFonts w:cs="Times New Roman"/>
          <w:sz w:val="24"/>
          <w:szCs w:val="24"/>
          <w:lang w:val="en-US"/>
        </w:rPr>
        <w:t xml:space="preserve">was </w:t>
      </w:r>
      <w:r w:rsidR="004A7255" w:rsidRPr="00B13326">
        <w:rPr>
          <w:rFonts w:cs="Times New Roman"/>
          <w:sz w:val="24"/>
          <w:szCs w:val="24"/>
          <w:lang w:val="en-US"/>
        </w:rPr>
        <w:t>only</w:t>
      </w:r>
      <w:r w:rsidRPr="00B13326">
        <w:rPr>
          <w:rFonts w:cs="Times New Roman"/>
          <w:sz w:val="24"/>
          <w:szCs w:val="24"/>
          <w:lang w:val="en-US"/>
        </w:rPr>
        <w:t xml:space="preserve"> reflected in a </w:t>
      </w:r>
      <w:r w:rsidR="004A7255" w:rsidRPr="00B13326">
        <w:rPr>
          <w:rFonts w:cs="Times New Roman"/>
          <w:sz w:val="24"/>
          <w:szCs w:val="24"/>
          <w:lang w:val="en-US"/>
        </w:rPr>
        <w:t>small, non-significant increase in the</w:t>
      </w:r>
      <w:r w:rsidRPr="00B13326">
        <w:rPr>
          <w:rFonts w:cs="Times New Roman"/>
          <w:sz w:val="24"/>
          <w:szCs w:val="24"/>
          <w:lang w:val="en-US"/>
        </w:rPr>
        <w:t xml:space="preserve"> relapse rate</w:t>
      </w:r>
      <w:r w:rsidR="00A12A82" w:rsidRPr="00B13326">
        <w:rPr>
          <w:rFonts w:cs="Times New Roman"/>
          <w:sz w:val="24"/>
          <w:szCs w:val="24"/>
          <w:lang w:val="en-US"/>
        </w:rPr>
        <w:t xml:space="preserve"> of hematologic malignancies</w:t>
      </w:r>
      <w:r w:rsidRPr="00B13326">
        <w:rPr>
          <w:rFonts w:cs="Times New Roman"/>
          <w:sz w:val="24"/>
          <w:szCs w:val="24"/>
          <w:lang w:val="en-US"/>
        </w:rPr>
        <w:t xml:space="preserve"> over the study period</w:t>
      </w:r>
      <w:r w:rsidR="00412ED7" w:rsidRPr="00B13326">
        <w:rPr>
          <w:rFonts w:cs="Times New Roman"/>
          <w:sz w:val="24"/>
          <w:szCs w:val="24"/>
          <w:lang w:val="en-US"/>
        </w:rPr>
        <w:t xml:space="preserve">. </w:t>
      </w:r>
      <w:r w:rsidR="000B5AD3" w:rsidRPr="00B13326">
        <w:rPr>
          <w:rFonts w:cs="Times New Roman"/>
          <w:sz w:val="24"/>
          <w:szCs w:val="24"/>
          <w:lang w:val="en-US"/>
        </w:rPr>
        <w:t xml:space="preserve">These results </w:t>
      </w:r>
      <w:r w:rsidR="00D11A76" w:rsidRPr="00B13326">
        <w:rPr>
          <w:rFonts w:cs="Times New Roman"/>
          <w:sz w:val="24"/>
          <w:szCs w:val="24"/>
          <w:lang w:val="en-US"/>
        </w:rPr>
        <w:t>are not in agreement with previous reports but different characteristics among the patients treated</w:t>
      </w:r>
      <w:r w:rsidR="001D5454" w:rsidRPr="00B13326">
        <w:rPr>
          <w:rFonts w:cs="Times New Roman"/>
          <w:sz w:val="24"/>
          <w:szCs w:val="24"/>
          <w:lang w:val="en-US"/>
        </w:rPr>
        <w:t xml:space="preserve"> in different studies</w:t>
      </w:r>
      <w:r w:rsidR="00D11A76" w:rsidRPr="00B13326">
        <w:rPr>
          <w:rFonts w:cs="Times New Roman"/>
          <w:sz w:val="24"/>
          <w:szCs w:val="24"/>
          <w:lang w:val="en-US"/>
        </w:rPr>
        <w:t xml:space="preserve"> may explain different outcomes</w:t>
      </w:r>
      <w:r w:rsidR="001109B8">
        <w:rPr>
          <w:rFonts w:cs="Times New Roman"/>
          <w:sz w:val="24"/>
          <w:szCs w:val="24"/>
          <w:lang w:val="en-US"/>
        </w:rPr>
        <w:t>.</w:t>
      </w:r>
      <w:r w:rsidR="00896465">
        <w:rPr>
          <w:rFonts w:cs="Times New Roman"/>
          <w:sz w:val="24"/>
          <w:szCs w:val="24"/>
          <w:lang w:val="en-US"/>
        </w:rPr>
        <w:t xml:space="preserve"> </w:t>
      </w:r>
      <w:r w:rsidR="00994064" w:rsidRPr="00896465">
        <w:rPr>
          <w:rFonts w:cs="Times New Roman"/>
          <w:color w:val="0070C0"/>
          <w:sz w:val="24"/>
          <w:szCs w:val="24"/>
          <w:vertAlign w:val="superscript"/>
          <w:lang w:val="en-US"/>
        </w:rPr>
        <w:t>8</w:t>
      </w:r>
      <w:r w:rsidR="00D2774E" w:rsidRPr="00B13326">
        <w:rPr>
          <w:rFonts w:cs="Times New Roman"/>
          <w:sz w:val="24"/>
          <w:szCs w:val="24"/>
          <w:lang w:val="en-US"/>
        </w:rPr>
        <w:t xml:space="preserve"> </w:t>
      </w:r>
    </w:p>
    <w:p w14:paraId="0123069B" w14:textId="0FD6DCCE" w:rsidR="006F4BA0" w:rsidRPr="00B13326" w:rsidRDefault="00F11F00" w:rsidP="00A14B97">
      <w:pPr>
        <w:spacing w:beforeLines="80" w:before="192" w:afterLines="80" w:after="192" w:line="480" w:lineRule="auto"/>
        <w:jc w:val="both"/>
        <w:rPr>
          <w:rFonts w:cs="Times New Roman"/>
          <w:sz w:val="24"/>
          <w:szCs w:val="24"/>
          <w:lang w:val="en-US"/>
        </w:rPr>
      </w:pPr>
      <w:r w:rsidRPr="00B13326">
        <w:rPr>
          <w:rFonts w:cs="Times New Roman"/>
          <w:sz w:val="24"/>
          <w:szCs w:val="24"/>
          <w:lang w:val="en-US"/>
        </w:rPr>
        <w:t>The causes of death varied in the study period. In the first decade</w:t>
      </w:r>
      <w:r w:rsidR="00F50312">
        <w:rPr>
          <w:rFonts w:cs="Times New Roman"/>
          <w:sz w:val="24"/>
          <w:szCs w:val="24"/>
          <w:lang w:val="en-US"/>
        </w:rPr>
        <w:t xml:space="preserve">, </w:t>
      </w:r>
      <w:r w:rsidRPr="00B13326">
        <w:rPr>
          <w:rFonts w:cs="Times New Roman"/>
          <w:sz w:val="24"/>
          <w:szCs w:val="24"/>
          <w:lang w:val="en-US"/>
        </w:rPr>
        <w:t>disease relapse and HSCT related causes accounted respectively for 31% and 69% of the deaths whereas in the last decade each of these causes was responsible for 5</w:t>
      </w:r>
      <w:r w:rsidR="0097556F">
        <w:rPr>
          <w:rFonts w:cs="Times New Roman"/>
          <w:sz w:val="24"/>
          <w:szCs w:val="24"/>
          <w:lang w:val="en-US"/>
        </w:rPr>
        <w:t>1</w:t>
      </w:r>
      <w:r w:rsidRPr="00B13326">
        <w:rPr>
          <w:rFonts w:cs="Times New Roman"/>
          <w:sz w:val="24"/>
          <w:szCs w:val="24"/>
          <w:lang w:val="en-US"/>
        </w:rPr>
        <w:t xml:space="preserve">% </w:t>
      </w:r>
      <w:r w:rsidR="0097556F">
        <w:rPr>
          <w:rFonts w:cs="Times New Roman"/>
          <w:sz w:val="24"/>
          <w:szCs w:val="24"/>
          <w:lang w:val="en-US"/>
        </w:rPr>
        <w:t xml:space="preserve">and 49% </w:t>
      </w:r>
      <w:r w:rsidRPr="00B13326">
        <w:rPr>
          <w:rFonts w:cs="Times New Roman"/>
          <w:sz w:val="24"/>
          <w:szCs w:val="24"/>
          <w:lang w:val="en-US"/>
        </w:rPr>
        <w:t>of the deaths.</w:t>
      </w:r>
    </w:p>
    <w:p w14:paraId="37C1198A" w14:textId="6D76520F" w:rsidR="00D2774E" w:rsidRPr="00B13326" w:rsidRDefault="0000437A" w:rsidP="00A14B97">
      <w:pPr>
        <w:spacing w:beforeLines="80" w:before="192" w:afterLines="80" w:after="192" w:line="480" w:lineRule="auto"/>
        <w:jc w:val="both"/>
        <w:rPr>
          <w:rFonts w:cs="Times New Roman"/>
          <w:sz w:val="24"/>
          <w:szCs w:val="24"/>
          <w:lang w:val="en-US"/>
        </w:rPr>
      </w:pPr>
      <w:r w:rsidRPr="001109B8">
        <w:rPr>
          <w:rFonts w:cs="Times New Roman"/>
          <w:sz w:val="24"/>
          <w:szCs w:val="24"/>
          <w:lang w:val="en-US"/>
        </w:rPr>
        <w:t xml:space="preserve">The </w:t>
      </w:r>
      <w:r w:rsidR="006F4BA0" w:rsidRPr="001109B8">
        <w:rPr>
          <w:rFonts w:cs="Times New Roman"/>
          <w:sz w:val="24"/>
          <w:szCs w:val="24"/>
          <w:lang w:val="en-US"/>
        </w:rPr>
        <w:t xml:space="preserve">3-year OS </w:t>
      </w:r>
      <w:r w:rsidRPr="001109B8">
        <w:rPr>
          <w:rFonts w:cs="Times New Roman"/>
          <w:sz w:val="24"/>
          <w:szCs w:val="24"/>
          <w:lang w:val="en-US"/>
        </w:rPr>
        <w:t>remained stable</w:t>
      </w:r>
      <w:r w:rsidR="006F4BA0" w:rsidRPr="001109B8">
        <w:rPr>
          <w:rFonts w:cs="Times New Roman"/>
          <w:sz w:val="24"/>
          <w:szCs w:val="24"/>
          <w:lang w:val="en-US"/>
        </w:rPr>
        <w:t xml:space="preserve"> over the study period</w:t>
      </w:r>
      <w:r w:rsidR="00923A1B">
        <w:rPr>
          <w:rFonts w:cs="Times New Roman"/>
          <w:sz w:val="24"/>
          <w:szCs w:val="24"/>
          <w:lang w:val="en-US"/>
        </w:rPr>
        <w:t>. H</w:t>
      </w:r>
      <w:r w:rsidR="006F4BA0" w:rsidRPr="00B13326">
        <w:rPr>
          <w:rFonts w:cs="Times New Roman"/>
          <w:sz w:val="24"/>
          <w:szCs w:val="24"/>
          <w:lang w:val="en-US"/>
        </w:rPr>
        <w:t>owever the characteristics of the population</w:t>
      </w:r>
      <w:r w:rsidR="000243FA" w:rsidRPr="00B13326">
        <w:rPr>
          <w:rFonts w:cs="Times New Roman"/>
          <w:sz w:val="24"/>
          <w:szCs w:val="24"/>
          <w:lang w:val="en-US"/>
        </w:rPr>
        <w:t xml:space="preserve"> treated</w:t>
      </w:r>
      <w:r w:rsidR="006F4BA0" w:rsidRPr="00B13326">
        <w:rPr>
          <w:rFonts w:cs="Times New Roman"/>
          <w:sz w:val="24"/>
          <w:szCs w:val="24"/>
          <w:lang w:val="en-US"/>
        </w:rPr>
        <w:t xml:space="preserve"> changed, with </w:t>
      </w:r>
      <w:r w:rsidR="006F4BA0" w:rsidRPr="00B13326">
        <w:rPr>
          <w:rFonts w:cs="Times New Roman"/>
          <w:sz w:val="24"/>
          <w:szCs w:val="24"/>
          <w:lang w:val="en-US"/>
        </w:rPr>
        <w:lastRenderedPageBreak/>
        <w:t xml:space="preserve">significantly more unrelated transplants and older patients being </w:t>
      </w:r>
      <w:r w:rsidR="00400C9F" w:rsidRPr="00B13326">
        <w:rPr>
          <w:rFonts w:cs="Times New Roman"/>
          <w:sz w:val="24"/>
          <w:szCs w:val="24"/>
          <w:lang w:val="en-US"/>
        </w:rPr>
        <w:t>treated</w:t>
      </w:r>
      <w:r w:rsidR="002A6BAF" w:rsidRPr="00B13326">
        <w:rPr>
          <w:rFonts w:cs="Times New Roman"/>
          <w:sz w:val="24"/>
          <w:szCs w:val="24"/>
          <w:lang w:val="en-US"/>
        </w:rPr>
        <w:t>. Still</w:t>
      </w:r>
      <w:r w:rsidR="00400C9F" w:rsidRPr="00B13326">
        <w:rPr>
          <w:rFonts w:cs="Times New Roman"/>
          <w:sz w:val="24"/>
          <w:szCs w:val="24"/>
          <w:lang w:val="en-US"/>
        </w:rPr>
        <w:t>,</w:t>
      </w:r>
      <w:r w:rsidR="002A6BAF" w:rsidRPr="00B13326">
        <w:rPr>
          <w:rFonts w:cs="Times New Roman"/>
          <w:sz w:val="24"/>
          <w:szCs w:val="24"/>
          <w:lang w:val="en-US"/>
        </w:rPr>
        <w:t xml:space="preserve"> the</w:t>
      </w:r>
      <w:r w:rsidR="00F11F00" w:rsidRPr="00B13326">
        <w:rPr>
          <w:rFonts w:cs="Times New Roman"/>
          <w:sz w:val="24"/>
          <w:szCs w:val="24"/>
          <w:lang w:val="en-US"/>
        </w:rPr>
        <w:t xml:space="preserve"> cumulative incidence of </w:t>
      </w:r>
      <w:r w:rsidR="001109B8" w:rsidRPr="001109B8">
        <w:rPr>
          <w:rFonts w:cs="Times New Roman"/>
          <w:color w:val="00B0F0"/>
          <w:sz w:val="24"/>
          <w:szCs w:val="24"/>
          <w:lang w:val="en-US"/>
        </w:rPr>
        <w:t>GvHD</w:t>
      </w:r>
      <w:r w:rsidR="00F11F00" w:rsidRPr="00B13326">
        <w:rPr>
          <w:rFonts w:cs="Times New Roman"/>
          <w:sz w:val="24"/>
          <w:szCs w:val="24"/>
          <w:lang w:val="en-US"/>
        </w:rPr>
        <w:t xml:space="preserve">-related mortality </w:t>
      </w:r>
      <w:r w:rsidR="000243FA" w:rsidRPr="00B13326">
        <w:rPr>
          <w:rFonts w:cs="Times New Roman"/>
          <w:sz w:val="24"/>
          <w:szCs w:val="24"/>
          <w:lang w:val="en-US"/>
        </w:rPr>
        <w:t>was</w:t>
      </w:r>
      <w:r w:rsidR="00400C9F" w:rsidRPr="00B13326">
        <w:rPr>
          <w:rFonts w:cs="Times New Roman"/>
          <w:sz w:val="24"/>
          <w:szCs w:val="24"/>
          <w:lang w:val="en-US"/>
        </w:rPr>
        <w:t xml:space="preserve"> not</w:t>
      </w:r>
      <w:r w:rsidR="00F11F00" w:rsidRPr="00B13326">
        <w:rPr>
          <w:rFonts w:cs="Times New Roman"/>
          <w:sz w:val="24"/>
          <w:szCs w:val="24"/>
          <w:lang w:val="en-US"/>
        </w:rPr>
        <w:t xml:space="preserve"> significantly differe</w:t>
      </w:r>
      <w:r w:rsidR="000243FA" w:rsidRPr="00B13326">
        <w:rPr>
          <w:rFonts w:cs="Times New Roman"/>
          <w:sz w:val="24"/>
          <w:szCs w:val="24"/>
          <w:lang w:val="en-US"/>
        </w:rPr>
        <w:t>nt in the 3 decades;</w:t>
      </w:r>
      <w:r w:rsidR="00F11F00" w:rsidRPr="00B13326">
        <w:rPr>
          <w:rFonts w:cs="Times New Roman"/>
          <w:sz w:val="24"/>
          <w:szCs w:val="24"/>
          <w:lang w:val="en-US"/>
        </w:rPr>
        <w:t xml:space="preserve"> </w:t>
      </w:r>
      <w:r w:rsidR="00400C9F" w:rsidRPr="00B13326">
        <w:rPr>
          <w:rFonts w:cs="Times New Roman"/>
          <w:sz w:val="24"/>
          <w:szCs w:val="24"/>
          <w:lang w:val="en-US"/>
        </w:rPr>
        <w:t>however</w:t>
      </w:r>
      <w:r w:rsidR="00923A1B">
        <w:rPr>
          <w:rFonts w:cs="Times New Roman"/>
          <w:sz w:val="24"/>
          <w:szCs w:val="24"/>
          <w:lang w:val="en-US"/>
        </w:rPr>
        <w:t xml:space="preserve"> the</w:t>
      </w:r>
      <w:r w:rsidR="00F11F00" w:rsidRPr="00B13326">
        <w:rPr>
          <w:rFonts w:cs="Times New Roman"/>
          <w:sz w:val="24"/>
          <w:szCs w:val="24"/>
          <w:lang w:val="en-US"/>
        </w:rPr>
        <w:t xml:space="preserve"> NRM due to other </w:t>
      </w:r>
      <w:r w:rsidR="00400C9F" w:rsidRPr="00B13326">
        <w:rPr>
          <w:rFonts w:cs="Times New Roman"/>
          <w:sz w:val="24"/>
          <w:szCs w:val="24"/>
          <w:lang w:val="en-US"/>
        </w:rPr>
        <w:t xml:space="preserve">transplant-related </w:t>
      </w:r>
      <w:r w:rsidR="00F11F00" w:rsidRPr="00B13326">
        <w:rPr>
          <w:rFonts w:cs="Times New Roman"/>
          <w:sz w:val="24"/>
          <w:szCs w:val="24"/>
          <w:lang w:val="en-US"/>
        </w:rPr>
        <w:t xml:space="preserve">complications </w:t>
      </w:r>
      <w:r w:rsidR="00127FBB" w:rsidRPr="00B13326">
        <w:rPr>
          <w:rFonts w:cs="Times New Roman"/>
          <w:sz w:val="24"/>
          <w:szCs w:val="24"/>
          <w:lang w:val="en-US"/>
        </w:rPr>
        <w:t>decreased</w:t>
      </w:r>
      <w:r w:rsidR="00F11F00" w:rsidRPr="00B13326">
        <w:rPr>
          <w:rFonts w:cs="Times New Roman"/>
          <w:sz w:val="24"/>
          <w:szCs w:val="24"/>
          <w:lang w:val="en-US"/>
        </w:rPr>
        <w:t xml:space="preserve"> significantly over time</w:t>
      </w:r>
      <w:r w:rsidR="00127FBB" w:rsidRPr="00B13326">
        <w:rPr>
          <w:rFonts w:cs="Times New Roman"/>
          <w:sz w:val="24"/>
          <w:szCs w:val="24"/>
          <w:lang w:val="en-US"/>
        </w:rPr>
        <w:t xml:space="preserve"> even though older patients, more advanced disease stages and an increased number of unrelated transplants were performed.</w:t>
      </w:r>
      <w:r w:rsidR="00D2774E" w:rsidRPr="00B13326">
        <w:rPr>
          <w:rFonts w:cs="Times New Roman"/>
          <w:sz w:val="24"/>
          <w:szCs w:val="24"/>
          <w:lang w:val="en-US"/>
        </w:rPr>
        <w:t xml:space="preserve"> </w:t>
      </w:r>
    </w:p>
    <w:p w14:paraId="05FD8394" w14:textId="7822AAB3" w:rsidR="00F11F00" w:rsidRPr="005D42A8" w:rsidRDefault="00D2774E" w:rsidP="00A14B97">
      <w:pPr>
        <w:spacing w:beforeLines="80" w:before="192" w:afterLines="80" w:after="192" w:line="480" w:lineRule="auto"/>
        <w:jc w:val="both"/>
        <w:rPr>
          <w:rFonts w:cs="Times New Roman"/>
          <w:color w:val="FF0000"/>
          <w:sz w:val="24"/>
          <w:szCs w:val="24"/>
          <w:lang w:val="en-US"/>
        </w:rPr>
      </w:pPr>
      <w:r w:rsidRPr="00B13326">
        <w:rPr>
          <w:rFonts w:cs="Times New Roman"/>
          <w:sz w:val="24"/>
          <w:szCs w:val="24"/>
          <w:lang w:val="en-US"/>
        </w:rPr>
        <w:t>Reduction in NRM has been a consistent finding in recently published studies from several centers</w:t>
      </w:r>
      <w:r w:rsidR="00400C9F" w:rsidRPr="00B13326">
        <w:rPr>
          <w:rFonts w:cs="Times New Roman"/>
          <w:sz w:val="24"/>
          <w:szCs w:val="24"/>
          <w:lang w:val="en-US"/>
        </w:rPr>
        <w:t xml:space="preserve"> that</w:t>
      </w:r>
      <w:r w:rsidRPr="00B13326">
        <w:rPr>
          <w:rFonts w:cs="Times New Roman"/>
          <w:sz w:val="24"/>
          <w:szCs w:val="24"/>
          <w:lang w:val="en-US"/>
        </w:rPr>
        <w:t xml:space="preserve"> retrospectively compar</w:t>
      </w:r>
      <w:r w:rsidR="00400C9F" w:rsidRPr="00B13326">
        <w:rPr>
          <w:rFonts w:cs="Times New Roman"/>
          <w:sz w:val="24"/>
          <w:szCs w:val="24"/>
          <w:lang w:val="en-US"/>
        </w:rPr>
        <w:t>ed</w:t>
      </w:r>
      <w:r w:rsidRPr="00B13326">
        <w:rPr>
          <w:rFonts w:cs="Times New Roman"/>
          <w:sz w:val="24"/>
          <w:szCs w:val="24"/>
          <w:lang w:val="en-US"/>
        </w:rPr>
        <w:t xml:space="preserve"> results obtained over chronologically different periods of allogeneic HSCT activity</w:t>
      </w:r>
      <w:r w:rsidR="00400C9F" w:rsidRPr="00B13326">
        <w:rPr>
          <w:rFonts w:cs="Times New Roman"/>
          <w:sz w:val="24"/>
          <w:szCs w:val="24"/>
          <w:lang w:val="en-US"/>
        </w:rPr>
        <w:t>. O</w:t>
      </w:r>
      <w:r w:rsidRPr="00B13326">
        <w:rPr>
          <w:rFonts w:cs="Times New Roman"/>
          <w:sz w:val="24"/>
          <w:szCs w:val="24"/>
          <w:lang w:val="en-US"/>
        </w:rPr>
        <w:t>ur results are concordant with these reports</w:t>
      </w:r>
      <w:r w:rsidR="001109B8">
        <w:rPr>
          <w:rFonts w:cs="Times New Roman"/>
          <w:sz w:val="24"/>
          <w:szCs w:val="24"/>
          <w:lang w:val="en-US"/>
        </w:rPr>
        <w:t>.</w:t>
      </w:r>
      <w:r w:rsidR="00896465">
        <w:rPr>
          <w:rFonts w:cs="Times New Roman"/>
          <w:sz w:val="24"/>
          <w:szCs w:val="24"/>
          <w:lang w:val="en-US"/>
        </w:rPr>
        <w:t xml:space="preserve"> </w:t>
      </w:r>
      <w:r w:rsidR="00994064" w:rsidRPr="00896465">
        <w:rPr>
          <w:rFonts w:cs="Times New Roman"/>
          <w:color w:val="0070C0"/>
          <w:sz w:val="24"/>
          <w:szCs w:val="24"/>
          <w:vertAlign w:val="superscript"/>
          <w:lang w:val="en-US"/>
        </w:rPr>
        <w:t>27-33</w:t>
      </w:r>
      <w:r w:rsidRPr="00896465">
        <w:rPr>
          <w:rFonts w:cs="Times New Roman"/>
          <w:color w:val="0070C0"/>
          <w:sz w:val="24"/>
          <w:szCs w:val="24"/>
          <w:lang w:val="en-US"/>
        </w:rPr>
        <w:t xml:space="preserve"> </w:t>
      </w:r>
    </w:p>
    <w:p w14:paraId="7E2E9897" w14:textId="72708493" w:rsidR="00B13326" w:rsidRDefault="001445F1" w:rsidP="00A14B97">
      <w:pPr>
        <w:spacing w:beforeLines="80" w:before="192" w:afterLines="80" w:after="192" w:line="480" w:lineRule="auto"/>
        <w:jc w:val="both"/>
        <w:rPr>
          <w:rFonts w:cs="Times New Roman"/>
          <w:sz w:val="24"/>
          <w:szCs w:val="24"/>
          <w:lang w:val="en-US"/>
        </w:rPr>
      </w:pPr>
      <w:r w:rsidRPr="00B13326">
        <w:rPr>
          <w:rFonts w:cs="Times New Roman"/>
          <w:sz w:val="24"/>
          <w:szCs w:val="24"/>
          <w:lang w:val="en-US"/>
        </w:rPr>
        <w:t xml:space="preserve">Dealing with relapse continues to be </w:t>
      </w:r>
      <w:r w:rsidR="00315927">
        <w:rPr>
          <w:rFonts w:cs="Times New Roman"/>
          <w:sz w:val="24"/>
          <w:szCs w:val="24"/>
          <w:lang w:val="en-US"/>
        </w:rPr>
        <w:t xml:space="preserve">a </w:t>
      </w:r>
      <w:r w:rsidRPr="00B13326">
        <w:rPr>
          <w:rFonts w:cs="Times New Roman"/>
          <w:sz w:val="24"/>
          <w:szCs w:val="24"/>
          <w:lang w:val="en-US"/>
        </w:rPr>
        <w:t xml:space="preserve">challenge </w:t>
      </w:r>
      <w:r w:rsidR="00F50312">
        <w:rPr>
          <w:rFonts w:cs="Times New Roman"/>
          <w:sz w:val="24"/>
          <w:szCs w:val="24"/>
          <w:lang w:val="en-US"/>
        </w:rPr>
        <w:t>after</w:t>
      </w:r>
      <w:r w:rsidRPr="00B13326">
        <w:rPr>
          <w:rFonts w:cs="Times New Roman"/>
          <w:sz w:val="24"/>
          <w:szCs w:val="24"/>
          <w:lang w:val="en-US"/>
        </w:rPr>
        <w:t xml:space="preserve"> HSCT as it is now the major cause of treatment failure. </w:t>
      </w:r>
      <w:r w:rsidR="00F50312">
        <w:rPr>
          <w:rFonts w:cs="Times New Roman"/>
          <w:sz w:val="24"/>
          <w:szCs w:val="24"/>
          <w:lang w:val="en-US"/>
        </w:rPr>
        <w:t>N</w:t>
      </w:r>
      <w:r w:rsidRPr="00B13326">
        <w:rPr>
          <w:rFonts w:cs="Times New Roman"/>
          <w:sz w:val="24"/>
          <w:szCs w:val="24"/>
          <w:lang w:val="en-US"/>
        </w:rPr>
        <w:t xml:space="preserve">ew approaches </w:t>
      </w:r>
      <w:r w:rsidR="00315927">
        <w:rPr>
          <w:rFonts w:cs="Times New Roman"/>
          <w:sz w:val="24"/>
          <w:szCs w:val="24"/>
          <w:lang w:val="en-US"/>
        </w:rPr>
        <w:t>are</w:t>
      </w:r>
      <w:r w:rsidRPr="00B13326">
        <w:rPr>
          <w:rFonts w:cs="Times New Roman"/>
          <w:sz w:val="24"/>
          <w:szCs w:val="24"/>
          <w:lang w:val="en-US"/>
        </w:rPr>
        <w:t xml:space="preserve"> available</w:t>
      </w:r>
      <w:r w:rsidR="00D41103" w:rsidRPr="00B13326">
        <w:rPr>
          <w:rFonts w:cs="Times New Roman"/>
          <w:sz w:val="24"/>
          <w:szCs w:val="24"/>
          <w:lang w:val="en-US"/>
        </w:rPr>
        <w:t xml:space="preserve"> such as TKI</w:t>
      </w:r>
      <w:r w:rsidRPr="00B13326">
        <w:rPr>
          <w:rFonts w:cs="Times New Roman"/>
          <w:sz w:val="24"/>
          <w:szCs w:val="24"/>
          <w:lang w:val="en-US"/>
        </w:rPr>
        <w:t xml:space="preserve">s targeting </w:t>
      </w:r>
      <w:r w:rsidR="006D3777">
        <w:rPr>
          <w:rFonts w:cs="Times New Roman"/>
          <w:sz w:val="24"/>
          <w:szCs w:val="24"/>
          <w:lang w:val="en-US"/>
        </w:rPr>
        <w:t>Flt3</w:t>
      </w:r>
      <w:r w:rsidRPr="00B13326">
        <w:rPr>
          <w:rFonts w:cs="Times New Roman"/>
          <w:sz w:val="24"/>
          <w:szCs w:val="24"/>
          <w:lang w:val="en-US"/>
        </w:rPr>
        <w:t>-internal tandem duplication in AML</w:t>
      </w:r>
      <w:r w:rsidR="00D41103" w:rsidRPr="00B13326">
        <w:rPr>
          <w:rFonts w:cs="Times New Roman"/>
          <w:sz w:val="24"/>
          <w:szCs w:val="24"/>
          <w:lang w:val="en-US"/>
        </w:rPr>
        <w:t>,</w:t>
      </w:r>
      <w:r w:rsidR="00B80F08" w:rsidRPr="00B13326">
        <w:rPr>
          <w:rFonts w:cs="Times New Roman"/>
          <w:sz w:val="24"/>
          <w:szCs w:val="24"/>
          <w:lang w:val="en-US"/>
        </w:rPr>
        <w:t xml:space="preserve"> either</w:t>
      </w:r>
      <w:r w:rsidR="00D41103" w:rsidRPr="00B13326">
        <w:rPr>
          <w:rFonts w:cs="Times New Roman"/>
          <w:sz w:val="24"/>
          <w:szCs w:val="24"/>
          <w:lang w:val="en-US"/>
        </w:rPr>
        <w:t xml:space="preserve"> </w:t>
      </w:r>
      <w:r w:rsidR="00B80F08" w:rsidRPr="00B13326">
        <w:rPr>
          <w:rFonts w:cs="Times New Roman"/>
          <w:sz w:val="24"/>
          <w:szCs w:val="24"/>
          <w:lang w:val="en-US"/>
        </w:rPr>
        <w:t>alone or in combination with hypomethylating agents</w:t>
      </w:r>
      <w:r w:rsidR="001109B8">
        <w:rPr>
          <w:rFonts w:cs="Times New Roman"/>
          <w:sz w:val="24"/>
          <w:szCs w:val="24"/>
          <w:lang w:val="en-US"/>
        </w:rPr>
        <w:t>.</w:t>
      </w:r>
      <w:r w:rsidR="00896465">
        <w:rPr>
          <w:rFonts w:cs="Times New Roman"/>
          <w:sz w:val="24"/>
          <w:szCs w:val="24"/>
          <w:lang w:val="en-US"/>
        </w:rPr>
        <w:t xml:space="preserve"> </w:t>
      </w:r>
      <w:r w:rsidR="005D42A8" w:rsidRPr="00896465">
        <w:rPr>
          <w:rFonts w:cs="Times New Roman"/>
          <w:color w:val="0070C0"/>
          <w:sz w:val="24"/>
          <w:szCs w:val="24"/>
          <w:vertAlign w:val="superscript"/>
          <w:lang w:val="en-US"/>
        </w:rPr>
        <w:t>34-39</w:t>
      </w:r>
      <w:r w:rsidR="00B80F08" w:rsidRPr="00896465">
        <w:rPr>
          <w:rFonts w:cs="Times New Roman"/>
          <w:color w:val="0070C0"/>
          <w:sz w:val="24"/>
          <w:szCs w:val="24"/>
          <w:lang w:val="en-US"/>
        </w:rPr>
        <w:t xml:space="preserve"> </w:t>
      </w:r>
      <w:r w:rsidR="00B80F08" w:rsidRPr="00B13326">
        <w:rPr>
          <w:rFonts w:cs="Times New Roman"/>
          <w:sz w:val="24"/>
          <w:szCs w:val="24"/>
          <w:lang w:val="en-US"/>
        </w:rPr>
        <w:t xml:space="preserve"> </w:t>
      </w:r>
      <w:r w:rsidR="009C3615" w:rsidRPr="00B13326">
        <w:rPr>
          <w:rFonts w:cs="Times New Roman"/>
          <w:sz w:val="24"/>
          <w:szCs w:val="24"/>
          <w:lang w:val="en-US"/>
        </w:rPr>
        <w:t>Monoclonal antibodies and antibody-drug conjugates are also being investigated</w:t>
      </w:r>
      <w:r w:rsidR="00A55060" w:rsidRPr="00B13326">
        <w:rPr>
          <w:rFonts w:cs="Times New Roman"/>
          <w:sz w:val="24"/>
          <w:szCs w:val="24"/>
          <w:lang w:val="en-US"/>
        </w:rPr>
        <w:t>, with blinatumo</w:t>
      </w:r>
      <w:r w:rsidR="006D3777">
        <w:rPr>
          <w:rFonts w:cs="Times New Roman"/>
          <w:sz w:val="24"/>
          <w:szCs w:val="24"/>
          <w:lang w:val="en-US"/>
        </w:rPr>
        <w:t xml:space="preserve">mab </w:t>
      </w:r>
      <w:r w:rsidR="009C3615" w:rsidRPr="00B13326">
        <w:rPr>
          <w:rFonts w:cs="Times New Roman"/>
          <w:sz w:val="24"/>
          <w:szCs w:val="24"/>
          <w:lang w:val="en-US"/>
        </w:rPr>
        <w:t>being active in relapsed ALL and used either alone or in conjunction with DLI</w:t>
      </w:r>
      <w:r w:rsidR="001109B8">
        <w:rPr>
          <w:rFonts w:cs="Times New Roman"/>
          <w:sz w:val="24"/>
          <w:szCs w:val="24"/>
          <w:lang w:val="en-US"/>
        </w:rPr>
        <w:t>.</w:t>
      </w:r>
      <w:r w:rsidR="00896465">
        <w:rPr>
          <w:rFonts w:cs="Times New Roman"/>
          <w:sz w:val="24"/>
          <w:szCs w:val="24"/>
          <w:lang w:val="en-US"/>
        </w:rPr>
        <w:t xml:space="preserve"> </w:t>
      </w:r>
      <w:r w:rsidR="005D42A8" w:rsidRPr="00896465">
        <w:rPr>
          <w:rFonts w:cs="Times New Roman"/>
          <w:color w:val="0070C0"/>
          <w:sz w:val="24"/>
          <w:szCs w:val="24"/>
          <w:vertAlign w:val="superscript"/>
          <w:lang w:val="en-US"/>
        </w:rPr>
        <w:t>40</w:t>
      </w:r>
      <w:r w:rsidR="009C3615" w:rsidRPr="00B13326">
        <w:rPr>
          <w:rFonts w:cs="Times New Roman"/>
          <w:sz w:val="24"/>
          <w:szCs w:val="24"/>
          <w:lang w:val="en-US"/>
        </w:rPr>
        <w:t xml:space="preserve"> </w:t>
      </w:r>
      <w:r w:rsidR="000E7984" w:rsidRPr="00B13326">
        <w:rPr>
          <w:rFonts w:cs="Times New Roman"/>
          <w:sz w:val="24"/>
          <w:szCs w:val="24"/>
          <w:lang w:val="en-US"/>
        </w:rPr>
        <w:t xml:space="preserve"> Checkpoint inhibitors represent another possible approach for relapse treatment </w:t>
      </w:r>
      <w:r w:rsidR="006D3777">
        <w:rPr>
          <w:rFonts w:cs="Times New Roman"/>
          <w:sz w:val="24"/>
          <w:szCs w:val="24"/>
          <w:lang w:val="en-US"/>
        </w:rPr>
        <w:t xml:space="preserve">but </w:t>
      </w:r>
      <w:r w:rsidR="000E7984" w:rsidRPr="00B13326">
        <w:rPr>
          <w:rFonts w:cs="Times New Roman"/>
          <w:sz w:val="24"/>
          <w:szCs w:val="24"/>
          <w:lang w:val="en-US"/>
        </w:rPr>
        <w:t xml:space="preserve">they may lead to </w:t>
      </w:r>
      <w:r w:rsidR="005E36AC" w:rsidRPr="00B13326">
        <w:rPr>
          <w:rFonts w:cs="Times New Roman"/>
          <w:sz w:val="24"/>
          <w:szCs w:val="24"/>
          <w:lang w:val="en-US"/>
        </w:rPr>
        <w:t xml:space="preserve">significant </w:t>
      </w:r>
      <w:r w:rsidR="001109B8" w:rsidRPr="001109B8">
        <w:rPr>
          <w:rFonts w:cs="Times New Roman"/>
          <w:color w:val="00B0F0"/>
          <w:sz w:val="24"/>
          <w:szCs w:val="24"/>
          <w:lang w:val="en-US"/>
        </w:rPr>
        <w:t>GvHD</w:t>
      </w:r>
      <w:r w:rsidR="001109B8">
        <w:rPr>
          <w:rFonts w:cs="Times New Roman"/>
          <w:sz w:val="24"/>
          <w:szCs w:val="24"/>
          <w:lang w:val="en-US"/>
        </w:rPr>
        <w:t>.</w:t>
      </w:r>
      <w:r w:rsidR="005D42A8">
        <w:rPr>
          <w:rFonts w:cs="Times New Roman"/>
          <w:sz w:val="24"/>
          <w:szCs w:val="24"/>
          <w:lang w:val="en-US"/>
        </w:rPr>
        <w:t xml:space="preserve"> </w:t>
      </w:r>
      <w:r w:rsidR="005D42A8" w:rsidRPr="00896465">
        <w:rPr>
          <w:rFonts w:cs="Times New Roman"/>
          <w:color w:val="0070C0"/>
          <w:sz w:val="24"/>
          <w:szCs w:val="24"/>
          <w:vertAlign w:val="superscript"/>
          <w:lang w:val="en-US"/>
        </w:rPr>
        <w:t>41-42</w:t>
      </w:r>
      <w:r w:rsidR="005E36AC" w:rsidRPr="00896465">
        <w:rPr>
          <w:rFonts w:cs="Times New Roman"/>
          <w:color w:val="0070C0"/>
          <w:sz w:val="24"/>
          <w:szCs w:val="24"/>
          <w:lang w:val="en-US"/>
        </w:rPr>
        <w:t xml:space="preserve"> </w:t>
      </w:r>
      <w:r w:rsidR="00A55060" w:rsidRPr="00B13326">
        <w:rPr>
          <w:rFonts w:cs="Times New Roman"/>
          <w:sz w:val="24"/>
          <w:szCs w:val="24"/>
          <w:lang w:val="en-US"/>
        </w:rPr>
        <w:t xml:space="preserve"> </w:t>
      </w:r>
      <w:r w:rsidR="000E7984" w:rsidRPr="00B13326">
        <w:rPr>
          <w:rFonts w:cs="Times New Roman"/>
          <w:sz w:val="24"/>
          <w:szCs w:val="24"/>
          <w:lang w:val="en-US"/>
        </w:rPr>
        <w:t xml:space="preserve">Genetically engineered T cells </w:t>
      </w:r>
      <w:r w:rsidR="00C40A31">
        <w:rPr>
          <w:rFonts w:cs="Times New Roman"/>
          <w:sz w:val="24"/>
          <w:szCs w:val="24"/>
          <w:lang w:val="en-US"/>
        </w:rPr>
        <w:t>are</w:t>
      </w:r>
      <w:r w:rsidR="003B61B2">
        <w:rPr>
          <w:rFonts w:cs="Times New Roman"/>
          <w:sz w:val="24"/>
          <w:szCs w:val="24"/>
          <w:lang w:val="en-US"/>
        </w:rPr>
        <w:t xml:space="preserve"> </w:t>
      </w:r>
      <w:r w:rsidR="003B61B2" w:rsidRPr="003B61B2">
        <w:rPr>
          <w:rFonts w:cs="Times New Roman"/>
          <w:color w:val="0070C0"/>
          <w:sz w:val="24"/>
          <w:szCs w:val="24"/>
          <w:lang w:val="en-US"/>
        </w:rPr>
        <w:t>a</w:t>
      </w:r>
      <w:r w:rsidR="000E7984" w:rsidRPr="00B13326">
        <w:rPr>
          <w:rFonts w:cs="Times New Roman"/>
          <w:sz w:val="24"/>
          <w:szCs w:val="24"/>
          <w:lang w:val="en-US"/>
        </w:rPr>
        <w:t xml:space="preserve"> powerful class of therapeutic agents </w:t>
      </w:r>
      <w:r w:rsidR="000E7984" w:rsidRPr="00B13326">
        <w:rPr>
          <w:rFonts w:cs="Times New Roman"/>
          <w:sz w:val="24"/>
          <w:szCs w:val="24"/>
          <w:lang w:val="en-US"/>
        </w:rPr>
        <w:lastRenderedPageBreak/>
        <w:t>with several clinical trials showing responses in patients with relapsed, refractory, B-cell malignancies</w:t>
      </w:r>
      <w:r w:rsidR="001109B8">
        <w:rPr>
          <w:rFonts w:cs="Times New Roman"/>
          <w:sz w:val="24"/>
          <w:szCs w:val="24"/>
          <w:lang w:val="en-US"/>
        </w:rPr>
        <w:t>.</w:t>
      </w:r>
      <w:r w:rsidR="000E7984" w:rsidRPr="00B13326">
        <w:rPr>
          <w:rFonts w:cs="Times New Roman"/>
          <w:sz w:val="24"/>
          <w:szCs w:val="24"/>
          <w:lang w:val="en-US"/>
        </w:rPr>
        <w:t xml:space="preserve"> </w:t>
      </w:r>
      <w:r w:rsidR="005D42A8" w:rsidRPr="00896465">
        <w:rPr>
          <w:rFonts w:cs="Times New Roman"/>
          <w:color w:val="0070C0"/>
          <w:sz w:val="24"/>
          <w:szCs w:val="24"/>
          <w:vertAlign w:val="superscript"/>
          <w:lang w:val="en-US"/>
        </w:rPr>
        <w:t>43-44</w:t>
      </w:r>
    </w:p>
    <w:p w14:paraId="47A4AF05" w14:textId="0D8C520F" w:rsidR="005D42A8" w:rsidRDefault="005D42A8" w:rsidP="0089530C">
      <w:pPr>
        <w:spacing w:after="0" w:line="480" w:lineRule="auto"/>
        <w:jc w:val="both"/>
        <w:rPr>
          <w:rFonts w:cs="Times New Roman"/>
          <w:b/>
          <w:sz w:val="24"/>
          <w:szCs w:val="24"/>
          <w:lang w:val="en-US"/>
        </w:rPr>
      </w:pPr>
      <w:r>
        <w:rPr>
          <w:rFonts w:cs="Times New Roman"/>
          <w:b/>
          <w:sz w:val="24"/>
          <w:szCs w:val="24"/>
          <w:lang w:val="en-US"/>
        </w:rPr>
        <w:t>Conclusion</w:t>
      </w:r>
      <w:r w:rsidR="00896465">
        <w:rPr>
          <w:rFonts w:cs="Times New Roman"/>
          <w:b/>
          <w:sz w:val="24"/>
          <w:szCs w:val="24"/>
          <w:lang w:val="en-US"/>
        </w:rPr>
        <w:t>s</w:t>
      </w:r>
      <w:r>
        <w:rPr>
          <w:rFonts w:cs="Times New Roman"/>
          <w:b/>
          <w:sz w:val="24"/>
          <w:szCs w:val="24"/>
          <w:lang w:val="en-US"/>
        </w:rPr>
        <w:t xml:space="preserve"> </w:t>
      </w:r>
    </w:p>
    <w:p w14:paraId="2E05E900" w14:textId="2C37E865" w:rsidR="00745707" w:rsidRDefault="005D42A8" w:rsidP="0089530C">
      <w:pPr>
        <w:spacing w:after="0" w:line="480" w:lineRule="auto"/>
        <w:jc w:val="both"/>
        <w:rPr>
          <w:rFonts w:cs="Times New Roman"/>
          <w:sz w:val="24"/>
          <w:szCs w:val="24"/>
          <w:lang w:val="en-US"/>
        </w:rPr>
      </w:pPr>
      <w:r>
        <w:rPr>
          <w:rFonts w:cs="Times New Roman"/>
          <w:sz w:val="24"/>
          <w:szCs w:val="24"/>
          <w:lang w:val="en-US"/>
        </w:rPr>
        <w:t>T</w:t>
      </w:r>
      <w:r w:rsidR="00404636">
        <w:rPr>
          <w:rFonts w:cs="Times New Roman"/>
          <w:sz w:val="24"/>
          <w:szCs w:val="24"/>
          <w:lang w:val="en-US"/>
        </w:rPr>
        <w:t>his</w:t>
      </w:r>
      <w:r w:rsidR="002C7FDE" w:rsidRPr="00B13326">
        <w:rPr>
          <w:rFonts w:cs="Times New Roman"/>
          <w:sz w:val="24"/>
          <w:szCs w:val="24"/>
          <w:lang w:val="en-US"/>
        </w:rPr>
        <w:t xml:space="preserve"> study shows the </w:t>
      </w:r>
      <w:r w:rsidR="009D39E8" w:rsidRPr="00B13326">
        <w:rPr>
          <w:rFonts w:cs="Times New Roman"/>
          <w:sz w:val="24"/>
          <w:szCs w:val="24"/>
          <w:lang w:val="en-US"/>
        </w:rPr>
        <w:t>changes and progresses</w:t>
      </w:r>
      <w:r w:rsidR="002C7FDE" w:rsidRPr="00B13326">
        <w:rPr>
          <w:rFonts w:cs="Times New Roman"/>
          <w:sz w:val="24"/>
          <w:szCs w:val="24"/>
          <w:lang w:val="en-US"/>
        </w:rPr>
        <w:t xml:space="preserve"> that ha</w:t>
      </w:r>
      <w:r w:rsidR="009D39E8" w:rsidRPr="00B13326">
        <w:rPr>
          <w:rFonts w:cs="Times New Roman"/>
          <w:sz w:val="24"/>
          <w:szCs w:val="24"/>
          <w:lang w:val="en-US"/>
        </w:rPr>
        <w:t>ve</w:t>
      </w:r>
      <w:r w:rsidR="002C7FDE" w:rsidRPr="00B13326">
        <w:rPr>
          <w:rFonts w:cs="Times New Roman"/>
          <w:sz w:val="24"/>
          <w:szCs w:val="24"/>
          <w:lang w:val="en-US"/>
        </w:rPr>
        <w:t xml:space="preserve"> occurred in </w:t>
      </w:r>
      <w:r w:rsidR="003A0637" w:rsidRPr="00B13326">
        <w:rPr>
          <w:rFonts w:cs="Times New Roman"/>
          <w:sz w:val="24"/>
          <w:szCs w:val="24"/>
          <w:lang w:val="en-US"/>
        </w:rPr>
        <w:t>our</w:t>
      </w:r>
      <w:r w:rsidR="002C7FDE" w:rsidRPr="00B13326">
        <w:rPr>
          <w:rFonts w:cs="Times New Roman"/>
          <w:sz w:val="24"/>
          <w:szCs w:val="24"/>
          <w:lang w:val="en-US"/>
        </w:rPr>
        <w:t xml:space="preserve"> daily practice of allogeneic HSCT, outside of clinical trials. These developments </w:t>
      </w:r>
      <w:r w:rsidR="003A0637" w:rsidRPr="00B13326">
        <w:rPr>
          <w:rFonts w:cs="Times New Roman"/>
          <w:sz w:val="24"/>
          <w:szCs w:val="24"/>
          <w:lang w:val="en-US"/>
        </w:rPr>
        <w:t xml:space="preserve">have </w:t>
      </w:r>
      <w:r w:rsidR="002C7FDE" w:rsidRPr="00B13326">
        <w:rPr>
          <w:rFonts w:cs="Times New Roman"/>
          <w:sz w:val="24"/>
          <w:szCs w:val="24"/>
          <w:lang w:val="en-US"/>
        </w:rPr>
        <w:t xml:space="preserve">allowed us to offer allogeneic transplantation to older patients, </w:t>
      </w:r>
      <w:r w:rsidR="003A0637" w:rsidRPr="00B13326">
        <w:rPr>
          <w:rFonts w:cs="Times New Roman"/>
          <w:sz w:val="24"/>
          <w:szCs w:val="24"/>
          <w:lang w:val="en-US"/>
        </w:rPr>
        <w:t>patients</w:t>
      </w:r>
      <w:r w:rsidR="002C7FDE" w:rsidRPr="00B13326">
        <w:rPr>
          <w:rFonts w:cs="Times New Roman"/>
          <w:sz w:val="24"/>
          <w:szCs w:val="24"/>
          <w:lang w:val="en-US"/>
        </w:rPr>
        <w:t xml:space="preserve"> with comorbidities or more advanced disease</w:t>
      </w:r>
      <w:r w:rsidR="003A0637" w:rsidRPr="00B13326">
        <w:rPr>
          <w:rFonts w:cs="Times New Roman"/>
          <w:sz w:val="24"/>
          <w:szCs w:val="24"/>
          <w:lang w:val="en-US"/>
        </w:rPr>
        <w:t xml:space="preserve"> and</w:t>
      </w:r>
      <w:r w:rsidR="009D39E8" w:rsidRPr="00B13326">
        <w:rPr>
          <w:rFonts w:cs="Times New Roman"/>
          <w:sz w:val="24"/>
          <w:szCs w:val="24"/>
          <w:lang w:val="en-US"/>
        </w:rPr>
        <w:t xml:space="preserve"> to</w:t>
      </w:r>
      <w:r w:rsidR="002C7FDE" w:rsidRPr="00B13326">
        <w:rPr>
          <w:rFonts w:cs="Times New Roman"/>
          <w:sz w:val="24"/>
          <w:szCs w:val="24"/>
          <w:lang w:val="en-US"/>
        </w:rPr>
        <w:t xml:space="preserve"> those without related donors</w:t>
      </w:r>
      <w:r w:rsidR="00C24D22" w:rsidRPr="00B13326">
        <w:rPr>
          <w:rFonts w:cs="Times New Roman"/>
          <w:sz w:val="24"/>
          <w:szCs w:val="24"/>
          <w:lang w:val="en-US"/>
        </w:rPr>
        <w:t xml:space="preserve">. </w:t>
      </w:r>
      <w:r w:rsidR="0097556F">
        <w:rPr>
          <w:rFonts w:cs="Times New Roman"/>
          <w:sz w:val="24"/>
          <w:szCs w:val="24"/>
          <w:lang w:val="en-US"/>
        </w:rPr>
        <w:t>We observed</w:t>
      </w:r>
      <w:r w:rsidR="00C24D22" w:rsidRPr="00B13326">
        <w:rPr>
          <w:rFonts w:cs="Times New Roman"/>
          <w:sz w:val="24"/>
          <w:szCs w:val="24"/>
          <w:lang w:val="en-US"/>
        </w:rPr>
        <w:t xml:space="preserve"> a</w:t>
      </w:r>
      <w:r w:rsidR="003A0637" w:rsidRPr="00B13326">
        <w:rPr>
          <w:rFonts w:cs="Times New Roman"/>
          <w:sz w:val="24"/>
          <w:szCs w:val="24"/>
          <w:lang w:val="en-US"/>
        </w:rPr>
        <w:t xml:space="preserve"> statistically significant improvement </w:t>
      </w:r>
      <w:r w:rsidR="000C7D25" w:rsidRPr="00B13326">
        <w:rPr>
          <w:rFonts w:cs="Times New Roman"/>
          <w:sz w:val="24"/>
          <w:szCs w:val="24"/>
          <w:lang w:val="en-US"/>
        </w:rPr>
        <w:t>in</w:t>
      </w:r>
      <w:r w:rsidR="003A0637" w:rsidRPr="00B13326">
        <w:rPr>
          <w:rFonts w:cs="Times New Roman"/>
          <w:sz w:val="24"/>
          <w:szCs w:val="24"/>
          <w:lang w:val="en-US"/>
        </w:rPr>
        <w:t xml:space="preserve"> NRM over time</w:t>
      </w:r>
      <w:r w:rsidR="00C24D22" w:rsidRPr="00B13326">
        <w:rPr>
          <w:rFonts w:cs="Times New Roman"/>
          <w:sz w:val="24"/>
          <w:szCs w:val="24"/>
          <w:lang w:val="en-US"/>
        </w:rPr>
        <w:t>,</w:t>
      </w:r>
      <w:r w:rsidR="003A0637" w:rsidRPr="00B13326">
        <w:rPr>
          <w:rFonts w:cs="Times New Roman"/>
          <w:sz w:val="24"/>
          <w:szCs w:val="24"/>
          <w:lang w:val="en-US"/>
        </w:rPr>
        <w:t xml:space="preserve"> despite </w:t>
      </w:r>
      <w:r w:rsidR="00C40A31">
        <w:rPr>
          <w:rFonts w:cs="Times New Roman"/>
          <w:sz w:val="24"/>
          <w:szCs w:val="24"/>
          <w:lang w:val="en-US"/>
        </w:rPr>
        <w:t>treating</w:t>
      </w:r>
      <w:r w:rsidR="000C7D25" w:rsidRPr="00B13326">
        <w:rPr>
          <w:rFonts w:cs="Times New Roman"/>
          <w:sz w:val="24"/>
          <w:szCs w:val="24"/>
          <w:lang w:val="en-US"/>
        </w:rPr>
        <w:t xml:space="preserve"> patients with a less favo</w:t>
      </w:r>
      <w:r w:rsidR="003A0637" w:rsidRPr="00B13326">
        <w:rPr>
          <w:rFonts w:cs="Times New Roman"/>
          <w:sz w:val="24"/>
          <w:szCs w:val="24"/>
          <w:lang w:val="en-US"/>
        </w:rPr>
        <w:t>rable prognosis.</w:t>
      </w:r>
      <w:r w:rsidR="001D5454" w:rsidRPr="00B13326">
        <w:rPr>
          <w:rFonts w:cs="Times New Roman"/>
          <w:sz w:val="24"/>
          <w:szCs w:val="24"/>
          <w:lang w:val="en-US"/>
        </w:rPr>
        <w:t xml:space="preserve"> </w:t>
      </w:r>
      <w:r w:rsidR="00E77167">
        <w:rPr>
          <w:rFonts w:cs="Times New Roman"/>
          <w:sz w:val="24"/>
          <w:szCs w:val="24"/>
          <w:lang w:val="en-US"/>
        </w:rPr>
        <w:t>We believe that a</w:t>
      </w:r>
      <w:r w:rsidR="001D5454" w:rsidRPr="00B13326">
        <w:rPr>
          <w:rFonts w:cs="Times New Roman"/>
          <w:sz w:val="24"/>
          <w:szCs w:val="24"/>
          <w:lang w:val="en-US"/>
        </w:rPr>
        <w:t xml:space="preserve">llogeneic HSCT will remain a valuable treatment option for patients with malignant and non-malignant diseases and with continuous improvement of results a safer treatment </w:t>
      </w:r>
      <w:r w:rsidR="00EE4D78" w:rsidRPr="00B13326">
        <w:rPr>
          <w:rFonts w:cs="Times New Roman"/>
          <w:sz w:val="24"/>
          <w:szCs w:val="24"/>
          <w:lang w:val="en-US"/>
        </w:rPr>
        <w:t>option</w:t>
      </w:r>
      <w:r w:rsidR="001D5454" w:rsidRPr="00B13326">
        <w:rPr>
          <w:rFonts w:cs="Times New Roman"/>
          <w:sz w:val="24"/>
          <w:szCs w:val="24"/>
          <w:lang w:val="en-US"/>
        </w:rPr>
        <w:t>.</w:t>
      </w:r>
    </w:p>
    <w:p w14:paraId="3465F586" w14:textId="77777777" w:rsidR="0089530C" w:rsidRPr="00B13326" w:rsidRDefault="0089530C" w:rsidP="0089530C">
      <w:pPr>
        <w:spacing w:after="0" w:line="480" w:lineRule="auto"/>
        <w:jc w:val="both"/>
        <w:rPr>
          <w:rFonts w:cs="Times New Roman"/>
          <w:sz w:val="24"/>
          <w:szCs w:val="24"/>
          <w:lang w:val="en-US"/>
        </w:rPr>
      </w:pPr>
    </w:p>
    <w:p w14:paraId="33C861EB" w14:textId="625C31E9" w:rsidR="001D2248" w:rsidRPr="0089530C" w:rsidRDefault="0089530C" w:rsidP="0089530C">
      <w:pPr>
        <w:spacing w:after="0" w:line="480" w:lineRule="auto"/>
        <w:jc w:val="both"/>
        <w:rPr>
          <w:rFonts w:cs="Times New Roman"/>
          <w:b/>
          <w:sz w:val="24"/>
          <w:szCs w:val="24"/>
          <w:lang w:val="en-US"/>
        </w:rPr>
      </w:pPr>
      <w:r w:rsidRPr="0089530C">
        <w:rPr>
          <w:rFonts w:cs="Times New Roman"/>
          <w:b/>
          <w:sz w:val="24"/>
          <w:szCs w:val="24"/>
          <w:lang w:val="en-US"/>
        </w:rPr>
        <w:t>ACKNOWLEDGEMENTS</w:t>
      </w:r>
    </w:p>
    <w:p w14:paraId="1993AEBF" w14:textId="408F5AEE" w:rsidR="0089530C" w:rsidRDefault="0089530C" w:rsidP="0089530C">
      <w:pPr>
        <w:spacing w:after="0" w:line="480" w:lineRule="auto"/>
        <w:jc w:val="both"/>
        <w:rPr>
          <w:rFonts w:cs="Times New Roman"/>
          <w:sz w:val="24"/>
          <w:szCs w:val="24"/>
          <w:lang w:val="en-US"/>
        </w:rPr>
      </w:pPr>
      <w:r>
        <w:rPr>
          <w:rFonts w:cs="Times New Roman"/>
          <w:sz w:val="24"/>
          <w:szCs w:val="24"/>
          <w:lang w:val="en-US"/>
        </w:rPr>
        <w:t>We thank the following physicians I. Nolasco, A. Guimarães, J.L. Passos Coelho, A. Machado, E Fernandez</w:t>
      </w:r>
      <w:r w:rsidR="0045459C">
        <w:rPr>
          <w:rFonts w:cs="Times New Roman"/>
          <w:sz w:val="24"/>
          <w:szCs w:val="24"/>
          <w:lang w:val="en-US"/>
        </w:rPr>
        <w:t>,</w:t>
      </w:r>
      <w:r>
        <w:rPr>
          <w:rFonts w:cs="Times New Roman"/>
          <w:sz w:val="24"/>
          <w:szCs w:val="24"/>
          <w:lang w:val="en-US"/>
        </w:rPr>
        <w:t xml:space="preserve"> the nursing staff for their dedicated patient care</w:t>
      </w:r>
      <w:r w:rsidR="0045459C">
        <w:rPr>
          <w:rFonts w:cs="Times New Roman"/>
          <w:sz w:val="24"/>
          <w:szCs w:val="24"/>
          <w:lang w:val="en-US"/>
        </w:rPr>
        <w:t xml:space="preserve"> and </w:t>
      </w:r>
      <w:r w:rsidR="0045459C" w:rsidRPr="00D9482A">
        <w:rPr>
          <w:sz w:val="24"/>
          <w:szCs w:val="24"/>
          <w:lang w:val="en-US"/>
        </w:rPr>
        <w:t>M. Cunha for helping in data collection</w:t>
      </w:r>
      <w:r>
        <w:rPr>
          <w:rFonts w:cs="Times New Roman"/>
          <w:sz w:val="24"/>
          <w:szCs w:val="24"/>
          <w:lang w:val="en-US"/>
        </w:rPr>
        <w:t>. MA thanks Professor</w:t>
      </w:r>
      <w:r w:rsidR="00FE619E">
        <w:rPr>
          <w:rFonts w:cs="Times New Roman"/>
          <w:sz w:val="24"/>
          <w:szCs w:val="24"/>
          <w:lang w:val="en-US"/>
        </w:rPr>
        <w:t>s</w:t>
      </w:r>
      <w:r>
        <w:rPr>
          <w:rFonts w:cs="Times New Roman"/>
          <w:sz w:val="24"/>
          <w:szCs w:val="24"/>
          <w:lang w:val="en-US"/>
        </w:rPr>
        <w:t xml:space="preserve"> M</w:t>
      </w:r>
      <w:r w:rsidR="0045459C">
        <w:rPr>
          <w:rFonts w:cs="Times New Roman"/>
          <w:sz w:val="24"/>
          <w:szCs w:val="24"/>
          <w:lang w:val="en-US"/>
        </w:rPr>
        <w:t>. Mohty</w:t>
      </w:r>
      <w:r w:rsidR="00FE619E">
        <w:rPr>
          <w:rFonts w:cs="Times New Roman"/>
          <w:sz w:val="24"/>
          <w:szCs w:val="24"/>
          <w:lang w:val="en-US"/>
        </w:rPr>
        <w:t xml:space="preserve"> and J. Melo</w:t>
      </w:r>
      <w:r w:rsidR="0045459C">
        <w:rPr>
          <w:rFonts w:cs="Times New Roman"/>
          <w:sz w:val="24"/>
          <w:szCs w:val="24"/>
          <w:lang w:val="en-US"/>
        </w:rPr>
        <w:t xml:space="preserve"> for reviewing</w:t>
      </w:r>
      <w:r>
        <w:rPr>
          <w:rFonts w:cs="Times New Roman"/>
          <w:sz w:val="24"/>
          <w:szCs w:val="24"/>
          <w:lang w:val="en-US"/>
        </w:rPr>
        <w:t xml:space="preserve"> the manuscript. We also thank the Liga Portuguesa Contra o Cancro and the Fundação Calouste </w:t>
      </w:r>
      <w:r>
        <w:rPr>
          <w:rFonts w:cs="Times New Roman"/>
          <w:sz w:val="24"/>
          <w:szCs w:val="24"/>
          <w:lang w:val="en-US"/>
        </w:rPr>
        <w:lastRenderedPageBreak/>
        <w:t xml:space="preserve">Gulbenkian for their support in setting up the transplant program. </w:t>
      </w:r>
    </w:p>
    <w:p w14:paraId="784F252A" w14:textId="77777777" w:rsidR="0089530C" w:rsidRDefault="0089530C" w:rsidP="0089530C">
      <w:pPr>
        <w:spacing w:after="0" w:line="480" w:lineRule="auto"/>
        <w:jc w:val="both"/>
        <w:rPr>
          <w:rFonts w:cs="Times New Roman"/>
          <w:sz w:val="24"/>
          <w:szCs w:val="24"/>
          <w:lang w:val="en-US"/>
        </w:rPr>
      </w:pPr>
    </w:p>
    <w:p w14:paraId="62AB1210" w14:textId="7F30645B" w:rsidR="0089530C" w:rsidRPr="0089530C" w:rsidRDefault="0089530C" w:rsidP="0089530C">
      <w:pPr>
        <w:spacing w:after="0" w:line="480" w:lineRule="auto"/>
        <w:jc w:val="both"/>
        <w:rPr>
          <w:rFonts w:cs="Times New Roman"/>
          <w:b/>
          <w:sz w:val="24"/>
          <w:szCs w:val="24"/>
          <w:lang w:val="en-US"/>
        </w:rPr>
      </w:pPr>
      <w:r w:rsidRPr="0089530C">
        <w:rPr>
          <w:rFonts w:cs="Times New Roman"/>
          <w:b/>
          <w:sz w:val="24"/>
          <w:szCs w:val="24"/>
          <w:lang w:val="en-US"/>
        </w:rPr>
        <w:t>CONFLICT OF INTEREST</w:t>
      </w:r>
    </w:p>
    <w:p w14:paraId="163D94C9" w14:textId="3E4ABBB2" w:rsidR="00133CA7" w:rsidRDefault="0089530C" w:rsidP="0089530C">
      <w:pPr>
        <w:spacing w:after="0" w:line="480" w:lineRule="auto"/>
        <w:jc w:val="both"/>
        <w:rPr>
          <w:rFonts w:cs="Times New Roman"/>
          <w:sz w:val="24"/>
          <w:szCs w:val="24"/>
          <w:lang w:val="en-US"/>
        </w:rPr>
      </w:pPr>
      <w:r>
        <w:rPr>
          <w:rFonts w:cs="Times New Roman"/>
          <w:sz w:val="24"/>
          <w:szCs w:val="24"/>
          <w:lang w:val="en-US"/>
        </w:rPr>
        <w:t>There are no conflicts of interest to report.</w:t>
      </w:r>
    </w:p>
    <w:p w14:paraId="53819ED0" w14:textId="77777777" w:rsidR="00133CA7" w:rsidRDefault="00133CA7" w:rsidP="0089530C">
      <w:pPr>
        <w:spacing w:after="0" w:line="480" w:lineRule="auto"/>
        <w:jc w:val="both"/>
        <w:rPr>
          <w:rFonts w:cs="Times New Roman"/>
          <w:sz w:val="24"/>
          <w:szCs w:val="24"/>
          <w:lang w:val="en-US"/>
        </w:rPr>
      </w:pPr>
    </w:p>
    <w:p w14:paraId="74E2E281" w14:textId="1D480A0D" w:rsidR="00BD34CC" w:rsidRPr="00BD34CC" w:rsidRDefault="00BD34CC" w:rsidP="00BD34CC">
      <w:pPr>
        <w:spacing w:after="0" w:line="480" w:lineRule="auto"/>
        <w:jc w:val="both"/>
        <w:rPr>
          <w:rFonts w:cs="Times New Roman"/>
          <w:b/>
          <w:sz w:val="24"/>
          <w:szCs w:val="24"/>
          <w:lang w:val="en-US"/>
        </w:rPr>
      </w:pPr>
      <w:r>
        <w:rPr>
          <w:rFonts w:cs="Times New Roman"/>
          <w:b/>
          <w:sz w:val="24"/>
          <w:szCs w:val="24"/>
          <w:lang w:val="en-US"/>
        </w:rPr>
        <w:t>REFERENCES</w:t>
      </w:r>
    </w:p>
    <w:p w14:paraId="3F1866C0" w14:textId="61BD8FC4" w:rsidR="00BD34CC" w:rsidRDefault="00BD34CC" w:rsidP="00BD34CC">
      <w:pPr>
        <w:pStyle w:val="PargrafodaLista"/>
        <w:numPr>
          <w:ilvl w:val="0"/>
          <w:numId w:val="1"/>
        </w:numPr>
        <w:spacing w:line="480" w:lineRule="auto"/>
        <w:ind w:left="714" w:hanging="357"/>
        <w:jc w:val="both"/>
        <w:rPr>
          <w:sz w:val="24"/>
          <w:szCs w:val="24"/>
          <w:lang w:val="en-US"/>
        </w:rPr>
      </w:pPr>
      <w:r>
        <w:rPr>
          <w:sz w:val="24"/>
          <w:szCs w:val="24"/>
          <w:lang w:val="en-US"/>
        </w:rPr>
        <w:t>Copelan EA. Hematopoietic stem-cell transplantation. N Engl J Med</w:t>
      </w:r>
      <w:r w:rsidR="001109B8">
        <w:rPr>
          <w:sz w:val="24"/>
          <w:szCs w:val="24"/>
          <w:lang w:val="en-US"/>
        </w:rPr>
        <w:t>.</w:t>
      </w:r>
      <w:r>
        <w:rPr>
          <w:sz w:val="24"/>
          <w:szCs w:val="24"/>
          <w:lang w:val="en-US"/>
        </w:rPr>
        <w:t xml:space="preserve"> 2006; 354: 1813-1826.</w:t>
      </w:r>
    </w:p>
    <w:p w14:paraId="262A9F34" w14:textId="1779983E" w:rsidR="00BD34CC" w:rsidRDefault="00BD34CC" w:rsidP="00BD34CC">
      <w:pPr>
        <w:pStyle w:val="PargrafodaLista"/>
        <w:numPr>
          <w:ilvl w:val="0"/>
          <w:numId w:val="1"/>
        </w:numPr>
        <w:spacing w:line="480" w:lineRule="auto"/>
        <w:ind w:left="714" w:hanging="357"/>
        <w:jc w:val="both"/>
        <w:rPr>
          <w:sz w:val="24"/>
          <w:szCs w:val="24"/>
          <w:lang w:val="en-US"/>
        </w:rPr>
      </w:pPr>
      <w:r w:rsidRPr="00997FDD">
        <w:rPr>
          <w:sz w:val="24"/>
          <w:szCs w:val="24"/>
          <w:lang w:val="en-US"/>
        </w:rPr>
        <w:t>Thomas E, Storb R, Clift RA, Fefer A, Johnson L, Neiman</w:t>
      </w:r>
      <w:r>
        <w:rPr>
          <w:sz w:val="24"/>
          <w:szCs w:val="24"/>
          <w:lang w:val="en-US"/>
        </w:rPr>
        <w:t xml:space="preserve"> P</w:t>
      </w:r>
      <w:r w:rsidRPr="00997FDD">
        <w:rPr>
          <w:sz w:val="24"/>
          <w:szCs w:val="24"/>
          <w:lang w:val="en-US"/>
        </w:rPr>
        <w:t xml:space="preserve"> et al. </w:t>
      </w:r>
      <w:r w:rsidRPr="00886721">
        <w:rPr>
          <w:sz w:val="24"/>
          <w:szCs w:val="24"/>
          <w:lang w:val="en-US"/>
        </w:rPr>
        <w:t>Bone-marrow transplantation. N Engl J Med</w:t>
      </w:r>
      <w:r w:rsidR="001109B8">
        <w:rPr>
          <w:sz w:val="24"/>
          <w:szCs w:val="24"/>
          <w:lang w:val="en-US"/>
        </w:rPr>
        <w:t>. 1975;</w:t>
      </w:r>
      <w:r w:rsidRPr="00886721">
        <w:rPr>
          <w:sz w:val="24"/>
          <w:szCs w:val="24"/>
          <w:lang w:val="en-US"/>
        </w:rPr>
        <w:t xml:space="preserve"> 292: 8</w:t>
      </w:r>
      <w:r>
        <w:rPr>
          <w:sz w:val="24"/>
          <w:szCs w:val="24"/>
          <w:lang w:val="en-US"/>
        </w:rPr>
        <w:t>3</w:t>
      </w:r>
      <w:r w:rsidRPr="00886721">
        <w:rPr>
          <w:sz w:val="24"/>
          <w:szCs w:val="24"/>
          <w:lang w:val="en-US"/>
        </w:rPr>
        <w:t>2</w:t>
      </w:r>
      <w:r>
        <w:rPr>
          <w:sz w:val="24"/>
          <w:szCs w:val="24"/>
          <w:lang w:val="en-US"/>
        </w:rPr>
        <w:t>-843.</w:t>
      </w:r>
      <w:r w:rsidRPr="00886721">
        <w:rPr>
          <w:sz w:val="24"/>
          <w:szCs w:val="24"/>
          <w:lang w:val="en-US"/>
        </w:rPr>
        <w:t xml:space="preserve"> </w:t>
      </w:r>
    </w:p>
    <w:p w14:paraId="4C2A645C" w14:textId="05D0481F" w:rsidR="00BD34CC" w:rsidRDefault="00BD34CC" w:rsidP="00BD34CC">
      <w:pPr>
        <w:pStyle w:val="PargrafodaLista"/>
        <w:numPr>
          <w:ilvl w:val="0"/>
          <w:numId w:val="1"/>
        </w:numPr>
        <w:spacing w:line="480" w:lineRule="auto"/>
        <w:ind w:left="714" w:hanging="357"/>
        <w:jc w:val="both"/>
        <w:rPr>
          <w:sz w:val="24"/>
          <w:szCs w:val="24"/>
          <w:lang w:val="en-US"/>
        </w:rPr>
      </w:pPr>
      <w:r w:rsidRPr="00997FDD">
        <w:rPr>
          <w:sz w:val="24"/>
          <w:szCs w:val="24"/>
          <w:lang w:val="en-US"/>
        </w:rPr>
        <w:t xml:space="preserve">Thomas E, Storb R, Clift RA, Kohnson L, Neiman P et al. </w:t>
      </w:r>
      <w:r w:rsidRPr="00886721">
        <w:rPr>
          <w:sz w:val="24"/>
          <w:szCs w:val="24"/>
          <w:lang w:val="en-US"/>
        </w:rPr>
        <w:t>Bone-marrow transplantation. N En</w:t>
      </w:r>
      <w:r w:rsidR="001109B8">
        <w:rPr>
          <w:sz w:val="24"/>
          <w:szCs w:val="24"/>
          <w:lang w:val="en-US"/>
        </w:rPr>
        <w:t>gl J Med. 1975;</w:t>
      </w:r>
      <w:r w:rsidRPr="00886721">
        <w:rPr>
          <w:sz w:val="24"/>
          <w:szCs w:val="24"/>
          <w:lang w:val="en-US"/>
        </w:rPr>
        <w:t xml:space="preserve"> 292</w:t>
      </w:r>
      <w:r>
        <w:rPr>
          <w:sz w:val="24"/>
          <w:szCs w:val="24"/>
          <w:lang w:val="en-US"/>
        </w:rPr>
        <w:t>:</w:t>
      </w:r>
      <w:r w:rsidRPr="00886721">
        <w:rPr>
          <w:sz w:val="24"/>
          <w:szCs w:val="24"/>
          <w:lang w:val="en-US"/>
        </w:rPr>
        <w:t xml:space="preserve"> 895</w:t>
      </w:r>
      <w:r>
        <w:rPr>
          <w:sz w:val="24"/>
          <w:szCs w:val="24"/>
          <w:lang w:val="en-US"/>
        </w:rPr>
        <w:t>-902</w:t>
      </w:r>
      <w:r w:rsidRPr="00886721">
        <w:rPr>
          <w:sz w:val="24"/>
          <w:szCs w:val="24"/>
          <w:lang w:val="en-US"/>
        </w:rPr>
        <w:t xml:space="preserve">. </w:t>
      </w:r>
    </w:p>
    <w:p w14:paraId="1158E86E" w14:textId="17C6D4CB" w:rsidR="00BD34CC" w:rsidRPr="00CC1BBF" w:rsidRDefault="00BD34CC" w:rsidP="00BD34CC">
      <w:pPr>
        <w:pStyle w:val="PargrafodaLista"/>
        <w:numPr>
          <w:ilvl w:val="0"/>
          <w:numId w:val="1"/>
        </w:numPr>
        <w:spacing w:line="480" w:lineRule="auto"/>
        <w:ind w:left="714" w:hanging="357"/>
        <w:jc w:val="both"/>
        <w:rPr>
          <w:sz w:val="24"/>
          <w:szCs w:val="24"/>
          <w:lang w:val="en-US"/>
        </w:rPr>
      </w:pPr>
      <w:r>
        <w:rPr>
          <w:sz w:val="24"/>
          <w:szCs w:val="24"/>
          <w:lang w:val="en-US"/>
        </w:rPr>
        <w:t>Mathé G, Amiel JL, Schwarzenberg L, Cattan A</w:t>
      </w:r>
      <w:r w:rsidR="003B61B2">
        <w:rPr>
          <w:sz w:val="24"/>
          <w:szCs w:val="24"/>
          <w:lang w:val="en-US"/>
        </w:rPr>
        <w:t>, Schneider M, Devries MJ</w:t>
      </w:r>
      <w:r>
        <w:rPr>
          <w:sz w:val="24"/>
          <w:szCs w:val="24"/>
          <w:lang w:val="en-US"/>
        </w:rPr>
        <w:t xml:space="preserve"> et al. Successful allogeneic bone marrow transplantation in man: chimerism, induced specific tolerance and possible an</w:t>
      </w:r>
      <w:r w:rsidR="001109B8">
        <w:rPr>
          <w:sz w:val="24"/>
          <w:szCs w:val="24"/>
          <w:lang w:val="en-US"/>
        </w:rPr>
        <w:t>ti-leukemic effects. Blood 1965;</w:t>
      </w:r>
      <w:r>
        <w:rPr>
          <w:sz w:val="24"/>
          <w:szCs w:val="24"/>
          <w:lang w:val="en-US"/>
        </w:rPr>
        <w:t xml:space="preserve"> 25: 179</w:t>
      </w:r>
      <w:r w:rsidR="00EB4B82">
        <w:rPr>
          <w:sz w:val="24"/>
          <w:szCs w:val="24"/>
          <w:lang w:val="en-US"/>
        </w:rPr>
        <w:t>-196</w:t>
      </w:r>
      <w:r>
        <w:rPr>
          <w:sz w:val="24"/>
          <w:szCs w:val="24"/>
          <w:lang w:val="en-US"/>
        </w:rPr>
        <w:t>.</w:t>
      </w:r>
    </w:p>
    <w:p w14:paraId="1AD9709F" w14:textId="304B96C7" w:rsidR="00BD34CC" w:rsidRPr="004661C6" w:rsidRDefault="00BD34CC" w:rsidP="00BD34CC">
      <w:pPr>
        <w:pStyle w:val="PargrafodaLista"/>
        <w:numPr>
          <w:ilvl w:val="0"/>
          <w:numId w:val="1"/>
        </w:numPr>
        <w:spacing w:line="480" w:lineRule="auto"/>
        <w:ind w:left="714" w:hanging="357"/>
        <w:jc w:val="both"/>
        <w:rPr>
          <w:sz w:val="24"/>
          <w:szCs w:val="24"/>
          <w:lang w:val="en-US"/>
        </w:rPr>
      </w:pPr>
      <w:r>
        <w:rPr>
          <w:sz w:val="24"/>
          <w:szCs w:val="24"/>
          <w:lang w:val="en-US"/>
        </w:rPr>
        <w:t>Bortin MM. A compendium of reported human bone marrow tr</w:t>
      </w:r>
      <w:r w:rsidR="001109B8">
        <w:rPr>
          <w:sz w:val="24"/>
          <w:szCs w:val="24"/>
          <w:lang w:val="en-US"/>
        </w:rPr>
        <w:t>ansplants. Transplantation 1970;</w:t>
      </w:r>
      <w:r>
        <w:rPr>
          <w:sz w:val="24"/>
          <w:szCs w:val="24"/>
          <w:lang w:val="en-US"/>
        </w:rPr>
        <w:t xml:space="preserve"> 9: 571-587.</w:t>
      </w:r>
    </w:p>
    <w:p w14:paraId="22C24121" w14:textId="4830F5C2" w:rsidR="00BD34CC" w:rsidRPr="004661C6" w:rsidRDefault="00BD34CC" w:rsidP="00BD34CC">
      <w:pPr>
        <w:pStyle w:val="PargrafodaLista"/>
        <w:numPr>
          <w:ilvl w:val="0"/>
          <w:numId w:val="1"/>
        </w:numPr>
        <w:spacing w:line="480" w:lineRule="auto"/>
        <w:ind w:left="714" w:hanging="357"/>
        <w:jc w:val="both"/>
        <w:rPr>
          <w:sz w:val="24"/>
          <w:szCs w:val="24"/>
          <w:lang w:val="en-US"/>
        </w:rPr>
      </w:pPr>
      <w:r>
        <w:rPr>
          <w:sz w:val="24"/>
          <w:szCs w:val="24"/>
          <w:lang w:val="en-US"/>
        </w:rPr>
        <w:t>Appelbaum FR. Hematopoietic-cell transplantation at 50. N Engl J Med</w:t>
      </w:r>
      <w:r w:rsidR="001109B8">
        <w:rPr>
          <w:sz w:val="24"/>
          <w:szCs w:val="24"/>
          <w:lang w:val="en-US"/>
        </w:rPr>
        <w:t>.</w:t>
      </w:r>
      <w:r>
        <w:rPr>
          <w:sz w:val="24"/>
          <w:szCs w:val="24"/>
          <w:lang w:val="en-US"/>
        </w:rPr>
        <w:t xml:space="preserve"> 2007; 357: 1472-1475.</w:t>
      </w:r>
    </w:p>
    <w:p w14:paraId="11495FC4" w14:textId="77777777" w:rsidR="00BD34CC" w:rsidRDefault="00BD34CC" w:rsidP="00BD34CC">
      <w:pPr>
        <w:pStyle w:val="PargrafodaLista"/>
        <w:numPr>
          <w:ilvl w:val="0"/>
          <w:numId w:val="1"/>
        </w:numPr>
        <w:spacing w:line="480" w:lineRule="auto"/>
        <w:ind w:left="714" w:hanging="357"/>
        <w:jc w:val="both"/>
        <w:rPr>
          <w:sz w:val="24"/>
          <w:szCs w:val="24"/>
          <w:lang w:val="en-US"/>
        </w:rPr>
      </w:pPr>
      <w:r>
        <w:rPr>
          <w:sz w:val="24"/>
          <w:szCs w:val="24"/>
          <w:lang w:val="en-US"/>
        </w:rPr>
        <w:lastRenderedPageBreak/>
        <w:t xml:space="preserve">Lee SJ, Klein J, Haagenson M, Baxter-Lowe LA, Confer DL, Eapen M et al. High-resolution donor-recipient HLA matching contributes to the success of unrelated donor marrow transplantation. Blood 2007; 110: 4576-4583. </w:t>
      </w:r>
    </w:p>
    <w:p w14:paraId="46EB8E56" w14:textId="77777777" w:rsidR="00BD34CC" w:rsidRDefault="00BD34CC" w:rsidP="00BD34CC">
      <w:pPr>
        <w:pStyle w:val="PargrafodaLista"/>
        <w:numPr>
          <w:ilvl w:val="0"/>
          <w:numId w:val="1"/>
        </w:numPr>
        <w:spacing w:line="480" w:lineRule="auto"/>
        <w:ind w:left="714" w:hanging="357"/>
        <w:jc w:val="both"/>
        <w:rPr>
          <w:sz w:val="24"/>
          <w:szCs w:val="24"/>
          <w:lang w:val="en-US"/>
        </w:rPr>
      </w:pPr>
      <w:r>
        <w:rPr>
          <w:sz w:val="24"/>
          <w:szCs w:val="24"/>
          <w:lang w:val="en-US"/>
        </w:rPr>
        <w:t>Stor</w:t>
      </w:r>
      <w:r w:rsidRPr="0028171F">
        <w:rPr>
          <w:sz w:val="24"/>
          <w:szCs w:val="24"/>
          <w:lang w:val="en-US"/>
        </w:rPr>
        <w:t>b R, Sandmaier BM. Nonmye</w:t>
      </w:r>
      <w:r>
        <w:rPr>
          <w:sz w:val="24"/>
          <w:szCs w:val="24"/>
          <w:lang w:val="en-US"/>
        </w:rPr>
        <w:t>l</w:t>
      </w:r>
      <w:r w:rsidRPr="0028171F">
        <w:rPr>
          <w:sz w:val="24"/>
          <w:szCs w:val="24"/>
          <w:lang w:val="en-US"/>
        </w:rPr>
        <w:t>oablative allogeneic hematopoietic cell transplantation. Haematologica 2016; 101: 521</w:t>
      </w:r>
      <w:r>
        <w:rPr>
          <w:sz w:val="24"/>
          <w:szCs w:val="24"/>
          <w:lang w:val="en-US"/>
        </w:rPr>
        <w:t>-530</w:t>
      </w:r>
      <w:r w:rsidRPr="0028171F">
        <w:rPr>
          <w:sz w:val="24"/>
          <w:szCs w:val="24"/>
          <w:lang w:val="en-US"/>
        </w:rPr>
        <w:t>.</w:t>
      </w:r>
    </w:p>
    <w:p w14:paraId="55C0528E" w14:textId="269852B9" w:rsidR="00BD34CC" w:rsidRPr="0028171F" w:rsidRDefault="00BD34CC" w:rsidP="00BD34CC">
      <w:pPr>
        <w:pStyle w:val="PargrafodaLista"/>
        <w:numPr>
          <w:ilvl w:val="0"/>
          <w:numId w:val="1"/>
        </w:numPr>
        <w:spacing w:line="480" w:lineRule="auto"/>
        <w:ind w:left="714" w:hanging="357"/>
        <w:jc w:val="both"/>
        <w:rPr>
          <w:sz w:val="24"/>
          <w:szCs w:val="24"/>
          <w:lang w:val="en-US"/>
        </w:rPr>
      </w:pPr>
      <w:r w:rsidRPr="0028171F">
        <w:rPr>
          <w:sz w:val="24"/>
          <w:szCs w:val="24"/>
          <w:lang w:val="en-US"/>
        </w:rPr>
        <w:t>Bacigalupo A, Ballen K, Rizzo D, Giralt S, Lazarus H, Ho V</w:t>
      </w:r>
      <w:r>
        <w:rPr>
          <w:sz w:val="24"/>
          <w:szCs w:val="24"/>
          <w:lang w:val="en-US"/>
        </w:rPr>
        <w:t xml:space="preserve"> et al.</w:t>
      </w:r>
      <w:r w:rsidRPr="0028171F">
        <w:rPr>
          <w:sz w:val="24"/>
          <w:szCs w:val="24"/>
          <w:lang w:val="en-US"/>
        </w:rPr>
        <w:t xml:space="preserve"> Defining the intensity of conditioning regimens: working definitions. Biol Blood Marrow Transplant</w:t>
      </w:r>
      <w:r w:rsidR="001109B8">
        <w:rPr>
          <w:sz w:val="24"/>
          <w:szCs w:val="24"/>
          <w:lang w:val="en-US"/>
        </w:rPr>
        <w:t>.</w:t>
      </w:r>
      <w:r w:rsidRPr="0028171F">
        <w:rPr>
          <w:sz w:val="24"/>
          <w:szCs w:val="24"/>
          <w:lang w:val="en-US"/>
        </w:rPr>
        <w:t xml:space="preserve"> 2009; 15: 1628</w:t>
      </w:r>
      <w:r>
        <w:rPr>
          <w:sz w:val="24"/>
          <w:szCs w:val="24"/>
          <w:lang w:val="en-US"/>
        </w:rPr>
        <w:t>-1633</w:t>
      </w:r>
      <w:r w:rsidRPr="0028171F">
        <w:rPr>
          <w:sz w:val="24"/>
          <w:szCs w:val="24"/>
          <w:lang w:val="en-US"/>
        </w:rPr>
        <w:t>.</w:t>
      </w:r>
    </w:p>
    <w:p w14:paraId="4E2BFF35" w14:textId="2D3E601A" w:rsidR="00BD34CC" w:rsidRPr="0028171F" w:rsidRDefault="00BD34CC" w:rsidP="00BD34CC">
      <w:pPr>
        <w:pStyle w:val="PargrafodaLista"/>
        <w:numPr>
          <w:ilvl w:val="0"/>
          <w:numId w:val="1"/>
        </w:numPr>
        <w:spacing w:line="480" w:lineRule="auto"/>
        <w:ind w:left="714" w:hanging="357"/>
        <w:jc w:val="both"/>
        <w:rPr>
          <w:sz w:val="24"/>
          <w:szCs w:val="24"/>
          <w:lang w:val="en-US"/>
        </w:rPr>
      </w:pPr>
      <w:r>
        <w:rPr>
          <w:sz w:val="24"/>
          <w:szCs w:val="24"/>
          <w:lang w:val="en-US"/>
        </w:rPr>
        <w:t>Chaidos A, Kanfer E, Apperley JF. Risk assessment in haematopoietic stem cell transplantation: disease and disease stage. Best Pract Res Clin Haematol</w:t>
      </w:r>
      <w:r w:rsidR="001109B8">
        <w:rPr>
          <w:sz w:val="24"/>
          <w:szCs w:val="24"/>
          <w:lang w:val="en-US"/>
        </w:rPr>
        <w:t>.</w:t>
      </w:r>
      <w:r>
        <w:rPr>
          <w:sz w:val="24"/>
          <w:szCs w:val="24"/>
          <w:lang w:val="en-US"/>
        </w:rPr>
        <w:t xml:space="preserve"> 2007; 20: 125-154.</w:t>
      </w:r>
    </w:p>
    <w:p w14:paraId="08EA6422" w14:textId="77777777" w:rsidR="00BD34CC" w:rsidRDefault="00BD34CC" w:rsidP="00BD34CC">
      <w:pPr>
        <w:pStyle w:val="PargrafodaLista"/>
        <w:numPr>
          <w:ilvl w:val="0"/>
          <w:numId w:val="1"/>
        </w:numPr>
        <w:spacing w:line="480" w:lineRule="auto"/>
        <w:ind w:left="714" w:hanging="357"/>
        <w:jc w:val="both"/>
        <w:rPr>
          <w:sz w:val="24"/>
          <w:szCs w:val="24"/>
          <w:lang w:val="en-US"/>
        </w:rPr>
      </w:pPr>
      <w:r w:rsidRPr="0028171F">
        <w:rPr>
          <w:sz w:val="24"/>
          <w:szCs w:val="24"/>
          <w:lang w:val="en-US"/>
        </w:rPr>
        <w:t xml:space="preserve">Petersdorf EW, Longton GM, Anasetti C, Mickelson EM, McKinney SK, Smith AG </w:t>
      </w:r>
      <w:r>
        <w:rPr>
          <w:sz w:val="24"/>
          <w:szCs w:val="24"/>
          <w:lang w:val="en-US"/>
        </w:rPr>
        <w:t>et al.</w:t>
      </w:r>
      <w:r w:rsidRPr="0028171F">
        <w:rPr>
          <w:sz w:val="24"/>
          <w:szCs w:val="24"/>
          <w:lang w:val="en-US"/>
        </w:rPr>
        <w:t xml:space="preserve"> Association of HLA-C disparity with graft failure after marrow transplantation from unrelated donors. Blood 1997; 89: 1818</w:t>
      </w:r>
      <w:r>
        <w:rPr>
          <w:sz w:val="24"/>
          <w:szCs w:val="24"/>
          <w:lang w:val="en-US"/>
        </w:rPr>
        <w:t>-1823</w:t>
      </w:r>
      <w:r w:rsidRPr="0028171F">
        <w:rPr>
          <w:sz w:val="24"/>
          <w:szCs w:val="24"/>
          <w:lang w:val="en-US"/>
        </w:rPr>
        <w:t>.</w:t>
      </w:r>
    </w:p>
    <w:p w14:paraId="23101198" w14:textId="46EF2883" w:rsidR="00BD34CC" w:rsidRPr="00580947" w:rsidRDefault="00BD34CC" w:rsidP="00BD34CC">
      <w:pPr>
        <w:pStyle w:val="PargrafodaLista"/>
        <w:numPr>
          <w:ilvl w:val="0"/>
          <w:numId w:val="1"/>
        </w:numPr>
        <w:spacing w:line="480" w:lineRule="auto"/>
        <w:ind w:left="714" w:hanging="357"/>
        <w:jc w:val="both"/>
        <w:rPr>
          <w:sz w:val="24"/>
          <w:szCs w:val="24"/>
          <w:lang w:val="en-US"/>
        </w:rPr>
      </w:pPr>
      <w:r w:rsidRPr="009D76E9">
        <w:rPr>
          <w:color w:val="000000"/>
          <w:sz w:val="24"/>
          <w:szCs w:val="24"/>
          <w:lang w:val="en-US"/>
        </w:rPr>
        <w:t xml:space="preserve">Pierdomenico F, Ferreira I, Teixeira G, Miranda N, Guimarães A, Fernandez E, Abecasis, M. The role of Campath in HLA-C mismatched unrelated allogeneic </w:t>
      </w:r>
      <w:r w:rsidRPr="009D76E9">
        <w:rPr>
          <w:color w:val="000000"/>
          <w:sz w:val="24"/>
          <w:szCs w:val="24"/>
          <w:lang w:val="en-US"/>
        </w:rPr>
        <w:lastRenderedPageBreak/>
        <w:t xml:space="preserve">transplant: a single center experience. </w:t>
      </w:r>
      <w:r w:rsidR="001109B8">
        <w:rPr>
          <w:color w:val="000000"/>
          <w:sz w:val="24"/>
          <w:szCs w:val="24"/>
          <w:lang w:val="en-US"/>
        </w:rPr>
        <w:t>Bone Marrow Transplant. 2011;</w:t>
      </w:r>
      <w:r w:rsidRPr="00EB4B82">
        <w:rPr>
          <w:color w:val="000000"/>
          <w:sz w:val="24"/>
          <w:szCs w:val="24"/>
          <w:lang w:val="en-US"/>
        </w:rPr>
        <w:t xml:space="preserve"> 46: S358.</w:t>
      </w:r>
    </w:p>
    <w:p w14:paraId="0263E31F" w14:textId="36D41023" w:rsidR="00580947" w:rsidRPr="009D76E9" w:rsidRDefault="00580947" w:rsidP="00BD34CC">
      <w:pPr>
        <w:pStyle w:val="PargrafodaLista"/>
        <w:numPr>
          <w:ilvl w:val="0"/>
          <w:numId w:val="1"/>
        </w:numPr>
        <w:spacing w:line="480" w:lineRule="auto"/>
        <w:ind w:left="714" w:hanging="357"/>
        <w:jc w:val="both"/>
        <w:rPr>
          <w:sz w:val="24"/>
          <w:szCs w:val="24"/>
          <w:lang w:val="en-US"/>
        </w:rPr>
      </w:pPr>
      <w:r w:rsidRPr="00AB7504">
        <w:rPr>
          <w:sz w:val="24"/>
          <w:szCs w:val="24"/>
          <w:lang w:val="en"/>
        </w:rPr>
        <w:t xml:space="preserve">R Core Team (2014). R: A language and environment for statistical computing. R Foundation for Statistical Computing, Vienna, Austria. </w:t>
      </w:r>
      <w:r>
        <w:rPr>
          <w:sz w:val="24"/>
          <w:szCs w:val="24"/>
          <w:lang w:val="en"/>
        </w:rPr>
        <w:t>(</w:t>
      </w:r>
      <w:r w:rsidRPr="00AB7504">
        <w:rPr>
          <w:sz w:val="24"/>
          <w:szCs w:val="24"/>
          <w:lang w:val="en"/>
        </w:rPr>
        <w:t>URL http://www.R-project.org/)</w:t>
      </w:r>
    </w:p>
    <w:p w14:paraId="3A7FB243" w14:textId="77777777" w:rsidR="00BD34CC" w:rsidRDefault="00BD34CC" w:rsidP="00BD34CC">
      <w:pPr>
        <w:pStyle w:val="PargrafodaLista"/>
        <w:numPr>
          <w:ilvl w:val="0"/>
          <w:numId w:val="1"/>
        </w:numPr>
        <w:spacing w:line="480" w:lineRule="auto"/>
        <w:ind w:left="714" w:hanging="357"/>
        <w:jc w:val="both"/>
        <w:rPr>
          <w:sz w:val="24"/>
          <w:szCs w:val="24"/>
          <w:lang w:val="en-US"/>
        </w:rPr>
      </w:pPr>
      <w:r>
        <w:rPr>
          <w:sz w:val="24"/>
          <w:szCs w:val="24"/>
        </w:rPr>
        <w:t xml:space="preserve">Abecasis M, Gutierrez MJ, Espadinha C et al. </w:t>
      </w:r>
      <w:r>
        <w:rPr>
          <w:sz w:val="24"/>
          <w:szCs w:val="24"/>
          <w:lang w:val="en-US"/>
        </w:rPr>
        <w:t xml:space="preserve">Clinical utility of family-directed cord blood storage. Presented at: V World Cord Blood Congress and Innovative Cell Therapies, Monaco, 5-8 March 2015. </w:t>
      </w:r>
    </w:p>
    <w:p w14:paraId="4FE6771A" w14:textId="443F8FF2" w:rsidR="00BD34CC" w:rsidRPr="0028171F" w:rsidRDefault="00BD34CC" w:rsidP="00BD34CC">
      <w:pPr>
        <w:pStyle w:val="PargrafodaLista"/>
        <w:numPr>
          <w:ilvl w:val="0"/>
          <w:numId w:val="1"/>
        </w:numPr>
        <w:spacing w:line="480" w:lineRule="auto"/>
        <w:ind w:left="714" w:hanging="357"/>
        <w:jc w:val="both"/>
        <w:rPr>
          <w:sz w:val="24"/>
          <w:szCs w:val="24"/>
          <w:lang w:val="en-US"/>
        </w:rPr>
      </w:pPr>
      <w:r w:rsidRPr="0028171F">
        <w:rPr>
          <w:sz w:val="24"/>
          <w:szCs w:val="24"/>
          <w:lang w:val="en-US"/>
        </w:rPr>
        <w:t>Luznick L, O’Donnell PV, Symons HJ</w:t>
      </w:r>
      <w:r>
        <w:rPr>
          <w:sz w:val="24"/>
          <w:szCs w:val="24"/>
          <w:lang w:val="en-US"/>
        </w:rPr>
        <w:t xml:space="preserve">, Chen AR, Leffell SM, Zahurak M </w:t>
      </w:r>
      <w:r w:rsidRPr="0028171F">
        <w:rPr>
          <w:sz w:val="24"/>
          <w:szCs w:val="24"/>
          <w:lang w:val="en-US"/>
        </w:rPr>
        <w:t xml:space="preserve"> et al. HLA-haploidentical bone marrow transplantation for hematologic malignancies using nonmyeloablative conditioning and high-dose posttransplantation cyclophosphamide. Bi</w:t>
      </w:r>
      <w:r w:rsidR="001109B8">
        <w:rPr>
          <w:sz w:val="24"/>
          <w:szCs w:val="24"/>
          <w:lang w:val="en-US"/>
        </w:rPr>
        <w:t>ol Blood Marrow Transplant. 2008;</w:t>
      </w:r>
      <w:r w:rsidRPr="0028171F">
        <w:rPr>
          <w:sz w:val="24"/>
          <w:szCs w:val="24"/>
          <w:lang w:val="en-US"/>
        </w:rPr>
        <w:t xml:space="preserve"> 14: 641</w:t>
      </w:r>
      <w:r>
        <w:rPr>
          <w:sz w:val="24"/>
          <w:szCs w:val="24"/>
          <w:lang w:val="en-US"/>
        </w:rPr>
        <w:t>-650</w:t>
      </w:r>
      <w:r w:rsidRPr="0028171F">
        <w:rPr>
          <w:sz w:val="24"/>
          <w:szCs w:val="24"/>
          <w:lang w:val="en-US"/>
        </w:rPr>
        <w:t>.</w:t>
      </w:r>
    </w:p>
    <w:p w14:paraId="5773F437" w14:textId="3DE3F70D" w:rsidR="00BD34CC" w:rsidRPr="0028171F" w:rsidRDefault="00BD34CC" w:rsidP="00BD34CC">
      <w:pPr>
        <w:pStyle w:val="PargrafodaLista"/>
        <w:numPr>
          <w:ilvl w:val="0"/>
          <w:numId w:val="1"/>
        </w:numPr>
        <w:spacing w:line="480" w:lineRule="auto"/>
        <w:ind w:left="714" w:hanging="357"/>
        <w:jc w:val="both"/>
        <w:rPr>
          <w:sz w:val="24"/>
          <w:szCs w:val="24"/>
          <w:lang w:val="en-US"/>
        </w:rPr>
      </w:pPr>
      <w:r w:rsidRPr="003E7D2D">
        <w:rPr>
          <w:sz w:val="24"/>
          <w:szCs w:val="24"/>
        </w:rPr>
        <w:t>Raiola AM, Dominietto A, Ghiso A, Di Grazia C, Lamparelli T</w:t>
      </w:r>
      <w:r>
        <w:rPr>
          <w:sz w:val="24"/>
          <w:szCs w:val="24"/>
        </w:rPr>
        <w:t>, Gualandi F</w:t>
      </w:r>
      <w:r w:rsidRPr="003E7D2D">
        <w:rPr>
          <w:sz w:val="24"/>
          <w:szCs w:val="24"/>
        </w:rPr>
        <w:t xml:space="preserve"> et al. </w:t>
      </w:r>
      <w:r w:rsidRPr="0028171F">
        <w:rPr>
          <w:sz w:val="24"/>
          <w:szCs w:val="24"/>
          <w:lang w:val="en-US"/>
        </w:rPr>
        <w:t>Unmanipulated haploidentical bone marrow transplantation and posttransplantation cyclophosphamide for hematologic malignancies after myeloablative conditioning. Biol Blood Marrow Transplant</w:t>
      </w:r>
      <w:r w:rsidR="001109B8">
        <w:rPr>
          <w:sz w:val="24"/>
          <w:szCs w:val="24"/>
          <w:lang w:val="en-US"/>
        </w:rPr>
        <w:t>.</w:t>
      </w:r>
      <w:r w:rsidRPr="0028171F">
        <w:rPr>
          <w:sz w:val="24"/>
          <w:szCs w:val="24"/>
          <w:lang w:val="en-US"/>
        </w:rPr>
        <w:t xml:space="preserve"> 2013; 19: 117</w:t>
      </w:r>
      <w:r>
        <w:rPr>
          <w:sz w:val="24"/>
          <w:szCs w:val="24"/>
          <w:lang w:val="en-US"/>
        </w:rPr>
        <w:t>-122</w:t>
      </w:r>
      <w:r w:rsidRPr="0028171F">
        <w:rPr>
          <w:sz w:val="24"/>
          <w:szCs w:val="24"/>
          <w:lang w:val="en-US"/>
        </w:rPr>
        <w:t>.</w:t>
      </w:r>
    </w:p>
    <w:p w14:paraId="51FFC69A" w14:textId="22B9E264" w:rsidR="00BD34CC" w:rsidRPr="0028171F" w:rsidRDefault="00BD34CC" w:rsidP="00BD34CC">
      <w:pPr>
        <w:pStyle w:val="PargrafodaLista"/>
        <w:numPr>
          <w:ilvl w:val="0"/>
          <w:numId w:val="1"/>
        </w:numPr>
        <w:spacing w:line="480" w:lineRule="auto"/>
        <w:ind w:left="714" w:hanging="357"/>
        <w:jc w:val="both"/>
        <w:rPr>
          <w:sz w:val="24"/>
          <w:szCs w:val="24"/>
          <w:lang w:val="en-US"/>
        </w:rPr>
      </w:pPr>
      <w:r w:rsidRPr="0028171F">
        <w:rPr>
          <w:sz w:val="24"/>
          <w:szCs w:val="24"/>
          <w:lang w:val="en-US"/>
        </w:rPr>
        <w:t xml:space="preserve">Horowitz M. Does matched unrelated donor transplantation have the same outcome as matched </w:t>
      </w:r>
      <w:r w:rsidRPr="0028171F">
        <w:rPr>
          <w:sz w:val="24"/>
          <w:szCs w:val="24"/>
          <w:lang w:val="en-US"/>
        </w:rPr>
        <w:lastRenderedPageBreak/>
        <w:t>sibling transplantation in unselected patients? Best Pract Res Clin Haematol</w:t>
      </w:r>
      <w:r w:rsidR="001109B8">
        <w:rPr>
          <w:sz w:val="24"/>
          <w:szCs w:val="24"/>
          <w:lang w:val="en-US"/>
        </w:rPr>
        <w:t>.</w:t>
      </w:r>
      <w:r w:rsidRPr="0028171F">
        <w:rPr>
          <w:sz w:val="24"/>
          <w:szCs w:val="24"/>
          <w:lang w:val="en-US"/>
        </w:rPr>
        <w:t xml:space="preserve"> 2012; 25: 483</w:t>
      </w:r>
      <w:r>
        <w:rPr>
          <w:sz w:val="24"/>
          <w:szCs w:val="24"/>
          <w:lang w:val="en-US"/>
        </w:rPr>
        <w:t>-486</w:t>
      </w:r>
      <w:r w:rsidRPr="0028171F">
        <w:rPr>
          <w:sz w:val="24"/>
          <w:szCs w:val="24"/>
          <w:lang w:val="en-US"/>
        </w:rPr>
        <w:t>.</w:t>
      </w:r>
    </w:p>
    <w:p w14:paraId="5C72DE68" w14:textId="28171174" w:rsidR="00BD34CC" w:rsidRPr="0028171F" w:rsidRDefault="00BD34CC" w:rsidP="00BD34CC">
      <w:pPr>
        <w:pStyle w:val="PargrafodaLista"/>
        <w:numPr>
          <w:ilvl w:val="0"/>
          <w:numId w:val="1"/>
        </w:numPr>
        <w:spacing w:line="480" w:lineRule="auto"/>
        <w:ind w:left="714" w:hanging="357"/>
        <w:jc w:val="both"/>
        <w:rPr>
          <w:sz w:val="24"/>
          <w:szCs w:val="24"/>
          <w:lang w:val="en-US"/>
        </w:rPr>
      </w:pPr>
      <w:r w:rsidRPr="0028171F">
        <w:rPr>
          <w:sz w:val="24"/>
          <w:szCs w:val="24"/>
          <w:lang w:val="en-US"/>
        </w:rPr>
        <w:t>Kroger N, Zabelina T, Binder T</w:t>
      </w:r>
      <w:r>
        <w:rPr>
          <w:sz w:val="24"/>
          <w:szCs w:val="24"/>
          <w:lang w:val="en-US"/>
        </w:rPr>
        <w:t>, Ayuk F, Bacher U, Amtsfeld G</w:t>
      </w:r>
      <w:r w:rsidRPr="0028171F">
        <w:rPr>
          <w:sz w:val="24"/>
          <w:szCs w:val="24"/>
          <w:lang w:val="en-US"/>
        </w:rPr>
        <w:t xml:space="preserve"> et al. HLA-mismatched unrelated donors as an alternative graft source for allogeneic stem cell transplantation after antithymocyte globulin-containing conditioning regimen. Biol Blood Marrow Transplant</w:t>
      </w:r>
      <w:r w:rsidR="001109B8">
        <w:rPr>
          <w:sz w:val="24"/>
          <w:szCs w:val="24"/>
          <w:lang w:val="en-US"/>
        </w:rPr>
        <w:t>.</w:t>
      </w:r>
      <w:r w:rsidRPr="0028171F">
        <w:rPr>
          <w:sz w:val="24"/>
          <w:szCs w:val="24"/>
          <w:lang w:val="en-US"/>
        </w:rPr>
        <w:t xml:space="preserve"> 2009; 15: 454</w:t>
      </w:r>
      <w:r>
        <w:rPr>
          <w:sz w:val="24"/>
          <w:szCs w:val="24"/>
          <w:lang w:val="en-US"/>
        </w:rPr>
        <w:t>-462</w:t>
      </w:r>
      <w:r w:rsidRPr="0028171F">
        <w:rPr>
          <w:sz w:val="24"/>
          <w:szCs w:val="24"/>
          <w:lang w:val="en-US"/>
        </w:rPr>
        <w:t>.</w:t>
      </w:r>
    </w:p>
    <w:p w14:paraId="3DCB1B2A" w14:textId="091B0E3C" w:rsidR="00BD34CC" w:rsidRPr="0028171F" w:rsidRDefault="00BD34CC" w:rsidP="00BD34CC">
      <w:pPr>
        <w:pStyle w:val="PargrafodaLista"/>
        <w:numPr>
          <w:ilvl w:val="0"/>
          <w:numId w:val="1"/>
        </w:numPr>
        <w:spacing w:line="480" w:lineRule="auto"/>
        <w:ind w:left="714" w:hanging="357"/>
        <w:jc w:val="both"/>
        <w:rPr>
          <w:sz w:val="24"/>
          <w:szCs w:val="24"/>
          <w:lang w:val="en-US"/>
        </w:rPr>
      </w:pPr>
      <w:r w:rsidRPr="00B7189C">
        <w:rPr>
          <w:sz w:val="24"/>
          <w:szCs w:val="24"/>
        </w:rPr>
        <w:t>Jorge AS, Suárez-Lledó M, Pereira A</w:t>
      </w:r>
      <w:r>
        <w:rPr>
          <w:sz w:val="24"/>
          <w:szCs w:val="24"/>
        </w:rPr>
        <w:t>, Gutierrez G, Fernandez-Avilez F, Rosiñol L</w:t>
      </w:r>
      <w:r w:rsidRPr="00B7189C">
        <w:rPr>
          <w:sz w:val="24"/>
          <w:szCs w:val="24"/>
        </w:rPr>
        <w:t xml:space="preserve"> et al. </w:t>
      </w:r>
      <w:r w:rsidRPr="0028171F">
        <w:rPr>
          <w:sz w:val="24"/>
          <w:szCs w:val="24"/>
          <w:lang w:val="en-US"/>
        </w:rPr>
        <w:t>Single antigen-mismatched unr</w:t>
      </w:r>
      <w:r>
        <w:rPr>
          <w:sz w:val="24"/>
          <w:szCs w:val="24"/>
          <w:lang w:val="en-US"/>
        </w:rPr>
        <w:t>elated hematopoietic stem cell t</w:t>
      </w:r>
      <w:r w:rsidRPr="0028171F">
        <w:rPr>
          <w:sz w:val="24"/>
          <w:szCs w:val="24"/>
          <w:lang w:val="en-US"/>
        </w:rPr>
        <w:t>ransplantation using high-dose po</w:t>
      </w:r>
      <w:r>
        <w:rPr>
          <w:sz w:val="24"/>
          <w:szCs w:val="24"/>
          <w:lang w:val="en-US"/>
        </w:rPr>
        <w:t>s</w:t>
      </w:r>
      <w:r w:rsidRPr="0028171F">
        <w:rPr>
          <w:sz w:val="24"/>
          <w:szCs w:val="24"/>
          <w:lang w:val="en-US"/>
        </w:rPr>
        <w:t>t-t</w:t>
      </w:r>
      <w:r>
        <w:rPr>
          <w:sz w:val="24"/>
          <w:szCs w:val="24"/>
          <w:lang w:val="en-US"/>
        </w:rPr>
        <w:t>r</w:t>
      </w:r>
      <w:r w:rsidRPr="0028171F">
        <w:rPr>
          <w:sz w:val="24"/>
          <w:szCs w:val="24"/>
          <w:lang w:val="en-US"/>
        </w:rPr>
        <w:t>ansplantation cyclophosphamide is a suitable alternative for patients lacking HLA-matched donors. Biol Blood Marrow Transplant</w:t>
      </w:r>
      <w:r w:rsidR="001109B8">
        <w:rPr>
          <w:sz w:val="24"/>
          <w:szCs w:val="24"/>
          <w:lang w:val="en-US"/>
        </w:rPr>
        <w:t>.</w:t>
      </w:r>
      <w:r w:rsidRPr="0028171F">
        <w:rPr>
          <w:sz w:val="24"/>
          <w:szCs w:val="24"/>
          <w:lang w:val="en-US"/>
        </w:rPr>
        <w:t xml:space="preserve"> 2018; 24:1196</w:t>
      </w:r>
      <w:r>
        <w:rPr>
          <w:sz w:val="24"/>
          <w:szCs w:val="24"/>
          <w:lang w:val="en-US"/>
        </w:rPr>
        <w:t xml:space="preserve"> 1202</w:t>
      </w:r>
      <w:r w:rsidRPr="0028171F">
        <w:rPr>
          <w:sz w:val="24"/>
          <w:szCs w:val="24"/>
          <w:lang w:val="en-US"/>
        </w:rPr>
        <w:t>.</w:t>
      </w:r>
    </w:p>
    <w:p w14:paraId="33DDFCDD" w14:textId="0815A418" w:rsidR="00BD34CC" w:rsidRDefault="00BD34CC" w:rsidP="00BD34CC">
      <w:pPr>
        <w:pStyle w:val="PargrafodaLista"/>
        <w:numPr>
          <w:ilvl w:val="0"/>
          <w:numId w:val="1"/>
        </w:numPr>
        <w:spacing w:line="480" w:lineRule="auto"/>
        <w:ind w:left="714" w:hanging="357"/>
        <w:jc w:val="both"/>
        <w:rPr>
          <w:sz w:val="24"/>
          <w:szCs w:val="24"/>
          <w:lang w:val="en-US"/>
        </w:rPr>
      </w:pPr>
      <w:r w:rsidRPr="0028171F">
        <w:rPr>
          <w:sz w:val="24"/>
          <w:szCs w:val="24"/>
          <w:lang w:val="en-US"/>
        </w:rPr>
        <w:t>Michallet M, Sobh M, Serrier C</w:t>
      </w:r>
      <w:r>
        <w:rPr>
          <w:sz w:val="24"/>
          <w:szCs w:val="24"/>
          <w:lang w:val="en-US"/>
        </w:rPr>
        <w:t>, S Morisset, Labussière H, Ducastelle S</w:t>
      </w:r>
      <w:r w:rsidRPr="0028171F">
        <w:rPr>
          <w:sz w:val="24"/>
          <w:szCs w:val="24"/>
          <w:lang w:val="en-US"/>
        </w:rPr>
        <w:t xml:space="preserve"> et al. Allogeneic hematopoietic stem cell transplantation for hematologic malignancies from mismatched 9/10 human leukocyte antigen unrelated donors: comparison with transplants from 10/10 unrelated donors and human leukocyte antigen identic</w:t>
      </w:r>
      <w:r w:rsidR="001109B8">
        <w:rPr>
          <w:sz w:val="24"/>
          <w:szCs w:val="24"/>
          <w:lang w:val="en-US"/>
        </w:rPr>
        <w:t>al siblings. Leuk Lymphoma 2015;</w:t>
      </w:r>
      <w:r w:rsidRPr="0028171F">
        <w:rPr>
          <w:sz w:val="24"/>
          <w:szCs w:val="24"/>
          <w:lang w:val="en-US"/>
        </w:rPr>
        <w:t xml:space="preserve"> 56: 999</w:t>
      </w:r>
      <w:r>
        <w:rPr>
          <w:sz w:val="24"/>
          <w:szCs w:val="24"/>
          <w:lang w:val="en-US"/>
        </w:rPr>
        <w:t>-1003</w:t>
      </w:r>
      <w:r w:rsidRPr="0028171F">
        <w:rPr>
          <w:sz w:val="24"/>
          <w:szCs w:val="24"/>
          <w:lang w:val="en-US"/>
        </w:rPr>
        <w:t xml:space="preserve">. </w:t>
      </w:r>
    </w:p>
    <w:p w14:paraId="663A859F" w14:textId="2314C78F" w:rsidR="00BD34CC" w:rsidRDefault="00BD34CC" w:rsidP="00BD34CC">
      <w:pPr>
        <w:pStyle w:val="PargrafodaLista"/>
        <w:numPr>
          <w:ilvl w:val="0"/>
          <w:numId w:val="1"/>
        </w:numPr>
        <w:spacing w:line="480" w:lineRule="auto"/>
        <w:ind w:left="714" w:hanging="357"/>
        <w:jc w:val="both"/>
        <w:rPr>
          <w:sz w:val="24"/>
          <w:szCs w:val="24"/>
          <w:lang w:val="en-US"/>
        </w:rPr>
      </w:pPr>
      <w:r>
        <w:rPr>
          <w:sz w:val="24"/>
          <w:szCs w:val="24"/>
          <w:lang w:val="en-US"/>
        </w:rPr>
        <w:t xml:space="preserve">Granier C, Biard l, Masson E, Porcher R, Peffault de Latour R, Robin M  et al. Impact of the source of </w:t>
      </w:r>
      <w:r>
        <w:rPr>
          <w:sz w:val="24"/>
          <w:szCs w:val="24"/>
          <w:lang w:val="en-US"/>
        </w:rPr>
        <w:lastRenderedPageBreak/>
        <w:t>hematopoietic stem cell in unrelated transplants: Comparison between 10/10, 9/10 HLA-matched donors and cord blood. Am J Hematol</w:t>
      </w:r>
      <w:r w:rsidR="001109B8">
        <w:rPr>
          <w:sz w:val="24"/>
          <w:szCs w:val="24"/>
          <w:lang w:val="en-US"/>
        </w:rPr>
        <w:t>. 2015;</w:t>
      </w:r>
      <w:r>
        <w:rPr>
          <w:sz w:val="24"/>
          <w:szCs w:val="24"/>
          <w:lang w:val="en-US"/>
        </w:rPr>
        <w:t xml:space="preserve"> 90: 897-903.</w:t>
      </w:r>
    </w:p>
    <w:p w14:paraId="652B3F58" w14:textId="3F21A39E" w:rsidR="005866E7" w:rsidRPr="00D65C5A" w:rsidRDefault="00BD34CC" w:rsidP="00D65C5A">
      <w:pPr>
        <w:pStyle w:val="PargrafodaLista"/>
        <w:numPr>
          <w:ilvl w:val="0"/>
          <w:numId w:val="1"/>
        </w:numPr>
        <w:spacing w:line="480" w:lineRule="auto"/>
        <w:ind w:left="714" w:hanging="357"/>
        <w:jc w:val="both"/>
        <w:rPr>
          <w:sz w:val="24"/>
          <w:szCs w:val="24"/>
          <w:lang w:val="en-US"/>
        </w:rPr>
      </w:pPr>
      <w:r>
        <w:rPr>
          <w:sz w:val="24"/>
          <w:szCs w:val="24"/>
          <w:lang w:val="en-US"/>
        </w:rPr>
        <w:t>Jabbour E, Kantarjian H. Chronic myeloid leukemia: 2018 updates on diagnosis, therapy an</w:t>
      </w:r>
      <w:r w:rsidR="001109B8">
        <w:rPr>
          <w:sz w:val="24"/>
          <w:szCs w:val="24"/>
          <w:lang w:val="en-US"/>
        </w:rPr>
        <w:t>d monitoring. Am J Hematol. 2018;</w:t>
      </w:r>
      <w:r>
        <w:rPr>
          <w:sz w:val="24"/>
          <w:szCs w:val="24"/>
          <w:lang w:val="en-US"/>
        </w:rPr>
        <w:t xml:space="preserve"> 93: 442-459.</w:t>
      </w:r>
    </w:p>
    <w:p w14:paraId="34E1145B" w14:textId="0B633E9F" w:rsidR="00BD34CC" w:rsidRDefault="00BD34CC" w:rsidP="00BD34CC">
      <w:pPr>
        <w:pStyle w:val="PargrafodaLista"/>
        <w:numPr>
          <w:ilvl w:val="0"/>
          <w:numId w:val="1"/>
        </w:numPr>
        <w:spacing w:line="480" w:lineRule="auto"/>
        <w:ind w:left="714" w:hanging="357"/>
        <w:jc w:val="both"/>
        <w:rPr>
          <w:sz w:val="24"/>
          <w:szCs w:val="24"/>
          <w:lang w:val="en-US"/>
        </w:rPr>
      </w:pPr>
      <w:r w:rsidRPr="006E62A7">
        <w:rPr>
          <w:sz w:val="24"/>
          <w:szCs w:val="24"/>
          <w:lang w:val="en-US"/>
        </w:rPr>
        <w:t>Nair AP, Barnett MJ, Broady RC</w:t>
      </w:r>
      <w:r>
        <w:rPr>
          <w:sz w:val="24"/>
          <w:szCs w:val="24"/>
          <w:lang w:val="en-US"/>
        </w:rPr>
        <w:t>, Hogge DE, Song KW, Toze CL</w:t>
      </w:r>
      <w:r w:rsidRPr="006E62A7">
        <w:rPr>
          <w:sz w:val="24"/>
          <w:szCs w:val="24"/>
          <w:lang w:val="en-US"/>
        </w:rPr>
        <w:t xml:space="preserve"> et al. </w:t>
      </w:r>
      <w:r>
        <w:rPr>
          <w:sz w:val="24"/>
          <w:szCs w:val="24"/>
          <w:lang w:val="en-US"/>
        </w:rPr>
        <w:t>Allogeneic hematopoietic stem cell transplantation is an effective salvage therapy for patients with chronic myeloid leukemia presenting with advanced disease or failing treatment with tyrosine kinase inhibitors. Biol Blood Marrow Transplant</w:t>
      </w:r>
      <w:r w:rsidR="001109B8">
        <w:rPr>
          <w:sz w:val="24"/>
          <w:szCs w:val="24"/>
          <w:lang w:val="en-US"/>
        </w:rPr>
        <w:t>.</w:t>
      </w:r>
      <w:r>
        <w:rPr>
          <w:sz w:val="24"/>
          <w:szCs w:val="24"/>
          <w:lang w:val="en-US"/>
        </w:rPr>
        <w:t xml:space="preserve"> 2015</w:t>
      </w:r>
      <w:r w:rsidR="001109B8">
        <w:rPr>
          <w:sz w:val="24"/>
          <w:szCs w:val="24"/>
          <w:lang w:val="en-US"/>
        </w:rPr>
        <w:t>;</w:t>
      </w:r>
      <w:r>
        <w:rPr>
          <w:sz w:val="24"/>
          <w:szCs w:val="24"/>
          <w:lang w:val="en-US"/>
        </w:rPr>
        <w:t xml:space="preserve"> 21: 1437-1444.</w:t>
      </w:r>
    </w:p>
    <w:p w14:paraId="39D6C013" w14:textId="2B0D4251" w:rsidR="00BD34CC" w:rsidRDefault="00BD34CC" w:rsidP="00BD34CC">
      <w:pPr>
        <w:pStyle w:val="PargrafodaLista"/>
        <w:numPr>
          <w:ilvl w:val="0"/>
          <w:numId w:val="1"/>
        </w:numPr>
        <w:spacing w:line="480" w:lineRule="auto"/>
        <w:ind w:left="714" w:hanging="357"/>
        <w:jc w:val="both"/>
        <w:rPr>
          <w:sz w:val="24"/>
          <w:szCs w:val="24"/>
          <w:lang w:val="en-US"/>
        </w:rPr>
      </w:pPr>
      <w:r>
        <w:rPr>
          <w:sz w:val="24"/>
          <w:szCs w:val="24"/>
          <w:lang w:val="en-US"/>
        </w:rPr>
        <w:t>Lee S, Choy SY, Kim SH, Jang EJ, Bang JH, Byeun JY et al. Prognostic factors for outcomes of allogeneic stem cell transplantation in chronic phase chronic myeloid leukemia in the era of tyrosine kinase inhibitors. Hematology 2014</w:t>
      </w:r>
      <w:r w:rsidR="001109B8">
        <w:rPr>
          <w:sz w:val="24"/>
          <w:szCs w:val="24"/>
          <w:lang w:val="en-US"/>
        </w:rPr>
        <w:t>;</w:t>
      </w:r>
      <w:r>
        <w:rPr>
          <w:sz w:val="24"/>
          <w:szCs w:val="24"/>
          <w:lang w:val="en-US"/>
        </w:rPr>
        <w:t xml:space="preserve"> 19: 63-72.</w:t>
      </w:r>
    </w:p>
    <w:p w14:paraId="7E936AA5" w14:textId="1D258858" w:rsidR="00BD34CC" w:rsidRDefault="00BD34CC" w:rsidP="00BD34CC">
      <w:pPr>
        <w:pStyle w:val="PargrafodaLista"/>
        <w:numPr>
          <w:ilvl w:val="0"/>
          <w:numId w:val="1"/>
        </w:numPr>
        <w:spacing w:line="480" w:lineRule="auto"/>
        <w:ind w:left="714" w:hanging="357"/>
        <w:jc w:val="both"/>
        <w:rPr>
          <w:sz w:val="24"/>
          <w:szCs w:val="24"/>
          <w:lang w:val="en-US"/>
        </w:rPr>
      </w:pPr>
      <w:r>
        <w:rPr>
          <w:sz w:val="24"/>
          <w:szCs w:val="24"/>
          <w:lang w:val="en-US"/>
        </w:rPr>
        <w:t>Bruggemann M, Gokbuget N, Kneba M. Acute lymphoblastic leukemia: monitoring minimal residual disease as a therapeutic principle. Semin Oncol</w:t>
      </w:r>
      <w:r w:rsidR="001109B8">
        <w:rPr>
          <w:sz w:val="24"/>
          <w:szCs w:val="24"/>
          <w:lang w:val="en-US"/>
        </w:rPr>
        <w:t>.</w:t>
      </w:r>
      <w:r>
        <w:rPr>
          <w:sz w:val="24"/>
          <w:szCs w:val="24"/>
          <w:lang w:val="en-US"/>
        </w:rPr>
        <w:t xml:space="preserve"> 2012</w:t>
      </w:r>
      <w:r w:rsidR="001109B8">
        <w:rPr>
          <w:sz w:val="24"/>
          <w:szCs w:val="24"/>
          <w:lang w:val="en-US"/>
        </w:rPr>
        <w:t xml:space="preserve">; </w:t>
      </w:r>
      <w:r>
        <w:rPr>
          <w:sz w:val="24"/>
          <w:szCs w:val="24"/>
          <w:lang w:val="en-US"/>
        </w:rPr>
        <w:t>39: 47-57.</w:t>
      </w:r>
    </w:p>
    <w:p w14:paraId="424B14A2" w14:textId="7043EC46" w:rsidR="00D65C5A" w:rsidRPr="006D7D50" w:rsidRDefault="00D65C5A" w:rsidP="00BD34CC">
      <w:pPr>
        <w:pStyle w:val="PargrafodaLista"/>
        <w:numPr>
          <w:ilvl w:val="0"/>
          <w:numId w:val="1"/>
        </w:numPr>
        <w:spacing w:line="480" w:lineRule="auto"/>
        <w:ind w:left="714" w:hanging="357"/>
        <w:jc w:val="both"/>
        <w:rPr>
          <w:sz w:val="24"/>
          <w:szCs w:val="24"/>
          <w:lang w:val="en-US"/>
        </w:rPr>
      </w:pPr>
      <w:r w:rsidRPr="006A7EC5">
        <w:rPr>
          <w:sz w:val="24"/>
          <w:szCs w:val="24"/>
        </w:rPr>
        <w:t xml:space="preserve">Passweg JR, Baldomero H, Bader P, Basek GW, Bonini C, Duarte R et al. </w:t>
      </w:r>
      <w:r>
        <w:rPr>
          <w:sz w:val="24"/>
          <w:szCs w:val="24"/>
          <w:lang w:val="en-US"/>
        </w:rPr>
        <w:t>I</w:t>
      </w:r>
      <w:r w:rsidRPr="0028171F">
        <w:rPr>
          <w:sz w:val="24"/>
          <w:szCs w:val="24"/>
          <w:lang w:val="en-US"/>
        </w:rPr>
        <w:t xml:space="preserve">s the use of unrelated donor </w:t>
      </w:r>
      <w:r w:rsidRPr="0028171F">
        <w:rPr>
          <w:sz w:val="24"/>
          <w:szCs w:val="24"/>
          <w:lang w:val="en-US"/>
        </w:rPr>
        <w:lastRenderedPageBreak/>
        <w:t>transplantation leveling off in Europe? The 2016 European Society for Blood and Marrow Transplant activity survey report. Bone Marrow Transplant</w:t>
      </w:r>
      <w:r w:rsidR="001109B8">
        <w:rPr>
          <w:sz w:val="24"/>
          <w:szCs w:val="24"/>
          <w:lang w:val="en-US"/>
        </w:rPr>
        <w:t>.</w:t>
      </w:r>
      <w:r w:rsidRPr="0028171F">
        <w:rPr>
          <w:sz w:val="24"/>
          <w:szCs w:val="24"/>
          <w:lang w:val="en-US"/>
        </w:rPr>
        <w:t xml:space="preserve"> 2018</w:t>
      </w:r>
      <w:r w:rsidR="001109B8">
        <w:rPr>
          <w:sz w:val="24"/>
          <w:szCs w:val="24"/>
          <w:lang w:val="en-US"/>
        </w:rPr>
        <w:t>;</w:t>
      </w:r>
      <w:r w:rsidRPr="0028171F">
        <w:rPr>
          <w:sz w:val="24"/>
          <w:szCs w:val="24"/>
          <w:lang w:val="en-US"/>
        </w:rPr>
        <w:t xml:space="preserve"> </w:t>
      </w:r>
      <w:r>
        <w:t>53:1139-1148.</w:t>
      </w:r>
    </w:p>
    <w:p w14:paraId="786F42A9" w14:textId="0DA0D60A" w:rsidR="00BD34CC" w:rsidRDefault="00BD34CC" w:rsidP="00BD34CC">
      <w:pPr>
        <w:pStyle w:val="PargrafodaLista"/>
        <w:numPr>
          <w:ilvl w:val="0"/>
          <w:numId w:val="1"/>
        </w:numPr>
        <w:spacing w:line="480" w:lineRule="auto"/>
        <w:ind w:left="714" w:hanging="357"/>
        <w:jc w:val="both"/>
        <w:rPr>
          <w:sz w:val="24"/>
          <w:szCs w:val="24"/>
          <w:lang w:val="en-US"/>
        </w:rPr>
      </w:pPr>
      <w:r w:rsidRPr="0028171F">
        <w:rPr>
          <w:sz w:val="24"/>
          <w:szCs w:val="24"/>
          <w:lang w:val="en-US"/>
        </w:rPr>
        <w:t>Gooley TA, Chien JW, Pergam SA</w:t>
      </w:r>
      <w:r>
        <w:rPr>
          <w:sz w:val="24"/>
          <w:szCs w:val="24"/>
          <w:lang w:val="en-US"/>
        </w:rPr>
        <w:t>, Hingorani S, Sorror ML, Boeckh M</w:t>
      </w:r>
      <w:r w:rsidRPr="0028171F">
        <w:rPr>
          <w:sz w:val="24"/>
          <w:szCs w:val="24"/>
          <w:lang w:val="en-US"/>
        </w:rPr>
        <w:t xml:space="preserve"> et al. Reduced mortality after allogeneic hematopoietic-cell transplantation. N Engl J Med</w:t>
      </w:r>
      <w:r w:rsidR="001109B8">
        <w:rPr>
          <w:sz w:val="24"/>
          <w:szCs w:val="24"/>
          <w:lang w:val="en-US"/>
        </w:rPr>
        <w:t>.</w:t>
      </w:r>
      <w:r w:rsidRPr="0028171F">
        <w:rPr>
          <w:sz w:val="24"/>
          <w:szCs w:val="24"/>
          <w:lang w:val="en-US"/>
        </w:rPr>
        <w:t xml:space="preserve"> 2010; 363: 2091</w:t>
      </w:r>
      <w:r>
        <w:rPr>
          <w:sz w:val="24"/>
          <w:szCs w:val="24"/>
          <w:lang w:val="en-US"/>
        </w:rPr>
        <w:t>-2101</w:t>
      </w:r>
      <w:r w:rsidRPr="0028171F">
        <w:rPr>
          <w:sz w:val="24"/>
          <w:szCs w:val="24"/>
          <w:lang w:val="en-US"/>
        </w:rPr>
        <w:t>.</w:t>
      </w:r>
    </w:p>
    <w:p w14:paraId="5F5D3E03" w14:textId="1955F9C4" w:rsidR="00BD34CC" w:rsidRDefault="00BD34CC" w:rsidP="00BD34CC">
      <w:pPr>
        <w:pStyle w:val="PargrafodaLista"/>
        <w:numPr>
          <w:ilvl w:val="0"/>
          <w:numId w:val="1"/>
        </w:numPr>
        <w:spacing w:line="480" w:lineRule="auto"/>
        <w:ind w:left="714" w:hanging="357"/>
        <w:jc w:val="both"/>
        <w:rPr>
          <w:sz w:val="24"/>
          <w:szCs w:val="24"/>
          <w:lang w:val="en-US"/>
        </w:rPr>
      </w:pPr>
      <w:r w:rsidRPr="0028171F">
        <w:rPr>
          <w:sz w:val="24"/>
          <w:szCs w:val="24"/>
          <w:lang w:val="en-US"/>
        </w:rPr>
        <w:t>Remberger M, Ackefors M, Berglund S, Blennow O, Dahllof G,</w:t>
      </w:r>
      <w:r>
        <w:rPr>
          <w:sz w:val="24"/>
          <w:szCs w:val="24"/>
          <w:lang w:val="en-US"/>
        </w:rPr>
        <w:t xml:space="preserve"> Dlugosz A</w:t>
      </w:r>
      <w:r w:rsidRPr="0028171F">
        <w:rPr>
          <w:sz w:val="24"/>
          <w:szCs w:val="24"/>
          <w:lang w:val="en-US"/>
        </w:rPr>
        <w:t xml:space="preserve"> et al. Improved survival after allogeneic hematopoietic stem cell transplantation in recent years. A single-center study. Biol Blood Marrow Transplant</w:t>
      </w:r>
      <w:r w:rsidR="001109B8">
        <w:rPr>
          <w:sz w:val="24"/>
          <w:szCs w:val="24"/>
          <w:lang w:val="en-US"/>
        </w:rPr>
        <w:t>.</w:t>
      </w:r>
      <w:r w:rsidRPr="0028171F">
        <w:rPr>
          <w:sz w:val="24"/>
          <w:szCs w:val="24"/>
          <w:lang w:val="en-US"/>
        </w:rPr>
        <w:t xml:space="preserve"> 2011; 17: 1688</w:t>
      </w:r>
      <w:r>
        <w:rPr>
          <w:sz w:val="24"/>
          <w:szCs w:val="24"/>
          <w:lang w:val="en-US"/>
        </w:rPr>
        <w:t>-1697</w:t>
      </w:r>
      <w:r w:rsidRPr="0028171F">
        <w:rPr>
          <w:sz w:val="24"/>
          <w:szCs w:val="24"/>
          <w:lang w:val="en-US"/>
        </w:rPr>
        <w:t>.</w:t>
      </w:r>
    </w:p>
    <w:p w14:paraId="1720D33B" w14:textId="3A30F83D" w:rsidR="00BD34CC" w:rsidRPr="0028171F" w:rsidRDefault="00BD34CC" w:rsidP="00BD34CC">
      <w:pPr>
        <w:pStyle w:val="PargrafodaLista"/>
        <w:numPr>
          <w:ilvl w:val="0"/>
          <w:numId w:val="1"/>
        </w:numPr>
        <w:spacing w:line="480" w:lineRule="auto"/>
        <w:ind w:left="714" w:hanging="357"/>
        <w:jc w:val="both"/>
        <w:rPr>
          <w:sz w:val="24"/>
          <w:szCs w:val="24"/>
          <w:lang w:val="en-US"/>
        </w:rPr>
      </w:pPr>
      <w:r>
        <w:rPr>
          <w:sz w:val="24"/>
          <w:szCs w:val="24"/>
          <w:lang w:val="en-US"/>
        </w:rPr>
        <w:t>Hahn T, McCarthy PL, Hassebroek A, Bredeson C, Gajewski JL, Hale GA et al. significant improvement in survival after allogeneic hematopoietic cell transplantation during a period of significantly increased use, older recipient age, and use of unrelated donors. J Clin Oncol</w:t>
      </w:r>
      <w:r w:rsidR="001109B8">
        <w:rPr>
          <w:sz w:val="24"/>
          <w:szCs w:val="24"/>
          <w:lang w:val="en-US"/>
        </w:rPr>
        <w:t>.</w:t>
      </w:r>
      <w:r>
        <w:rPr>
          <w:sz w:val="24"/>
          <w:szCs w:val="24"/>
          <w:lang w:val="en-US"/>
        </w:rPr>
        <w:t xml:space="preserve"> 2013, 31: 2437-2449.</w:t>
      </w:r>
    </w:p>
    <w:p w14:paraId="6154459D" w14:textId="6B2A2D5E" w:rsidR="00BD34CC" w:rsidRDefault="001109B8" w:rsidP="00BD34CC">
      <w:pPr>
        <w:pStyle w:val="PargrafodaLista"/>
        <w:numPr>
          <w:ilvl w:val="0"/>
          <w:numId w:val="1"/>
        </w:numPr>
        <w:spacing w:line="480" w:lineRule="auto"/>
        <w:ind w:left="714" w:hanging="357"/>
        <w:jc w:val="both"/>
        <w:rPr>
          <w:sz w:val="24"/>
          <w:szCs w:val="24"/>
          <w:lang w:val="en-US"/>
        </w:rPr>
      </w:pPr>
      <w:r>
        <w:rPr>
          <w:sz w:val="24"/>
          <w:szCs w:val="24"/>
          <w:lang w:val="en-US"/>
        </w:rPr>
        <w:t xml:space="preserve">Mateos MK, O’Brien TA, </w:t>
      </w:r>
      <w:r w:rsidR="00BD34CC" w:rsidRPr="0028171F">
        <w:rPr>
          <w:sz w:val="24"/>
          <w:szCs w:val="24"/>
          <w:lang w:val="en-US"/>
        </w:rPr>
        <w:t>Oswald C</w:t>
      </w:r>
      <w:r w:rsidR="00BD34CC">
        <w:rPr>
          <w:sz w:val="24"/>
          <w:szCs w:val="24"/>
          <w:lang w:val="en-US"/>
        </w:rPr>
        <w:t>, Gabriel M, Ziegler DS, Cohn RJ</w:t>
      </w:r>
      <w:r w:rsidR="00BD34CC" w:rsidRPr="0028171F">
        <w:rPr>
          <w:sz w:val="24"/>
          <w:szCs w:val="24"/>
          <w:lang w:val="en-US"/>
        </w:rPr>
        <w:t xml:space="preserve"> et al. Transplant-related mortality following allogeneic hematopoietic stem cell transplantation for pediatric acute lymphoblastic </w:t>
      </w:r>
      <w:r w:rsidR="00BD34CC" w:rsidRPr="0028171F">
        <w:rPr>
          <w:sz w:val="24"/>
          <w:szCs w:val="24"/>
          <w:lang w:val="en-US"/>
        </w:rPr>
        <w:lastRenderedPageBreak/>
        <w:t>leukemia. 25-year retrospective review. Pediatr Blood Cancer 2013; 60: 1520</w:t>
      </w:r>
      <w:r w:rsidR="00BD34CC">
        <w:rPr>
          <w:sz w:val="24"/>
          <w:szCs w:val="24"/>
          <w:lang w:val="en-US"/>
        </w:rPr>
        <w:t>-1527</w:t>
      </w:r>
      <w:r w:rsidR="00BD34CC" w:rsidRPr="0028171F">
        <w:rPr>
          <w:sz w:val="24"/>
          <w:szCs w:val="24"/>
          <w:lang w:val="en-US"/>
        </w:rPr>
        <w:t>.</w:t>
      </w:r>
    </w:p>
    <w:p w14:paraId="78FF874D" w14:textId="2722157E" w:rsidR="00BD34CC" w:rsidRDefault="00BD34CC" w:rsidP="00BD34CC">
      <w:pPr>
        <w:pStyle w:val="PargrafodaLista"/>
        <w:numPr>
          <w:ilvl w:val="0"/>
          <w:numId w:val="1"/>
        </w:numPr>
        <w:spacing w:line="480" w:lineRule="auto"/>
        <w:ind w:left="714" w:hanging="357"/>
        <w:jc w:val="both"/>
        <w:rPr>
          <w:sz w:val="24"/>
          <w:szCs w:val="24"/>
          <w:lang w:val="en-US"/>
        </w:rPr>
      </w:pPr>
      <w:r w:rsidRPr="00DF0AE5">
        <w:rPr>
          <w:sz w:val="24"/>
          <w:szCs w:val="24"/>
          <w:lang w:val="en-US"/>
        </w:rPr>
        <w:t>Malard F, Chevalier P, Guillaume T, Delaunay J, Ria</w:t>
      </w:r>
      <w:r>
        <w:rPr>
          <w:sz w:val="24"/>
          <w:szCs w:val="24"/>
          <w:lang w:val="en-US"/>
        </w:rPr>
        <w:t>lland F, Harousseau JL et al.</w:t>
      </w:r>
      <w:r w:rsidRPr="00DF0AE5">
        <w:rPr>
          <w:sz w:val="24"/>
          <w:szCs w:val="24"/>
          <w:lang w:val="en-US"/>
        </w:rPr>
        <w:t xml:space="preserve"> Continuo</w:t>
      </w:r>
      <w:r>
        <w:rPr>
          <w:sz w:val="24"/>
          <w:szCs w:val="24"/>
          <w:lang w:val="en-US"/>
        </w:rPr>
        <w:t>u</w:t>
      </w:r>
      <w:r w:rsidRPr="00DF0AE5">
        <w:rPr>
          <w:sz w:val="24"/>
          <w:szCs w:val="24"/>
          <w:lang w:val="en-US"/>
        </w:rPr>
        <w:t>s reduced nonrelapse mortality after allogeneic hematopoietic stem cell transplantation: a single-institutuion’s three decade experience. Biol Blood Marrow Transplant</w:t>
      </w:r>
      <w:r w:rsidR="001109B8">
        <w:rPr>
          <w:sz w:val="24"/>
          <w:szCs w:val="24"/>
          <w:lang w:val="en-US"/>
        </w:rPr>
        <w:t>.</w:t>
      </w:r>
      <w:r w:rsidRPr="00DF0AE5">
        <w:rPr>
          <w:sz w:val="24"/>
          <w:szCs w:val="24"/>
          <w:lang w:val="en-US"/>
        </w:rPr>
        <w:t xml:space="preserve"> 2014; 20: 1217</w:t>
      </w:r>
      <w:r>
        <w:rPr>
          <w:sz w:val="24"/>
          <w:szCs w:val="24"/>
          <w:lang w:val="en-US"/>
        </w:rPr>
        <w:t>-1223</w:t>
      </w:r>
      <w:r w:rsidRPr="00DF0AE5">
        <w:rPr>
          <w:sz w:val="24"/>
          <w:szCs w:val="24"/>
          <w:lang w:val="en-US"/>
        </w:rPr>
        <w:t>.</w:t>
      </w:r>
    </w:p>
    <w:p w14:paraId="7DF68B0E" w14:textId="74168A71" w:rsidR="00BD34CC" w:rsidRPr="00DF0AE5" w:rsidRDefault="00BD34CC" w:rsidP="00BD34CC">
      <w:pPr>
        <w:pStyle w:val="PargrafodaLista"/>
        <w:numPr>
          <w:ilvl w:val="0"/>
          <w:numId w:val="1"/>
        </w:numPr>
        <w:spacing w:line="480" w:lineRule="auto"/>
        <w:ind w:left="714" w:hanging="357"/>
        <w:jc w:val="both"/>
        <w:rPr>
          <w:sz w:val="24"/>
          <w:szCs w:val="24"/>
          <w:lang w:val="en-US"/>
        </w:rPr>
      </w:pPr>
      <w:r w:rsidRPr="00E27E54">
        <w:rPr>
          <w:sz w:val="24"/>
          <w:szCs w:val="24"/>
          <w:lang w:val="en-US"/>
        </w:rPr>
        <w:t>O’Meara A. Holbro A, Meyer S</w:t>
      </w:r>
      <w:r>
        <w:rPr>
          <w:sz w:val="24"/>
          <w:szCs w:val="24"/>
          <w:lang w:val="en-US"/>
        </w:rPr>
        <w:t>, Martinez M, Buser A, Halter J</w:t>
      </w:r>
      <w:r w:rsidRPr="00E27E54">
        <w:rPr>
          <w:sz w:val="24"/>
          <w:szCs w:val="24"/>
          <w:lang w:val="en-US"/>
        </w:rPr>
        <w:t xml:space="preserve"> et al. </w:t>
      </w:r>
      <w:r w:rsidRPr="00381819">
        <w:rPr>
          <w:sz w:val="24"/>
          <w:szCs w:val="24"/>
          <w:lang w:val="en-US"/>
        </w:rPr>
        <w:t>Forty years of hematopoietic stem cell transplantation: a review of the Basel experience. Swiss Med Wkly</w:t>
      </w:r>
      <w:r w:rsidR="001109B8">
        <w:rPr>
          <w:sz w:val="24"/>
          <w:szCs w:val="24"/>
          <w:lang w:val="en-US"/>
        </w:rPr>
        <w:t>.</w:t>
      </w:r>
      <w:r w:rsidRPr="00381819">
        <w:rPr>
          <w:sz w:val="24"/>
          <w:szCs w:val="24"/>
          <w:lang w:val="en-US"/>
        </w:rPr>
        <w:t xml:space="preserve"> 2014; 144: w13928.</w:t>
      </w:r>
    </w:p>
    <w:p w14:paraId="7641A27A" w14:textId="2A64A0CC" w:rsidR="00BD34CC" w:rsidRDefault="00BD34CC" w:rsidP="00BD34CC">
      <w:pPr>
        <w:pStyle w:val="PargrafodaLista"/>
        <w:numPr>
          <w:ilvl w:val="0"/>
          <w:numId w:val="1"/>
        </w:numPr>
        <w:spacing w:line="480" w:lineRule="auto"/>
        <w:ind w:left="714" w:hanging="357"/>
        <w:jc w:val="both"/>
        <w:rPr>
          <w:sz w:val="24"/>
          <w:szCs w:val="24"/>
          <w:lang w:val="en-US"/>
        </w:rPr>
      </w:pPr>
      <w:r w:rsidRPr="00DF0AE5">
        <w:rPr>
          <w:sz w:val="24"/>
          <w:szCs w:val="24"/>
          <w:lang w:val="en-US"/>
        </w:rPr>
        <w:t xml:space="preserve">Brissot E, Rialland F, Cahu X, Strullu M, Corradini N, </w:t>
      </w:r>
      <w:r>
        <w:rPr>
          <w:sz w:val="24"/>
          <w:szCs w:val="24"/>
          <w:lang w:val="en-US"/>
        </w:rPr>
        <w:t>Thomas C</w:t>
      </w:r>
      <w:r w:rsidRPr="00DF0AE5">
        <w:rPr>
          <w:sz w:val="24"/>
          <w:szCs w:val="24"/>
          <w:lang w:val="en-US"/>
        </w:rPr>
        <w:t xml:space="preserve"> </w:t>
      </w:r>
      <w:r>
        <w:rPr>
          <w:sz w:val="24"/>
          <w:szCs w:val="24"/>
          <w:lang w:val="en-US"/>
        </w:rPr>
        <w:t>et al.</w:t>
      </w:r>
      <w:r w:rsidRPr="00DF0AE5">
        <w:rPr>
          <w:sz w:val="24"/>
          <w:szCs w:val="24"/>
          <w:lang w:val="en-US"/>
        </w:rPr>
        <w:t xml:space="preserve"> Improvement of overall survival after allogeneic hematopoietic stem cell transplantation for children and adolescents: a three-decade experience of a single institution. Bone Marrow Transplant</w:t>
      </w:r>
      <w:r w:rsidR="001109B8">
        <w:rPr>
          <w:sz w:val="24"/>
          <w:szCs w:val="24"/>
          <w:lang w:val="en-US"/>
        </w:rPr>
        <w:t>.</w:t>
      </w:r>
      <w:r w:rsidRPr="00DF0AE5">
        <w:rPr>
          <w:sz w:val="24"/>
          <w:szCs w:val="24"/>
          <w:lang w:val="en-US"/>
        </w:rPr>
        <w:t xml:space="preserve"> 2016; 51: 267</w:t>
      </w:r>
      <w:r>
        <w:rPr>
          <w:sz w:val="24"/>
          <w:szCs w:val="24"/>
          <w:lang w:val="en-US"/>
        </w:rPr>
        <w:t>-272</w:t>
      </w:r>
      <w:r w:rsidRPr="00DF0AE5">
        <w:rPr>
          <w:sz w:val="24"/>
          <w:szCs w:val="24"/>
          <w:lang w:val="en-US"/>
        </w:rPr>
        <w:t>.</w:t>
      </w:r>
    </w:p>
    <w:p w14:paraId="4F030F0A" w14:textId="0D228E57" w:rsidR="00BD34CC" w:rsidRPr="0028171F" w:rsidRDefault="00BD34CC" w:rsidP="00BD34CC">
      <w:pPr>
        <w:pStyle w:val="PargrafodaLista"/>
        <w:numPr>
          <w:ilvl w:val="0"/>
          <w:numId w:val="1"/>
        </w:numPr>
        <w:spacing w:line="480" w:lineRule="auto"/>
        <w:ind w:left="714" w:hanging="357"/>
        <w:jc w:val="both"/>
        <w:rPr>
          <w:sz w:val="24"/>
          <w:szCs w:val="24"/>
          <w:lang w:val="en-US"/>
        </w:rPr>
      </w:pPr>
      <w:r w:rsidRPr="0028171F">
        <w:rPr>
          <w:sz w:val="24"/>
          <w:szCs w:val="24"/>
          <w:lang w:val="en-US"/>
        </w:rPr>
        <w:t>Soiffer R, Chen YB. Pharmacologic agents to prevent and treat relapse after allogeneic hematopoietic cell transplantation. Blood Adv</w:t>
      </w:r>
      <w:r w:rsidR="001109B8">
        <w:rPr>
          <w:sz w:val="24"/>
          <w:szCs w:val="24"/>
          <w:lang w:val="en-US"/>
        </w:rPr>
        <w:t>. 2017;</w:t>
      </w:r>
      <w:r w:rsidRPr="0028171F">
        <w:rPr>
          <w:sz w:val="24"/>
          <w:szCs w:val="24"/>
          <w:lang w:val="en-US"/>
        </w:rPr>
        <w:t xml:space="preserve"> 1: 2473</w:t>
      </w:r>
      <w:r>
        <w:rPr>
          <w:sz w:val="24"/>
          <w:szCs w:val="24"/>
          <w:lang w:val="en-US"/>
        </w:rPr>
        <w:t>-2482</w:t>
      </w:r>
      <w:r w:rsidRPr="0028171F">
        <w:rPr>
          <w:sz w:val="24"/>
          <w:szCs w:val="24"/>
          <w:lang w:val="en-US"/>
        </w:rPr>
        <w:t>.</w:t>
      </w:r>
    </w:p>
    <w:p w14:paraId="4364E20D" w14:textId="1BE0F5EE" w:rsidR="00BD34CC" w:rsidRDefault="00BD34CC" w:rsidP="00BD34CC">
      <w:pPr>
        <w:pStyle w:val="PargrafodaLista"/>
        <w:numPr>
          <w:ilvl w:val="0"/>
          <w:numId w:val="1"/>
        </w:numPr>
        <w:spacing w:line="480" w:lineRule="auto"/>
        <w:ind w:left="714" w:hanging="357"/>
        <w:jc w:val="both"/>
        <w:rPr>
          <w:sz w:val="24"/>
          <w:szCs w:val="24"/>
          <w:lang w:val="en-US"/>
        </w:rPr>
      </w:pPr>
      <w:r w:rsidRPr="0028171F">
        <w:rPr>
          <w:sz w:val="24"/>
          <w:szCs w:val="24"/>
          <w:lang w:val="en-US"/>
        </w:rPr>
        <w:t>Stone RM, Mandrekar SJ, Sanford BL</w:t>
      </w:r>
      <w:r>
        <w:rPr>
          <w:sz w:val="24"/>
          <w:szCs w:val="24"/>
          <w:lang w:val="en-US"/>
        </w:rPr>
        <w:t xml:space="preserve">, Laumann K, Geyer S, Bloomfield CD </w:t>
      </w:r>
      <w:r w:rsidRPr="0028171F">
        <w:rPr>
          <w:sz w:val="24"/>
          <w:szCs w:val="24"/>
          <w:lang w:val="en-US"/>
        </w:rPr>
        <w:t xml:space="preserve"> et al. Midostaurin plus </w:t>
      </w:r>
      <w:r w:rsidRPr="0028171F">
        <w:rPr>
          <w:sz w:val="24"/>
          <w:szCs w:val="24"/>
          <w:lang w:val="en-US"/>
        </w:rPr>
        <w:lastRenderedPageBreak/>
        <w:t>chemotherapy for acute myelo</w:t>
      </w:r>
      <w:r w:rsidR="00D65C5A">
        <w:rPr>
          <w:sz w:val="24"/>
          <w:szCs w:val="24"/>
          <w:lang w:val="en-US"/>
        </w:rPr>
        <w:t>id leukemia with a FTL3 mutation</w:t>
      </w:r>
      <w:r w:rsidRPr="0028171F">
        <w:rPr>
          <w:sz w:val="24"/>
          <w:szCs w:val="24"/>
          <w:lang w:val="en-US"/>
        </w:rPr>
        <w:t>. N Engl J Med</w:t>
      </w:r>
      <w:r w:rsidR="001109B8">
        <w:rPr>
          <w:sz w:val="24"/>
          <w:szCs w:val="24"/>
          <w:lang w:val="en-US"/>
        </w:rPr>
        <w:t>.</w:t>
      </w:r>
      <w:r w:rsidRPr="0028171F">
        <w:rPr>
          <w:sz w:val="24"/>
          <w:szCs w:val="24"/>
          <w:lang w:val="en-US"/>
        </w:rPr>
        <w:t xml:space="preserve"> 2017; 377: 454</w:t>
      </w:r>
      <w:r>
        <w:rPr>
          <w:sz w:val="24"/>
          <w:szCs w:val="24"/>
          <w:lang w:val="en-US"/>
        </w:rPr>
        <w:t>-464</w:t>
      </w:r>
      <w:r w:rsidRPr="0028171F">
        <w:rPr>
          <w:sz w:val="24"/>
          <w:szCs w:val="24"/>
          <w:lang w:val="en-US"/>
        </w:rPr>
        <w:t>.</w:t>
      </w:r>
    </w:p>
    <w:p w14:paraId="1040EA63" w14:textId="77777777" w:rsidR="00BD34CC" w:rsidRPr="0028171F" w:rsidRDefault="00BD34CC" w:rsidP="00BD34CC">
      <w:pPr>
        <w:pStyle w:val="PargrafodaLista"/>
        <w:numPr>
          <w:ilvl w:val="0"/>
          <w:numId w:val="1"/>
        </w:numPr>
        <w:spacing w:line="480" w:lineRule="auto"/>
        <w:ind w:left="714" w:hanging="357"/>
        <w:jc w:val="both"/>
        <w:rPr>
          <w:sz w:val="24"/>
          <w:szCs w:val="24"/>
          <w:lang w:val="en-US"/>
        </w:rPr>
      </w:pPr>
      <w:r w:rsidRPr="0028171F">
        <w:rPr>
          <w:sz w:val="24"/>
          <w:szCs w:val="24"/>
          <w:lang w:val="en-US"/>
        </w:rPr>
        <w:t>Battipaglia G, Ruggeri A, Massoud R</w:t>
      </w:r>
      <w:r>
        <w:rPr>
          <w:sz w:val="24"/>
          <w:szCs w:val="24"/>
          <w:lang w:val="en-US"/>
        </w:rPr>
        <w:t>, Cheikh EI, Jestin M, Antar A</w:t>
      </w:r>
      <w:r w:rsidRPr="0028171F">
        <w:rPr>
          <w:sz w:val="24"/>
          <w:szCs w:val="24"/>
          <w:lang w:val="en-US"/>
        </w:rPr>
        <w:t xml:space="preserve"> et al. Efficacy and feasibility of sorafenib as a maintenance agent for fms-like tyrosine kinase-3 mutated acute myeloid leukemia. Cancer 2017; 123: 2867</w:t>
      </w:r>
      <w:r>
        <w:rPr>
          <w:sz w:val="24"/>
          <w:szCs w:val="24"/>
          <w:lang w:val="en-US"/>
        </w:rPr>
        <w:t>-2874</w:t>
      </w:r>
      <w:r w:rsidRPr="0028171F">
        <w:rPr>
          <w:sz w:val="24"/>
          <w:szCs w:val="24"/>
          <w:lang w:val="en-US"/>
        </w:rPr>
        <w:t>.</w:t>
      </w:r>
    </w:p>
    <w:p w14:paraId="256C8D64" w14:textId="4DC4432A" w:rsidR="00BD34CC" w:rsidRPr="0028171F" w:rsidRDefault="00BD34CC" w:rsidP="00BD34CC">
      <w:pPr>
        <w:pStyle w:val="PargrafodaLista"/>
        <w:numPr>
          <w:ilvl w:val="0"/>
          <w:numId w:val="1"/>
        </w:numPr>
        <w:spacing w:line="480" w:lineRule="auto"/>
        <w:ind w:left="714" w:hanging="357"/>
        <w:jc w:val="both"/>
        <w:rPr>
          <w:sz w:val="24"/>
          <w:szCs w:val="24"/>
          <w:lang w:val="en-US"/>
        </w:rPr>
      </w:pPr>
      <w:r w:rsidRPr="0028171F">
        <w:rPr>
          <w:sz w:val="24"/>
          <w:szCs w:val="24"/>
          <w:lang w:val="en-US"/>
        </w:rPr>
        <w:t>Sid S, Rey J, Charbonnier A</w:t>
      </w:r>
      <w:r>
        <w:rPr>
          <w:sz w:val="24"/>
          <w:szCs w:val="24"/>
          <w:lang w:val="en-US"/>
        </w:rPr>
        <w:t>, D’Incan, Mohty B, Blaise D</w:t>
      </w:r>
      <w:r w:rsidRPr="0028171F">
        <w:rPr>
          <w:sz w:val="24"/>
          <w:szCs w:val="24"/>
          <w:lang w:val="en-US"/>
        </w:rPr>
        <w:t xml:space="preserve"> et al. Treatment of post-transplant relapse of FLT3-ITD mutated AML using 5-Azacytidine and sorafenib bittherapy. Clin Lymphoma Myeloma Leuk</w:t>
      </w:r>
      <w:r w:rsidR="009608F3">
        <w:rPr>
          <w:sz w:val="24"/>
          <w:szCs w:val="24"/>
          <w:lang w:val="en-US"/>
        </w:rPr>
        <w:t>.</w:t>
      </w:r>
      <w:r w:rsidRPr="0028171F">
        <w:rPr>
          <w:sz w:val="24"/>
          <w:szCs w:val="24"/>
          <w:lang w:val="en-US"/>
        </w:rPr>
        <w:t xml:space="preserve"> 201</w:t>
      </w:r>
      <w:r>
        <w:rPr>
          <w:sz w:val="24"/>
          <w:szCs w:val="24"/>
          <w:lang w:val="en-US"/>
        </w:rPr>
        <w:t>7</w:t>
      </w:r>
      <w:r w:rsidRPr="0028171F">
        <w:rPr>
          <w:sz w:val="24"/>
          <w:szCs w:val="24"/>
          <w:lang w:val="en-US"/>
        </w:rPr>
        <w:t>; 17: 241</w:t>
      </w:r>
      <w:r>
        <w:rPr>
          <w:sz w:val="24"/>
          <w:szCs w:val="24"/>
          <w:lang w:val="en-US"/>
        </w:rPr>
        <w:t>-242</w:t>
      </w:r>
      <w:r w:rsidRPr="0028171F">
        <w:rPr>
          <w:sz w:val="24"/>
          <w:szCs w:val="24"/>
          <w:lang w:val="en-US"/>
        </w:rPr>
        <w:t>.</w:t>
      </w:r>
    </w:p>
    <w:p w14:paraId="5078FC5C" w14:textId="1D43728A" w:rsidR="00BD34CC" w:rsidRPr="005B58B3" w:rsidRDefault="00BD34CC" w:rsidP="00BD34CC">
      <w:pPr>
        <w:pStyle w:val="PargrafodaLista"/>
        <w:numPr>
          <w:ilvl w:val="0"/>
          <w:numId w:val="1"/>
        </w:numPr>
        <w:spacing w:line="480" w:lineRule="auto"/>
        <w:ind w:left="714" w:hanging="357"/>
        <w:jc w:val="both"/>
        <w:rPr>
          <w:sz w:val="24"/>
          <w:szCs w:val="24"/>
          <w:lang w:val="en-US"/>
        </w:rPr>
      </w:pPr>
      <w:r w:rsidRPr="0028171F">
        <w:rPr>
          <w:sz w:val="24"/>
          <w:szCs w:val="24"/>
          <w:lang w:val="en-US"/>
        </w:rPr>
        <w:t>Rautenberg C, Hachtkamp K, Dienst A</w:t>
      </w:r>
      <w:r>
        <w:rPr>
          <w:sz w:val="24"/>
          <w:szCs w:val="24"/>
          <w:lang w:val="en-US"/>
        </w:rPr>
        <w:t xml:space="preserve">, Schmidt PV, Heyn C, Kondakci M </w:t>
      </w:r>
      <w:r w:rsidRPr="0028171F">
        <w:rPr>
          <w:sz w:val="24"/>
          <w:szCs w:val="24"/>
          <w:lang w:val="en-US"/>
        </w:rPr>
        <w:t xml:space="preserve"> et al. Sorafenib and az</w:t>
      </w:r>
      <w:r w:rsidR="00D65C5A">
        <w:rPr>
          <w:sz w:val="24"/>
          <w:szCs w:val="24"/>
          <w:lang w:val="en-US"/>
        </w:rPr>
        <w:t>a</w:t>
      </w:r>
      <w:r w:rsidRPr="0028171F">
        <w:rPr>
          <w:sz w:val="24"/>
          <w:szCs w:val="24"/>
          <w:lang w:val="en-US"/>
        </w:rPr>
        <w:t xml:space="preserve">cytidine as salvage therapy for relapse of FLT3-ITD mutated AML after allo-SCT. </w:t>
      </w:r>
      <w:r w:rsidRPr="005B58B3">
        <w:rPr>
          <w:sz w:val="24"/>
          <w:szCs w:val="24"/>
          <w:lang w:val="en-US"/>
        </w:rPr>
        <w:t>Eur J Haematol</w:t>
      </w:r>
      <w:r w:rsidR="009608F3">
        <w:rPr>
          <w:sz w:val="24"/>
          <w:szCs w:val="24"/>
          <w:lang w:val="en-US"/>
        </w:rPr>
        <w:t>.</w:t>
      </w:r>
      <w:r w:rsidRPr="005B58B3">
        <w:rPr>
          <w:sz w:val="24"/>
          <w:szCs w:val="24"/>
          <w:lang w:val="en-US"/>
        </w:rPr>
        <w:t xml:space="preserve"> 2017; 98: 348-354.</w:t>
      </w:r>
    </w:p>
    <w:p w14:paraId="4C7636C1" w14:textId="5F3D6A1F" w:rsidR="00BD34CC" w:rsidRPr="00BD34CC" w:rsidRDefault="00BD34CC" w:rsidP="00BD34CC">
      <w:pPr>
        <w:pStyle w:val="PargrafodaLista"/>
        <w:numPr>
          <w:ilvl w:val="0"/>
          <w:numId w:val="1"/>
        </w:numPr>
        <w:spacing w:line="480" w:lineRule="auto"/>
        <w:ind w:left="714" w:hanging="357"/>
        <w:jc w:val="both"/>
        <w:rPr>
          <w:sz w:val="24"/>
          <w:szCs w:val="24"/>
          <w:lang w:val="en-US"/>
        </w:rPr>
      </w:pPr>
      <w:r w:rsidRPr="0028171F">
        <w:rPr>
          <w:sz w:val="24"/>
          <w:szCs w:val="24"/>
        </w:rPr>
        <w:t>De Freitas T, Marktel S, Piemontese S</w:t>
      </w:r>
      <w:r>
        <w:rPr>
          <w:sz w:val="24"/>
          <w:szCs w:val="24"/>
        </w:rPr>
        <w:t>, Carrabba MG, Tresoldi C, Messina C</w:t>
      </w:r>
      <w:r w:rsidRPr="0028171F">
        <w:rPr>
          <w:sz w:val="24"/>
          <w:szCs w:val="24"/>
        </w:rPr>
        <w:t xml:space="preserve"> et al. </w:t>
      </w:r>
      <w:r w:rsidRPr="0028171F">
        <w:rPr>
          <w:sz w:val="24"/>
          <w:szCs w:val="24"/>
          <w:lang w:val="en-US"/>
        </w:rPr>
        <w:t xml:space="preserve">High rates of hematological response to sorafenib in FLT3-ITD acute myeloid leukemia relapsed after allogeneic hematopoietic stem cell Transplantation. </w:t>
      </w:r>
      <w:r w:rsidRPr="00BD34CC">
        <w:rPr>
          <w:sz w:val="24"/>
          <w:szCs w:val="24"/>
          <w:lang w:val="en-US"/>
        </w:rPr>
        <w:t>Eur J Haematol</w:t>
      </w:r>
      <w:r w:rsidR="009608F3">
        <w:rPr>
          <w:sz w:val="24"/>
          <w:szCs w:val="24"/>
          <w:lang w:val="en-US"/>
        </w:rPr>
        <w:t>.</w:t>
      </w:r>
      <w:r w:rsidRPr="00BD34CC">
        <w:rPr>
          <w:sz w:val="24"/>
          <w:szCs w:val="24"/>
          <w:lang w:val="en-US"/>
        </w:rPr>
        <w:t xml:space="preserve"> 2016; 96: 629-636.</w:t>
      </w:r>
    </w:p>
    <w:p w14:paraId="6E1F6214" w14:textId="2C2D1F84" w:rsidR="00BD34CC" w:rsidRPr="0028171F" w:rsidRDefault="00BD34CC" w:rsidP="00BD34CC">
      <w:pPr>
        <w:pStyle w:val="PargrafodaLista"/>
        <w:numPr>
          <w:ilvl w:val="0"/>
          <w:numId w:val="1"/>
        </w:numPr>
        <w:spacing w:line="480" w:lineRule="auto"/>
        <w:ind w:left="714" w:hanging="357"/>
        <w:jc w:val="both"/>
        <w:rPr>
          <w:sz w:val="24"/>
          <w:szCs w:val="24"/>
          <w:lang w:val="en-US"/>
        </w:rPr>
      </w:pPr>
      <w:r w:rsidRPr="0028171F">
        <w:rPr>
          <w:sz w:val="24"/>
          <w:szCs w:val="24"/>
        </w:rPr>
        <w:t>Ueda M, de Lima M, Caimi P</w:t>
      </w:r>
      <w:r>
        <w:rPr>
          <w:sz w:val="24"/>
          <w:szCs w:val="24"/>
        </w:rPr>
        <w:t>, Tomlinson B, Little J, Creger R</w:t>
      </w:r>
      <w:r w:rsidRPr="0028171F">
        <w:rPr>
          <w:sz w:val="24"/>
          <w:szCs w:val="24"/>
        </w:rPr>
        <w:t xml:space="preserve"> et al. </w:t>
      </w:r>
      <w:r w:rsidRPr="0028171F">
        <w:rPr>
          <w:sz w:val="24"/>
          <w:szCs w:val="24"/>
          <w:lang w:val="en-US"/>
        </w:rPr>
        <w:t xml:space="preserve">Concurrent blinatumomab and donor </w:t>
      </w:r>
      <w:r w:rsidRPr="0028171F">
        <w:rPr>
          <w:sz w:val="24"/>
          <w:szCs w:val="24"/>
          <w:lang w:val="en-US"/>
        </w:rPr>
        <w:lastRenderedPageBreak/>
        <w:t>lymphocyte infusions for treatment of relapsed pre-B-cell ALL after allogeneic hematopoietic cell transplant. Bone Marrow Transplant</w:t>
      </w:r>
      <w:r w:rsidR="009608F3">
        <w:rPr>
          <w:sz w:val="24"/>
          <w:szCs w:val="24"/>
          <w:lang w:val="en-US"/>
        </w:rPr>
        <w:t>.</w:t>
      </w:r>
      <w:r w:rsidRPr="0028171F">
        <w:rPr>
          <w:sz w:val="24"/>
          <w:szCs w:val="24"/>
          <w:lang w:val="en-US"/>
        </w:rPr>
        <w:t xml:space="preserve"> 2016; 51: 1253</w:t>
      </w:r>
      <w:r>
        <w:rPr>
          <w:sz w:val="24"/>
          <w:szCs w:val="24"/>
          <w:lang w:val="en-US"/>
        </w:rPr>
        <w:t>-55</w:t>
      </w:r>
      <w:r w:rsidRPr="0028171F">
        <w:rPr>
          <w:sz w:val="24"/>
          <w:szCs w:val="24"/>
          <w:lang w:val="en-US"/>
        </w:rPr>
        <w:t>.</w:t>
      </w:r>
    </w:p>
    <w:p w14:paraId="45027C8C" w14:textId="4C24B4EA" w:rsidR="00BD34CC" w:rsidRPr="0028171F" w:rsidRDefault="00BD34CC" w:rsidP="00BD34CC">
      <w:pPr>
        <w:pStyle w:val="PargrafodaLista"/>
        <w:numPr>
          <w:ilvl w:val="0"/>
          <w:numId w:val="1"/>
        </w:numPr>
        <w:spacing w:line="480" w:lineRule="auto"/>
        <w:ind w:left="714" w:hanging="357"/>
        <w:jc w:val="both"/>
        <w:rPr>
          <w:sz w:val="24"/>
          <w:szCs w:val="24"/>
          <w:lang w:val="en-US"/>
        </w:rPr>
      </w:pPr>
      <w:r w:rsidRPr="0028171F">
        <w:rPr>
          <w:sz w:val="24"/>
          <w:szCs w:val="24"/>
          <w:lang w:val="en-US"/>
        </w:rPr>
        <w:t>Haverkos BM, Abott D, Hamadani M</w:t>
      </w:r>
      <w:r>
        <w:rPr>
          <w:sz w:val="24"/>
          <w:szCs w:val="24"/>
          <w:lang w:val="en-US"/>
        </w:rPr>
        <w:t>, Armand P, Flowers ME, Merryman R</w:t>
      </w:r>
      <w:r w:rsidRPr="0028171F">
        <w:rPr>
          <w:sz w:val="24"/>
          <w:szCs w:val="24"/>
          <w:lang w:val="en-US"/>
        </w:rPr>
        <w:t xml:space="preserve"> et al. PD-1 blockade for relapsed lymphoma post-allogeneic hematopoietic cell transplantat</w:t>
      </w:r>
      <w:r>
        <w:rPr>
          <w:sz w:val="24"/>
          <w:szCs w:val="24"/>
          <w:lang w:val="en-US"/>
        </w:rPr>
        <w:t>ion</w:t>
      </w:r>
      <w:r w:rsidRPr="0028171F">
        <w:rPr>
          <w:sz w:val="24"/>
          <w:szCs w:val="24"/>
          <w:lang w:val="en-US"/>
        </w:rPr>
        <w:t xml:space="preserve">: high response rates but frequent </w:t>
      </w:r>
      <w:r w:rsidR="009608F3" w:rsidRPr="009608F3">
        <w:rPr>
          <w:color w:val="00B0F0"/>
          <w:sz w:val="24"/>
          <w:szCs w:val="24"/>
          <w:lang w:val="en-US"/>
        </w:rPr>
        <w:t>GvHD</w:t>
      </w:r>
      <w:r w:rsidRPr="0028171F">
        <w:rPr>
          <w:sz w:val="24"/>
          <w:szCs w:val="24"/>
          <w:lang w:val="en-US"/>
        </w:rPr>
        <w:t>. Blood 2017; 1</w:t>
      </w:r>
      <w:r>
        <w:rPr>
          <w:sz w:val="24"/>
          <w:szCs w:val="24"/>
          <w:lang w:val="en-US"/>
        </w:rPr>
        <w:t>30</w:t>
      </w:r>
      <w:r w:rsidRPr="0028171F">
        <w:rPr>
          <w:sz w:val="24"/>
          <w:szCs w:val="24"/>
          <w:lang w:val="en-US"/>
        </w:rPr>
        <w:t>: 221</w:t>
      </w:r>
      <w:r>
        <w:rPr>
          <w:sz w:val="24"/>
          <w:szCs w:val="24"/>
          <w:lang w:val="en-US"/>
        </w:rPr>
        <w:t>-228</w:t>
      </w:r>
      <w:r w:rsidRPr="0028171F">
        <w:rPr>
          <w:sz w:val="24"/>
          <w:szCs w:val="24"/>
          <w:lang w:val="en-US"/>
        </w:rPr>
        <w:t>.</w:t>
      </w:r>
    </w:p>
    <w:p w14:paraId="0B70D444" w14:textId="5384100C" w:rsidR="00BD34CC" w:rsidRPr="0028171F" w:rsidRDefault="00BD34CC" w:rsidP="00BD34CC">
      <w:pPr>
        <w:pStyle w:val="PargrafodaLista"/>
        <w:numPr>
          <w:ilvl w:val="0"/>
          <w:numId w:val="1"/>
        </w:numPr>
        <w:spacing w:line="480" w:lineRule="auto"/>
        <w:ind w:left="714" w:hanging="357"/>
        <w:jc w:val="both"/>
        <w:rPr>
          <w:sz w:val="24"/>
          <w:szCs w:val="24"/>
          <w:lang w:val="en-US"/>
        </w:rPr>
      </w:pPr>
      <w:r w:rsidRPr="0028171F">
        <w:rPr>
          <w:sz w:val="24"/>
          <w:szCs w:val="24"/>
          <w:lang w:val="en-US"/>
        </w:rPr>
        <w:t>Gokbuget N, Canaani J, Nagler A</w:t>
      </w:r>
      <w:r>
        <w:rPr>
          <w:sz w:val="24"/>
          <w:szCs w:val="24"/>
          <w:lang w:val="en-US"/>
        </w:rPr>
        <w:t>, Bishop M, Kroger N, Avigan D</w:t>
      </w:r>
      <w:r w:rsidRPr="0028171F">
        <w:rPr>
          <w:sz w:val="24"/>
          <w:szCs w:val="24"/>
          <w:lang w:val="en-US"/>
        </w:rPr>
        <w:t>. Prevention and treatment of relapse after stem cell transplantation with immunotherapy. Bone Marrow Transplant</w:t>
      </w:r>
      <w:r w:rsidR="009608F3">
        <w:rPr>
          <w:sz w:val="24"/>
          <w:szCs w:val="24"/>
          <w:lang w:val="en-US"/>
        </w:rPr>
        <w:t>.</w:t>
      </w:r>
      <w:r w:rsidRPr="0028171F">
        <w:rPr>
          <w:sz w:val="24"/>
          <w:szCs w:val="24"/>
          <w:lang w:val="en-US"/>
        </w:rPr>
        <w:t xml:space="preserve"> 2018; 53: 664</w:t>
      </w:r>
      <w:r>
        <w:rPr>
          <w:sz w:val="24"/>
          <w:szCs w:val="24"/>
          <w:lang w:val="en-US"/>
        </w:rPr>
        <w:t>-672</w:t>
      </w:r>
      <w:r w:rsidRPr="0028171F">
        <w:rPr>
          <w:sz w:val="24"/>
          <w:szCs w:val="24"/>
          <w:lang w:val="en-US"/>
        </w:rPr>
        <w:t>.</w:t>
      </w:r>
    </w:p>
    <w:p w14:paraId="028BDA2C" w14:textId="1FAECCD5" w:rsidR="00BD34CC" w:rsidRPr="0028171F" w:rsidRDefault="00EB4B82" w:rsidP="00BD34CC">
      <w:pPr>
        <w:pStyle w:val="PargrafodaLista"/>
        <w:numPr>
          <w:ilvl w:val="0"/>
          <w:numId w:val="1"/>
        </w:numPr>
        <w:spacing w:line="480" w:lineRule="auto"/>
        <w:ind w:left="714" w:hanging="357"/>
        <w:jc w:val="both"/>
        <w:rPr>
          <w:sz w:val="24"/>
          <w:szCs w:val="24"/>
          <w:lang w:val="en-US"/>
        </w:rPr>
      </w:pPr>
      <w:r>
        <w:rPr>
          <w:sz w:val="24"/>
          <w:szCs w:val="24"/>
          <w:lang w:val="en-US"/>
        </w:rPr>
        <w:t>Dietz AC, Wayne AS. Cells to prevent/treat relapse following allogeneic stem cell transplantation. Hematology A</w:t>
      </w:r>
      <w:r w:rsidR="009608F3">
        <w:rPr>
          <w:sz w:val="24"/>
          <w:szCs w:val="24"/>
          <w:lang w:val="en-US"/>
        </w:rPr>
        <w:t>m Soc Hematol Educ Program 2017;</w:t>
      </w:r>
      <w:r>
        <w:rPr>
          <w:sz w:val="24"/>
          <w:szCs w:val="24"/>
          <w:lang w:val="en-US"/>
        </w:rPr>
        <w:t xml:space="preserve"> 708-715.</w:t>
      </w:r>
    </w:p>
    <w:p w14:paraId="1AF947E9" w14:textId="08FD42A1" w:rsidR="00BD34CC" w:rsidRPr="00BD34CC" w:rsidRDefault="00BD34CC" w:rsidP="00BD34CC">
      <w:pPr>
        <w:pStyle w:val="PargrafodaLista"/>
        <w:numPr>
          <w:ilvl w:val="0"/>
          <w:numId w:val="1"/>
        </w:numPr>
        <w:spacing w:line="480" w:lineRule="auto"/>
        <w:ind w:left="714" w:hanging="357"/>
        <w:jc w:val="both"/>
        <w:rPr>
          <w:sz w:val="24"/>
          <w:szCs w:val="24"/>
          <w:lang w:val="en-US"/>
        </w:rPr>
      </w:pPr>
      <w:r w:rsidRPr="0028171F">
        <w:rPr>
          <w:sz w:val="24"/>
          <w:szCs w:val="24"/>
          <w:lang w:val="en-US"/>
        </w:rPr>
        <w:t>June CH, Sadelain M. Frontiers in Medicine series: Chimeric antigen receptor therapy. N Engl J Med</w:t>
      </w:r>
      <w:r w:rsidR="009608F3">
        <w:rPr>
          <w:sz w:val="24"/>
          <w:szCs w:val="24"/>
          <w:lang w:val="en-US"/>
        </w:rPr>
        <w:t>.</w:t>
      </w:r>
      <w:r w:rsidRPr="0028171F">
        <w:rPr>
          <w:sz w:val="24"/>
          <w:szCs w:val="24"/>
          <w:lang w:val="en-US"/>
        </w:rPr>
        <w:t xml:space="preserve"> 2018; 379: 64</w:t>
      </w:r>
      <w:r>
        <w:rPr>
          <w:sz w:val="24"/>
          <w:szCs w:val="24"/>
          <w:lang w:val="en-US"/>
        </w:rPr>
        <w:t>-73</w:t>
      </w:r>
      <w:r w:rsidRPr="0028171F">
        <w:rPr>
          <w:sz w:val="24"/>
          <w:szCs w:val="24"/>
          <w:lang w:val="en-US"/>
        </w:rPr>
        <w:t>.</w:t>
      </w:r>
      <w:r w:rsidRPr="00BD34CC">
        <w:rPr>
          <w:rFonts w:cs="Times New Roman"/>
          <w:sz w:val="24"/>
          <w:szCs w:val="24"/>
          <w:lang w:val="en-US"/>
        </w:rPr>
        <w:br w:type="page"/>
      </w:r>
    </w:p>
    <w:p w14:paraId="308C2E41" w14:textId="77777777" w:rsidR="0089530C" w:rsidRDefault="0089530C" w:rsidP="0089530C">
      <w:pPr>
        <w:spacing w:after="0" w:line="480" w:lineRule="auto"/>
        <w:jc w:val="both"/>
        <w:rPr>
          <w:rFonts w:cs="Times New Roman"/>
          <w:sz w:val="24"/>
          <w:szCs w:val="24"/>
          <w:lang w:val="en-US"/>
        </w:rPr>
      </w:pPr>
    </w:p>
    <w:p w14:paraId="4FEA212E" w14:textId="6927416D" w:rsidR="0089530C" w:rsidRDefault="0089530C" w:rsidP="0089530C">
      <w:pPr>
        <w:spacing w:after="0" w:line="480" w:lineRule="auto"/>
        <w:jc w:val="both"/>
        <w:rPr>
          <w:rFonts w:cs="Times New Roman"/>
          <w:b/>
          <w:sz w:val="24"/>
          <w:szCs w:val="24"/>
          <w:lang w:val="en-US"/>
        </w:rPr>
      </w:pPr>
      <w:r w:rsidRPr="0089530C">
        <w:rPr>
          <w:rFonts w:cs="Times New Roman"/>
          <w:b/>
          <w:sz w:val="24"/>
          <w:szCs w:val="24"/>
          <w:lang w:val="en-US"/>
        </w:rPr>
        <w:t>FIGURE LEGENDS</w:t>
      </w:r>
    </w:p>
    <w:p w14:paraId="0B67394C" w14:textId="77777777" w:rsidR="00BD34CC" w:rsidRPr="0089530C" w:rsidRDefault="00BD34CC" w:rsidP="0089530C">
      <w:pPr>
        <w:spacing w:after="0" w:line="480" w:lineRule="auto"/>
        <w:jc w:val="both"/>
        <w:rPr>
          <w:rFonts w:cs="Times New Roman"/>
          <w:b/>
          <w:sz w:val="24"/>
          <w:szCs w:val="24"/>
          <w:lang w:val="en-US"/>
        </w:rPr>
      </w:pPr>
    </w:p>
    <w:p w14:paraId="00FA2E30" w14:textId="77777777" w:rsidR="00112377" w:rsidRDefault="00791403" w:rsidP="0011237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Figure </w:t>
      </w:r>
      <w:r w:rsidR="00A508DC">
        <w:rPr>
          <w:rFonts w:ascii="Times New Roman" w:hAnsi="Times New Roman" w:cs="Times New Roman"/>
          <w:sz w:val="24"/>
          <w:szCs w:val="24"/>
          <w:lang w:val="en-US"/>
        </w:rPr>
        <w:t>1</w:t>
      </w:r>
      <w:r>
        <w:rPr>
          <w:rFonts w:ascii="Times New Roman" w:hAnsi="Times New Roman" w:cs="Times New Roman"/>
          <w:sz w:val="24"/>
          <w:szCs w:val="24"/>
          <w:lang w:val="en-US"/>
        </w:rPr>
        <w:t xml:space="preserve">. Outcomes after allotransplant. (A) Overall survival by donor type in overall sample. (B) Overall survival by HLA allele mismatch in unrelated donor transplants. (C) Overall survival by transplant period in overall sample. (D) </w:t>
      </w:r>
      <w:r w:rsidR="00822541">
        <w:rPr>
          <w:rFonts w:ascii="Times New Roman" w:hAnsi="Times New Roman" w:cs="Times New Roman"/>
          <w:sz w:val="24"/>
          <w:szCs w:val="24"/>
          <w:lang w:val="en-US"/>
        </w:rPr>
        <w:t xml:space="preserve">Overall survival by transplant period in CML patients </w:t>
      </w:r>
      <w:r>
        <w:rPr>
          <w:rFonts w:ascii="Times New Roman" w:hAnsi="Times New Roman" w:cs="Times New Roman"/>
          <w:sz w:val="24"/>
          <w:szCs w:val="24"/>
          <w:lang w:val="en-US"/>
        </w:rPr>
        <w:t xml:space="preserve">(E) Cumulative incidence of Non-Relapse Mortality by transplant period in overall sample. </w:t>
      </w:r>
      <w:r w:rsidRPr="00BD34CC">
        <w:rPr>
          <w:rFonts w:ascii="Times New Roman" w:hAnsi="Times New Roman" w:cs="Times New Roman"/>
          <w:sz w:val="24"/>
          <w:szCs w:val="24"/>
          <w:lang w:val="en-US"/>
        </w:rPr>
        <w:t>(F)</w:t>
      </w:r>
      <w:r w:rsidR="00112377">
        <w:rPr>
          <w:rFonts w:ascii="Times New Roman" w:hAnsi="Times New Roman" w:cs="Times New Roman"/>
          <w:sz w:val="24"/>
          <w:szCs w:val="24"/>
          <w:lang w:val="en-US"/>
        </w:rPr>
        <w:t xml:space="preserve"> Cumulative incidence of GvHD mortality by transplant period in overall sample</w:t>
      </w:r>
    </w:p>
    <w:p w14:paraId="4A01B258" w14:textId="77777777" w:rsidR="00112377" w:rsidRDefault="00112377" w:rsidP="00112377">
      <w:pPr>
        <w:spacing w:after="0" w:line="480" w:lineRule="auto"/>
        <w:jc w:val="both"/>
        <w:rPr>
          <w:rFonts w:cs="Times New Roman"/>
          <w:sz w:val="24"/>
          <w:szCs w:val="24"/>
          <w:lang w:val="en-US"/>
        </w:rPr>
      </w:pPr>
    </w:p>
    <w:p w14:paraId="09F10ECA" w14:textId="77777777" w:rsidR="00112377" w:rsidRDefault="00822541" w:rsidP="00112377">
      <w:pPr>
        <w:spacing w:before="80" w:after="80" w:line="480" w:lineRule="auto"/>
        <w:jc w:val="both"/>
        <w:rPr>
          <w:rFonts w:ascii="Times New Roman" w:hAnsi="Times New Roman" w:cs="Times New Roman"/>
          <w:sz w:val="24"/>
          <w:szCs w:val="24"/>
          <w:lang w:val="en-US"/>
        </w:rPr>
      </w:pPr>
      <w:r>
        <w:rPr>
          <w:rFonts w:cs="Times New Roman"/>
          <w:sz w:val="24"/>
          <w:szCs w:val="24"/>
          <w:lang w:val="en-US"/>
        </w:rPr>
        <w:t xml:space="preserve">Figure 2. (A) </w:t>
      </w:r>
      <w:r>
        <w:rPr>
          <w:rFonts w:ascii="Times New Roman" w:hAnsi="Times New Roman" w:cs="Times New Roman"/>
          <w:sz w:val="24"/>
          <w:szCs w:val="24"/>
          <w:lang w:val="en-US"/>
        </w:rPr>
        <w:t>Cumulative incidence of relapse by transplant period in patients with hematological malignancies. (B)</w:t>
      </w:r>
      <w:r w:rsidR="00112377">
        <w:rPr>
          <w:rFonts w:ascii="Times New Roman" w:hAnsi="Times New Roman" w:cs="Times New Roman"/>
          <w:sz w:val="24"/>
          <w:szCs w:val="24"/>
          <w:lang w:val="en-US"/>
        </w:rPr>
        <w:t xml:space="preserve"> Cumulative incidence of relapse by conditioning regimen in patients with hematological malignancies.</w:t>
      </w:r>
    </w:p>
    <w:p w14:paraId="0A32A436" w14:textId="13F71BC5" w:rsidR="00822541" w:rsidRDefault="00822541" w:rsidP="00822541">
      <w:pPr>
        <w:spacing w:after="0" w:line="480" w:lineRule="auto"/>
        <w:jc w:val="both"/>
        <w:rPr>
          <w:rFonts w:cs="Times New Roman"/>
          <w:sz w:val="24"/>
          <w:szCs w:val="24"/>
          <w:lang w:val="en-US"/>
        </w:rPr>
      </w:pPr>
      <w:r>
        <w:rPr>
          <w:rFonts w:ascii="Times New Roman" w:hAnsi="Times New Roman" w:cs="Times New Roman"/>
          <w:sz w:val="24"/>
          <w:szCs w:val="24"/>
          <w:lang w:val="en-US"/>
        </w:rPr>
        <w:t xml:space="preserve"> </w:t>
      </w:r>
    </w:p>
    <w:p w14:paraId="598E1E30" w14:textId="3E811338" w:rsidR="00791403" w:rsidRDefault="00822541" w:rsidP="00822541">
      <w:pPr>
        <w:spacing w:before="80" w:after="80" w:line="480" w:lineRule="auto"/>
        <w:ind w:left="708" w:hanging="708"/>
        <w:rPr>
          <w:rFonts w:ascii="Times New Roman" w:hAnsi="Times New Roman" w:cs="Times New Roman"/>
          <w:sz w:val="24"/>
          <w:szCs w:val="24"/>
          <w:lang w:val="en-US"/>
        </w:rPr>
      </w:pPr>
      <w:r>
        <w:rPr>
          <w:rFonts w:ascii="Times New Roman" w:hAnsi="Times New Roman" w:cs="Times New Roman"/>
          <w:sz w:val="24"/>
          <w:szCs w:val="24"/>
          <w:lang w:val="en-US"/>
        </w:rPr>
        <w:t xml:space="preserve">Figure 3. </w:t>
      </w:r>
      <w:r w:rsidR="00791403" w:rsidRPr="00BD34CC">
        <w:rPr>
          <w:rFonts w:ascii="Times New Roman" w:hAnsi="Times New Roman" w:cs="Times New Roman"/>
          <w:sz w:val="24"/>
          <w:szCs w:val="24"/>
          <w:lang w:val="en-US"/>
        </w:rPr>
        <w:t>Cumulative incidence of secondary malignancy by transplant period in overall sample.</w:t>
      </w:r>
    </w:p>
    <w:p w14:paraId="62E24D10" w14:textId="77777777" w:rsidR="00791403" w:rsidRDefault="00791403" w:rsidP="0089530C">
      <w:pPr>
        <w:spacing w:after="0" w:line="480" w:lineRule="auto"/>
        <w:jc w:val="both"/>
        <w:rPr>
          <w:rFonts w:cs="Times New Roman"/>
          <w:sz w:val="24"/>
          <w:szCs w:val="24"/>
          <w:lang w:val="en-US"/>
        </w:rPr>
      </w:pPr>
    </w:p>
    <w:p w14:paraId="3EC46CC6" w14:textId="77777777" w:rsidR="00822541" w:rsidRDefault="00822541" w:rsidP="0089530C">
      <w:pPr>
        <w:spacing w:after="0" w:line="480" w:lineRule="auto"/>
        <w:jc w:val="both"/>
        <w:rPr>
          <w:rFonts w:cs="Times New Roman"/>
          <w:sz w:val="24"/>
          <w:szCs w:val="24"/>
          <w:lang w:val="en-US"/>
        </w:rPr>
      </w:pPr>
    </w:p>
    <w:p w14:paraId="7DE0CDC5" w14:textId="77777777" w:rsidR="00A508DC" w:rsidRDefault="00A508DC" w:rsidP="0089530C">
      <w:pPr>
        <w:spacing w:after="0" w:line="480" w:lineRule="auto"/>
        <w:jc w:val="both"/>
        <w:rPr>
          <w:rFonts w:cs="Times New Roman"/>
          <w:sz w:val="24"/>
          <w:szCs w:val="24"/>
          <w:lang w:val="en-US"/>
        </w:rPr>
      </w:pPr>
    </w:p>
    <w:p w14:paraId="02349906" w14:textId="7F77EC8A" w:rsidR="00AA2898" w:rsidRPr="0089530C" w:rsidRDefault="00AA2898" w:rsidP="0089530C">
      <w:pPr>
        <w:spacing w:after="0" w:line="480" w:lineRule="auto"/>
        <w:jc w:val="both"/>
        <w:rPr>
          <w:rFonts w:ascii="Times New Roman" w:hAnsi="Times New Roman" w:cs="Times New Roman"/>
          <w:b/>
          <w:sz w:val="24"/>
          <w:szCs w:val="24"/>
          <w:lang w:val="en-US"/>
        </w:rPr>
      </w:pPr>
    </w:p>
    <w:p w14:paraId="4A243B80" w14:textId="77777777" w:rsidR="00532132" w:rsidRDefault="00532132" w:rsidP="0089530C">
      <w:pPr>
        <w:spacing w:after="0" w:line="480" w:lineRule="auto"/>
        <w:jc w:val="both"/>
        <w:rPr>
          <w:rFonts w:ascii="Times New Roman" w:hAnsi="Times New Roman" w:cs="Times New Roman"/>
          <w:sz w:val="24"/>
          <w:szCs w:val="24"/>
          <w:lang w:val="en-US"/>
        </w:rPr>
        <w:sectPr w:rsidR="00532132" w:rsidSect="00A14B97">
          <w:headerReference w:type="default" r:id="rId9"/>
          <w:pgSz w:w="11906" w:h="16838"/>
          <w:pgMar w:top="1440" w:right="2880" w:bottom="1440" w:left="2880" w:header="708" w:footer="708" w:gutter="0"/>
          <w:lnNumType w:countBy="1" w:restart="continuous"/>
          <w:cols w:space="708"/>
          <w:docGrid w:linePitch="360"/>
        </w:sectPr>
      </w:pPr>
    </w:p>
    <w:p w14:paraId="36DF3147" w14:textId="60FD088B" w:rsidR="00FC1E38" w:rsidRPr="00BD34CC" w:rsidRDefault="00BD34CC" w:rsidP="0089530C">
      <w:pPr>
        <w:spacing w:after="0" w:line="480" w:lineRule="auto"/>
        <w:jc w:val="both"/>
        <w:rPr>
          <w:rFonts w:ascii="Times New Roman" w:hAnsi="Times New Roman" w:cs="Times New Roman"/>
          <w:b/>
          <w:sz w:val="24"/>
          <w:szCs w:val="24"/>
          <w:lang w:val="en-US"/>
        </w:rPr>
      </w:pPr>
      <w:r w:rsidRPr="00BD34CC">
        <w:rPr>
          <w:rFonts w:ascii="Times New Roman" w:hAnsi="Times New Roman" w:cs="Times New Roman"/>
          <w:b/>
          <w:sz w:val="24"/>
          <w:szCs w:val="24"/>
          <w:lang w:val="en-US"/>
        </w:rPr>
        <w:lastRenderedPageBreak/>
        <w:t>TABLES</w:t>
      </w:r>
    </w:p>
    <w:p w14:paraId="4E2E4872" w14:textId="77777777" w:rsidR="00D65F86" w:rsidRPr="0001651E" w:rsidRDefault="00D65F86" w:rsidP="0089530C">
      <w:pPr>
        <w:spacing w:after="0" w:line="480" w:lineRule="auto"/>
        <w:jc w:val="both"/>
        <w:rPr>
          <w:rFonts w:ascii="Times New Roman" w:hAnsi="Times New Roman" w:cs="Times New Roman"/>
          <w:sz w:val="24"/>
          <w:szCs w:val="24"/>
          <w:lang w:val="en-US"/>
        </w:rPr>
      </w:pPr>
      <w:r w:rsidRPr="0001651E">
        <w:rPr>
          <w:rFonts w:ascii="Times New Roman" w:hAnsi="Times New Roman" w:cs="Times New Roman"/>
          <w:sz w:val="24"/>
          <w:szCs w:val="24"/>
          <w:lang w:val="en-US"/>
        </w:rPr>
        <w:t>Table 1. Patient and first allotransplant characteristics by decade</w:t>
      </w:r>
    </w:p>
    <w:tbl>
      <w:tblPr>
        <w:tblStyle w:val="TabelaSimples22"/>
        <w:tblW w:w="0" w:type="auto"/>
        <w:tblLayout w:type="fixed"/>
        <w:tblLook w:val="04A0" w:firstRow="1" w:lastRow="0" w:firstColumn="1" w:lastColumn="0" w:noHBand="0" w:noVBand="1"/>
      </w:tblPr>
      <w:tblGrid>
        <w:gridCol w:w="3969"/>
        <w:gridCol w:w="1417"/>
        <w:gridCol w:w="1418"/>
        <w:gridCol w:w="1417"/>
        <w:gridCol w:w="1418"/>
        <w:gridCol w:w="959"/>
      </w:tblGrid>
      <w:tr w:rsidR="00D65F86" w:rsidRPr="0001651E" w14:paraId="3072E9DB" w14:textId="77777777" w:rsidTr="000165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609E0AF7" w14:textId="77777777" w:rsidR="00D65F86" w:rsidRPr="0001651E" w:rsidRDefault="00D65F86" w:rsidP="00532132">
            <w:pPr>
              <w:rPr>
                <w:rFonts w:ascii="Times New Roman" w:hAnsi="Times New Roman" w:cs="Times New Roman"/>
                <w:b w:val="0"/>
                <w:sz w:val="24"/>
                <w:szCs w:val="24"/>
              </w:rPr>
            </w:pPr>
            <w:r w:rsidRPr="0001651E">
              <w:rPr>
                <w:rFonts w:ascii="Times New Roman" w:hAnsi="Times New Roman" w:cs="Times New Roman"/>
                <w:sz w:val="24"/>
                <w:szCs w:val="24"/>
              </w:rPr>
              <w:t>Characteristic, n(%)</w:t>
            </w:r>
          </w:p>
        </w:tc>
        <w:tc>
          <w:tcPr>
            <w:tcW w:w="1417" w:type="dxa"/>
          </w:tcPr>
          <w:p w14:paraId="2A177F7F" w14:textId="77777777" w:rsidR="00D65F86" w:rsidRPr="0001651E" w:rsidRDefault="00D65F86" w:rsidP="00532132">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1651E">
              <w:rPr>
                <w:rFonts w:ascii="Times New Roman" w:hAnsi="Times New Roman" w:cs="Times New Roman"/>
                <w:sz w:val="24"/>
                <w:szCs w:val="24"/>
              </w:rPr>
              <w:t>All</w:t>
            </w:r>
          </w:p>
        </w:tc>
        <w:tc>
          <w:tcPr>
            <w:tcW w:w="1418" w:type="dxa"/>
          </w:tcPr>
          <w:p w14:paraId="6282F5D7" w14:textId="77777777" w:rsidR="00D65F86" w:rsidRPr="0001651E" w:rsidRDefault="00D65F86" w:rsidP="00532132">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1651E">
              <w:rPr>
                <w:rFonts w:ascii="Times New Roman" w:hAnsi="Times New Roman" w:cs="Times New Roman"/>
                <w:sz w:val="24"/>
                <w:szCs w:val="24"/>
              </w:rPr>
              <w:t>1st decade</w:t>
            </w:r>
          </w:p>
          <w:p w14:paraId="551E169D" w14:textId="77777777" w:rsidR="00D65F86" w:rsidRPr="0001651E" w:rsidRDefault="00D65F86" w:rsidP="00532132">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1651E">
              <w:rPr>
                <w:rFonts w:ascii="Times New Roman" w:hAnsi="Times New Roman" w:cs="Times New Roman"/>
                <w:sz w:val="24"/>
                <w:szCs w:val="24"/>
              </w:rPr>
              <w:t>1987-1997</w:t>
            </w:r>
          </w:p>
        </w:tc>
        <w:tc>
          <w:tcPr>
            <w:tcW w:w="1417" w:type="dxa"/>
          </w:tcPr>
          <w:p w14:paraId="7E56793F" w14:textId="77777777" w:rsidR="00D65F86" w:rsidRPr="0001651E" w:rsidRDefault="00D65F86" w:rsidP="00532132">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1651E">
              <w:rPr>
                <w:rFonts w:ascii="Times New Roman" w:hAnsi="Times New Roman" w:cs="Times New Roman"/>
                <w:sz w:val="24"/>
                <w:szCs w:val="24"/>
              </w:rPr>
              <w:t>2nd decade</w:t>
            </w:r>
          </w:p>
          <w:p w14:paraId="56765B86" w14:textId="77777777" w:rsidR="00D65F86" w:rsidRPr="0001651E" w:rsidRDefault="00D65F86" w:rsidP="00532132">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1651E">
              <w:rPr>
                <w:rFonts w:ascii="Times New Roman" w:hAnsi="Times New Roman" w:cs="Times New Roman"/>
                <w:sz w:val="24"/>
                <w:szCs w:val="24"/>
              </w:rPr>
              <w:t>1997-2007</w:t>
            </w:r>
          </w:p>
        </w:tc>
        <w:tc>
          <w:tcPr>
            <w:tcW w:w="1418" w:type="dxa"/>
          </w:tcPr>
          <w:p w14:paraId="15A2046A" w14:textId="77777777" w:rsidR="00D65F86" w:rsidRPr="0001651E" w:rsidRDefault="00D65F86" w:rsidP="00532132">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1651E">
              <w:rPr>
                <w:rFonts w:ascii="Times New Roman" w:hAnsi="Times New Roman" w:cs="Times New Roman"/>
                <w:sz w:val="24"/>
                <w:szCs w:val="24"/>
              </w:rPr>
              <w:t>3rd decade</w:t>
            </w:r>
          </w:p>
          <w:p w14:paraId="03901D18" w14:textId="77777777" w:rsidR="00D65F86" w:rsidRPr="0001651E" w:rsidRDefault="00D65F86" w:rsidP="00532132">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1651E">
              <w:rPr>
                <w:rFonts w:ascii="Times New Roman" w:hAnsi="Times New Roman" w:cs="Times New Roman"/>
                <w:sz w:val="24"/>
                <w:szCs w:val="24"/>
              </w:rPr>
              <w:t>2007-2016</w:t>
            </w:r>
          </w:p>
        </w:tc>
        <w:tc>
          <w:tcPr>
            <w:tcW w:w="959" w:type="dxa"/>
          </w:tcPr>
          <w:p w14:paraId="4AB8D93E" w14:textId="4F529509" w:rsidR="00D65F86" w:rsidRPr="0001651E" w:rsidRDefault="0001651E" w:rsidP="0001651E">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vertAlign w:val="superscript"/>
              </w:rPr>
            </w:pPr>
            <w:r w:rsidRPr="0001651E">
              <w:rPr>
                <w:rFonts w:ascii="Times New Roman" w:hAnsi="Times New Roman" w:cs="Times New Roman"/>
                <w:i/>
                <w:sz w:val="24"/>
                <w:szCs w:val="24"/>
              </w:rPr>
              <w:t>P</w:t>
            </w:r>
            <w:r w:rsidR="00D65F86" w:rsidRPr="0001651E">
              <w:rPr>
                <w:rFonts w:ascii="Times New Roman" w:hAnsi="Times New Roman" w:cs="Times New Roman"/>
                <w:sz w:val="24"/>
                <w:szCs w:val="24"/>
                <w:vertAlign w:val="superscript"/>
              </w:rPr>
              <w:t>1</w:t>
            </w:r>
          </w:p>
        </w:tc>
      </w:tr>
      <w:tr w:rsidR="00532132" w:rsidRPr="0001651E" w14:paraId="3371D228" w14:textId="77777777" w:rsidTr="00016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3E58F0C9" w14:textId="77777777" w:rsidR="00532132" w:rsidRPr="0001651E" w:rsidRDefault="00532132" w:rsidP="00532132">
            <w:pPr>
              <w:rPr>
                <w:rFonts w:ascii="Times New Roman" w:hAnsi="Times New Roman" w:cs="Times New Roman"/>
                <w:sz w:val="24"/>
                <w:szCs w:val="24"/>
                <w:lang w:val="en-US"/>
              </w:rPr>
            </w:pPr>
            <w:r w:rsidRPr="0001651E">
              <w:rPr>
                <w:rFonts w:ascii="Times New Roman" w:hAnsi="Times New Roman" w:cs="Times New Roman"/>
                <w:sz w:val="24"/>
                <w:szCs w:val="24"/>
                <w:lang w:val="en-US"/>
              </w:rPr>
              <w:t>No. of first allotransplants</w:t>
            </w:r>
          </w:p>
          <w:p w14:paraId="751A2DA7" w14:textId="77777777" w:rsidR="00532132" w:rsidRPr="0001651E" w:rsidRDefault="00532132" w:rsidP="00532132">
            <w:pPr>
              <w:rPr>
                <w:rFonts w:ascii="Times New Roman" w:hAnsi="Times New Roman" w:cs="Times New Roman"/>
                <w:sz w:val="24"/>
                <w:szCs w:val="24"/>
                <w:lang w:val="en-US"/>
              </w:rPr>
            </w:pPr>
            <w:r w:rsidRPr="0001651E">
              <w:rPr>
                <w:rFonts w:ascii="Times New Roman" w:hAnsi="Times New Roman" w:cs="Times New Roman"/>
                <w:sz w:val="24"/>
                <w:szCs w:val="24"/>
                <w:lang w:val="en-US"/>
              </w:rPr>
              <w:t xml:space="preserve">   Pediatric patients</w:t>
            </w:r>
          </w:p>
          <w:p w14:paraId="4382313A" w14:textId="08564952" w:rsidR="00532132" w:rsidRPr="0001651E" w:rsidRDefault="00532132" w:rsidP="00532132">
            <w:pPr>
              <w:rPr>
                <w:rFonts w:ascii="Times New Roman" w:hAnsi="Times New Roman" w:cs="Times New Roman"/>
                <w:sz w:val="24"/>
                <w:szCs w:val="24"/>
              </w:rPr>
            </w:pPr>
            <w:r w:rsidRPr="0001651E">
              <w:rPr>
                <w:rFonts w:ascii="Times New Roman" w:hAnsi="Times New Roman" w:cs="Times New Roman"/>
                <w:sz w:val="24"/>
                <w:szCs w:val="24"/>
                <w:lang w:val="en-US"/>
              </w:rPr>
              <w:t xml:space="preserve">   </w:t>
            </w:r>
            <w:r w:rsidRPr="0001651E">
              <w:rPr>
                <w:rFonts w:ascii="Times New Roman" w:hAnsi="Times New Roman" w:cs="Times New Roman"/>
                <w:sz w:val="24"/>
                <w:szCs w:val="24"/>
              </w:rPr>
              <w:t>Adult patients</w:t>
            </w:r>
          </w:p>
        </w:tc>
        <w:tc>
          <w:tcPr>
            <w:tcW w:w="1417" w:type="dxa"/>
          </w:tcPr>
          <w:p w14:paraId="6009B49D" w14:textId="77777777" w:rsidR="00532132" w:rsidRPr="0001651E" w:rsidRDefault="00532132" w:rsidP="0079140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682</w:t>
            </w:r>
          </w:p>
          <w:p w14:paraId="6F62D9DA" w14:textId="77777777" w:rsidR="00532132" w:rsidRPr="0001651E" w:rsidRDefault="00532132" w:rsidP="0079140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271</w:t>
            </w:r>
          </w:p>
          <w:p w14:paraId="74A76086" w14:textId="3E4C72D6" w:rsidR="00532132" w:rsidRPr="0001651E" w:rsidRDefault="00532132" w:rsidP="0079140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411</w:t>
            </w:r>
          </w:p>
        </w:tc>
        <w:tc>
          <w:tcPr>
            <w:tcW w:w="1418" w:type="dxa"/>
          </w:tcPr>
          <w:p w14:paraId="0D078C7F" w14:textId="77777777" w:rsidR="00532132" w:rsidRPr="0001651E" w:rsidRDefault="00532132" w:rsidP="0079140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164</w:t>
            </w:r>
          </w:p>
          <w:p w14:paraId="75A58CAC" w14:textId="77777777" w:rsidR="00532132" w:rsidRPr="0001651E" w:rsidRDefault="00532132" w:rsidP="0079140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72</w:t>
            </w:r>
          </w:p>
          <w:p w14:paraId="542EE871" w14:textId="6B128696" w:rsidR="00532132" w:rsidRPr="0001651E" w:rsidRDefault="00532132" w:rsidP="0079140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92</w:t>
            </w:r>
          </w:p>
        </w:tc>
        <w:tc>
          <w:tcPr>
            <w:tcW w:w="1417" w:type="dxa"/>
          </w:tcPr>
          <w:p w14:paraId="71BD1C23" w14:textId="77777777" w:rsidR="00532132" w:rsidRPr="0001651E" w:rsidRDefault="00532132" w:rsidP="0079140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232</w:t>
            </w:r>
          </w:p>
          <w:p w14:paraId="7EED4CDE" w14:textId="77777777" w:rsidR="00532132" w:rsidRPr="0001651E" w:rsidRDefault="00532132" w:rsidP="0079140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94</w:t>
            </w:r>
          </w:p>
          <w:p w14:paraId="26982951" w14:textId="70AADF0D" w:rsidR="00532132" w:rsidRPr="0001651E" w:rsidRDefault="00532132" w:rsidP="0079140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138</w:t>
            </w:r>
          </w:p>
        </w:tc>
        <w:tc>
          <w:tcPr>
            <w:tcW w:w="1418" w:type="dxa"/>
          </w:tcPr>
          <w:p w14:paraId="220EFC9C" w14:textId="77777777" w:rsidR="00532132" w:rsidRPr="0001651E" w:rsidRDefault="00532132" w:rsidP="0079140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286</w:t>
            </w:r>
          </w:p>
          <w:p w14:paraId="33FDB4C1" w14:textId="77777777" w:rsidR="00532132" w:rsidRPr="0001651E" w:rsidRDefault="00532132" w:rsidP="0079140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105</w:t>
            </w:r>
          </w:p>
          <w:p w14:paraId="3675E257" w14:textId="270C1FEA" w:rsidR="00532132" w:rsidRPr="0001651E" w:rsidRDefault="00532132" w:rsidP="0079140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181</w:t>
            </w:r>
          </w:p>
        </w:tc>
        <w:tc>
          <w:tcPr>
            <w:tcW w:w="959" w:type="dxa"/>
          </w:tcPr>
          <w:p w14:paraId="6378FC3E" w14:textId="173118A5" w:rsidR="00532132" w:rsidRPr="0001651E" w:rsidRDefault="00532132" w:rsidP="0079140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w:t>
            </w:r>
          </w:p>
        </w:tc>
      </w:tr>
      <w:tr w:rsidR="00532132" w:rsidRPr="0001651E" w14:paraId="5CF7AD2A" w14:textId="77777777" w:rsidTr="0001651E">
        <w:tc>
          <w:tcPr>
            <w:cnfStyle w:val="001000000000" w:firstRow="0" w:lastRow="0" w:firstColumn="1" w:lastColumn="0" w:oddVBand="0" w:evenVBand="0" w:oddHBand="0" w:evenHBand="0" w:firstRowFirstColumn="0" w:firstRowLastColumn="0" w:lastRowFirstColumn="0" w:lastRowLastColumn="0"/>
            <w:tcW w:w="3969" w:type="dxa"/>
          </w:tcPr>
          <w:p w14:paraId="645AB231" w14:textId="77777777" w:rsidR="00532132" w:rsidRPr="005B58B3" w:rsidRDefault="00532132" w:rsidP="00532132">
            <w:pPr>
              <w:rPr>
                <w:rFonts w:ascii="Times New Roman" w:hAnsi="Times New Roman" w:cs="Times New Roman"/>
                <w:sz w:val="24"/>
                <w:szCs w:val="24"/>
                <w:lang w:val="en-US"/>
              </w:rPr>
            </w:pPr>
            <w:r w:rsidRPr="005B58B3">
              <w:rPr>
                <w:rFonts w:ascii="Times New Roman" w:hAnsi="Times New Roman" w:cs="Times New Roman"/>
                <w:sz w:val="24"/>
                <w:szCs w:val="24"/>
                <w:lang w:val="en-US"/>
              </w:rPr>
              <w:t>Patient age (years), Median (range)</w:t>
            </w:r>
          </w:p>
          <w:p w14:paraId="0672FF76" w14:textId="77777777" w:rsidR="00532132" w:rsidRPr="005B58B3" w:rsidRDefault="00532132" w:rsidP="00532132">
            <w:pPr>
              <w:rPr>
                <w:rFonts w:ascii="Times New Roman" w:hAnsi="Times New Roman" w:cs="Times New Roman"/>
                <w:sz w:val="24"/>
                <w:szCs w:val="24"/>
                <w:lang w:val="en-US"/>
              </w:rPr>
            </w:pPr>
            <w:r w:rsidRPr="005B58B3">
              <w:rPr>
                <w:rFonts w:ascii="Times New Roman" w:hAnsi="Times New Roman" w:cs="Times New Roman"/>
                <w:sz w:val="24"/>
                <w:szCs w:val="24"/>
                <w:lang w:val="en-US"/>
              </w:rPr>
              <w:t xml:space="preserve">   All patients</w:t>
            </w:r>
          </w:p>
          <w:p w14:paraId="04BEF670" w14:textId="77777777" w:rsidR="00532132" w:rsidRPr="005B58B3" w:rsidRDefault="00532132" w:rsidP="00532132">
            <w:pPr>
              <w:rPr>
                <w:rFonts w:ascii="Times New Roman" w:hAnsi="Times New Roman" w:cs="Times New Roman"/>
                <w:sz w:val="24"/>
                <w:szCs w:val="24"/>
                <w:lang w:val="en-US"/>
              </w:rPr>
            </w:pPr>
            <w:r w:rsidRPr="005B58B3">
              <w:rPr>
                <w:rFonts w:ascii="Times New Roman" w:hAnsi="Times New Roman" w:cs="Times New Roman"/>
                <w:sz w:val="24"/>
                <w:szCs w:val="24"/>
                <w:lang w:val="en-US"/>
              </w:rPr>
              <w:t xml:space="preserve">   Pediatric patients</w:t>
            </w:r>
          </w:p>
          <w:p w14:paraId="55BC3B95" w14:textId="2D00CC61" w:rsidR="00532132" w:rsidRPr="005B58B3" w:rsidRDefault="00532132" w:rsidP="00532132">
            <w:pPr>
              <w:rPr>
                <w:rFonts w:ascii="Times New Roman" w:hAnsi="Times New Roman" w:cs="Times New Roman"/>
                <w:sz w:val="24"/>
                <w:szCs w:val="24"/>
                <w:lang w:val="en-US"/>
              </w:rPr>
            </w:pPr>
            <w:r w:rsidRPr="005B58B3">
              <w:rPr>
                <w:rFonts w:ascii="Times New Roman" w:hAnsi="Times New Roman" w:cs="Times New Roman"/>
                <w:sz w:val="24"/>
                <w:szCs w:val="24"/>
                <w:lang w:val="en-US"/>
              </w:rPr>
              <w:t xml:space="preserve">   Adult patients</w:t>
            </w:r>
          </w:p>
        </w:tc>
        <w:tc>
          <w:tcPr>
            <w:tcW w:w="1417" w:type="dxa"/>
          </w:tcPr>
          <w:p w14:paraId="214ABDF8" w14:textId="77777777" w:rsidR="00532132" w:rsidRPr="005B58B3" w:rsidRDefault="00532132" w:rsidP="0079140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14:paraId="4B66A91C" w14:textId="77777777" w:rsidR="00532132" w:rsidRPr="0001651E" w:rsidRDefault="00532132" w:rsidP="0079140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 xml:space="preserve">26 (0.3-67) </w:t>
            </w:r>
          </w:p>
          <w:p w14:paraId="3C728518" w14:textId="77777777" w:rsidR="00532132" w:rsidRPr="0001651E" w:rsidRDefault="00532132" w:rsidP="0079140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8 (0.3-18)</w:t>
            </w:r>
          </w:p>
          <w:p w14:paraId="7D96210A" w14:textId="1068AF1B" w:rsidR="00532132" w:rsidRPr="0001651E" w:rsidRDefault="00532132" w:rsidP="0079140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38 (19-67)</w:t>
            </w:r>
          </w:p>
        </w:tc>
        <w:tc>
          <w:tcPr>
            <w:tcW w:w="1418" w:type="dxa"/>
          </w:tcPr>
          <w:p w14:paraId="2A10BF00" w14:textId="77777777" w:rsidR="00532132" w:rsidRPr="0001651E" w:rsidRDefault="00532132" w:rsidP="0079140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F7C3E09" w14:textId="77777777" w:rsidR="00532132" w:rsidRPr="0001651E" w:rsidRDefault="00532132" w:rsidP="0079140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22 (0.5-53)</w:t>
            </w:r>
          </w:p>
          <w:p w14:paraId="3C64D3B5" w14:textId="77777777" w:rsidR="00532132" w:rsidRPr="0001651E" w:rsidRDefault="00532132" w:rsidP="0079140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8 (0.5-18)</w:t>
            </w:r>
          </w:p>
          <w:p w14:paraId="23185711" w14:textId="031AAAF0" w:rsidR="00532132" w:rsidRPr="0001651E" w:rsidRDefault="00532132" w:rsidP="0079140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31 (19-53)</w:t>
            </w:r>
          </w:p>
        </w:tc>
        <w:tc>
          <w:tcPr>
            <w:tcW w:w="1417" w:type="dxa"/>
          </w:tcPr>
          <w:p w14:paraId="29A9F122" w14:textId="77777777" w:rsidR="00532132" w:rsidRPr="0001651E" w:rsidRDefault="00532132" w:rsidP="0079140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794718D" w14:textId="77777777" w:rsidR="00532132" w:rsidRPr="0001651E" w:rsidRDefault="00532132" w:rsidP="0079140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26 (0.3-58)</w:t>
            </w:r>
          </w:p>
          <w:p w14:paraId="14D52403" w14:textId="77777777" w:rsidR="00532132" w:rsidRPr="0001651E" w:rsidRDefault="00532132" w:rsidP="0079140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7 (0.3-17)</w:t>
            </w:r>
          </w:p>
          <w:p w14:paraId="229D67A0" w14:textId="4FD34F3F" w:rsidR="00532132" w:rsidRPr="0001651E" w:rsidRDefault="00532132" w:rsidP="0079140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37 (20-58)</w:t>
            </w:r>
          </w:p>
        </w:tc>
        <w:tc>
          <w:tcPr>
            <w:tcW w:w="1418" w:type="dxa"/>
          </w:tcPr>
          <w:p w14:paraId="6003BF8B" w14:textId="77777777" w:rsidR="00532132" w:rsidRPr="0001651E" w:rsidRDefault="00532132" w:rsidP="0079140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AD82079" w14:textId="77777777" w:rsidR="00532132" w:rsidRPr="0001651E" w:rsidRDefault="00532132" w:rsidP="0079140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33 (0.4-67)</w:t>
            </w:r>
          </w:p>
          <w:p w14:paraId="206287CB" w14:textId="77777777" w:rsidR="00532132" w:rsidRPr="0001651E" w:rsidRDefault="00532132" w:rsidP="0079140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8 (0.4-18)</w:t>
            </w:r>
          </w:p>
          <w:p w14:paraId="28FE6CFE" w14:textId="7F00354F" w:rsidR="00532132" w:rsidRPr="0001651E" w:rsidRDefault="00532132" w:rsidP="0079140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42 (19-67)</w:t>
            </w:r>
          </w:p>
        </w:tc>
        <w:tc>
          <w:tcPr>
            <w:tcW w:w="959" w:type="dxa"/>
          </w:tcPr>
          <w:p w14:paraId="0A5E0099" w14:textId="77777777" w:rsidR="00532132" w:rsidRPr="0001651E" w:rsidRDefault="00532132" w:rsidP="0079140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349B477" w14:textId="77777777" w:rsidR="00532132" w:rsidRPr="0001651E" w:rsidRDefault="00532132" w:rsidP="0079140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&lt;0.001</w:t>
            </w:r>
          </w:p>
          <w:p w14:paraId="4D9D0CA0" w14:textId="77777777" w:rsidR="00532132" w:rsidRPr="0001651E" w:rsidRDefault="00532132" w:rsidP="0079140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0.376</w:t>
            </w:r>
          </w:p>
          <w:p w14:paraId="227AD2DA" w14:textId="1CFA3656" w:rsidR="00532132" w:rsidRPr="0001651E" w:rsidRDefault="00532132" w:rsidP="0079140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&lt;0.001</w:t>
            </w:r>
          </w:p>
        </w:tc>
      </w:tr>
      <w:tr w:rsidR="00D65F86" w:rsidRPr="0001651E" w14:paraId="2EB91574" w14:textId="77777777" w:rsidTr="00016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24BB1866" w14:textId="77777777" w:rsidR="00D65F86" w:rsidRPr="0001651E" w:rsidRDefault="00D65F86" w:rsidP="00532132">
            <w:pPr>
              <w:rPr>
                <w:rFonts w:ascii="Times New Roman" w:hAnsi="Times New Roman" w:cs="Times New Roman"/>
                <w:b w:val="0"/>
                <w:sz w:val="24"/>
                <w:szCs w:val="24"/>
              </w:rPr>
            </w:pPr>
            <w:r w:rsidRPr="0001651E">
              <w:rPr>
                <w:rFonts w:ascii="Times New Roman" w:hAnsi="Times New Roman" w:cs="Times New Roman"/>
                <w:sz w:val="24"/>
                <w:szCs w:val="24"/>
              </w:rPr>
              <w:t>Patient sex</w:t>
            </w:r>
          </w:p>
          <w:p w14:paraId="38A3C95C" w14:textId="77777777" w:rsidR="00D65F86" w:rsidRPr="0001651E" w:rsidRDefault="00D65F86" w:rsidP="00532132">
            <w:pPr>
              <w:rPr>
                <w:rFonts w:ascii="Times New Roman" w:hAnsi="Times New Roman" w:cs="Times New Roman"/>
                <w:sz w:val="24"/>
                <w:szCs w:val="24"/>
              </w:rPr>
            </w:pPr>
            <w:r w:rsidRPr="0001651E">
              <w:rPr>
                <w:rFonts w:ascii="Times New Roman" w:hAnsi="Times New Roman" w:cs="Times New Roman"/>
                <w:sz w:val="24"/>
                <w:szCs w:val="24"/>
              </w:rPr>
              <w:t xml:space="preserve">   Female</w:t>
            </w:r>
          </w:p>
          <w:p w14:paraId="7E70B31F" w14:textId="77777777" w:rsidR="00D65F86" w:rsidRPr="0001651E" w:rsidRDefault="00D65F86" w:rsidP="00532132">
            <w:pPr>
              <w:rPr>
                <w:rFonts w:ascii="Times New Roman" w:hAnsi="Times New Roman" w:cs="Times New Roman"/>
                <w:sz w:val="24"/>
                <w:szCs w:val="24"/>
              </w:rPr>
            </w:pPr>
            <w:r w:rsidRPr="0001651E">
              <w:rPr>
                <w:rFonts w:ascii="Times New Roman" w:hAnsi="Times New Roman" w:cs="Times New Roman"/>
                <w:sz w:val="24"/>
                <w:szCs w:val="24"/>
              </w:rPr>
              <w:t xml:space="preserve">   Male</w:t>
            </w:r>
          </w:p>
        </w:tc>
        <w:tc>
          <w:tcPr>
            <w:tcW w:w="1417" w:type="dxa"/>
          </w:tcPr>
          <w:p w14:paraId="4494B142"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7611AB4"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292 (43%)</w:t>
            </w:r>
          </w:p>
          <w:p w14:paraId="034A2A2F"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390 (57%)</w:t>
            </w:r>
          </w:p>
        </w:tc>
        <w:tc>
          <w:tcPr>
            <w:tcW w:w="1418" w:type="dxa"/>
          </w:tcPr>
          <w:p w14:paraId="4F4108CB"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CFB24AD"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59 (36%)</w:t>
            </w:r>
          </w:p>
          <w:p w14:paraId="19BAAB8F"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105 (64%)</w:t>
            </w:r>
          </w:p>
        </w:tc>
        <w:tc>
          <w:tcPr>
            <w:tcW w:w="1417" w:type="dxa"/>
          </w:tcPr>
          <w:p w14:paraId="295454F5"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34C03D6"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98 (42%)</w:t>
            </w:r>
          </w:p>
          <w:p w14:paraId="363BF180"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134 (58%)</w:t>
            </w:r>
          </w:p>
        </w:tc>
        <w:tc>
          <w:tcPr>
            <w:tcW w:w="1418" w:type="dxa"/>
          </w:tcPr>
          <w:p w14:paraId="34AC7D4A"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84F45CA"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135 (47%)</w:t>
            </w:r>
          </w:p>
          <w:p w14:paraId="74354247"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151 (53%)</w:t>
            </w:r>
          </w:p>
        </w:tc>
        <w:tc>
          <w:tcPr>
            <w:tcW w:w="959" w:type="dxa"/>
          </w:tcPr>
          <w:p w14:paraId="3A3C8D36"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0022E5A" w14:textId="44ED3802" w:rsidR="00D65F86" w:rsidRPr="0001651E" w:rsidRDefault="009E5808"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0.067</w:t>
            </w:r>
          </w:p>
        </w:tc>
      </w:tr>
      <w:tr w:rsidR="00D65F86" w:rsidRPr="0001651E" w14:paraId="574E3089" w14:textId="77777777" w:rsidTr="0001651E">
        <w:tc>
          <w:tcPr>
            <w:cnfStyle w:val="001000000000" w:firstRow="0" w:lastRow="0" w:firstColumn="1" w:lastColumn="0" w:oddVBand="0" w:evenVBand="0" w:oddHBand="0" w:evenHBand="0" w:firstRowFirstColumn="0" w:firstRowLastColumn="0" w:lastRowFirstColumn="0" w:lastRowLastColumn="0"/>
            <w:tcW w:w="3969" w:type="dxa"/>
          </w:tcPr>
          <w:p w14:paraId="0D78C60E" w14:textId="77777777" w:rsidR="00D65F86" w:rsidRPr="0001651E" w:rsidRDefault="00D65F86" w:rsidP="00532132">
            <w:pPr>
              <w:rPr>
                <w:rFonts w:ascii="Times New Roman" w:hAnsi="Times New Roman" w:cs="Times New Roman"/>
                <w:b w:val="0"/>
                <w:sz w:val="24"/>
                <w:szCs w:val="24"/>
                <w:lang w:val="en-US"/>
              </w:rPr>
            </w:pPr>
            <w:r w:rsidRPr="0001651E">
              <w:rPr>
                <w:rFonts w:ascii="Times New Roman" w:hAnsi="Times New Roman" w:cs="Times New Roman"/>
                <w:sz w:val="24"/>
                <w:szCs w:val="24"/>
                <w:lang w:val="en-US"/>
              </w:rPr>
              <w:t>Diagnosis</w:t>
            </w:r>
          </w:p>
          <w:p w14:paraId="6D52C26D" w14:textId="77777777" w:rsidR="00D65F86" w:rsidRPr="0001651E" w:rsidRDefault="00D65F86" w:rsidP="00532132">
            <w:pPr>
              <w:rPr>
                <w:rFonts w:ascii="Times New Roman" w:hAnsi="Times New Roman" w:cs="Times New Roman"/>
                <w:sz w:val="24"/>
                <w:szCs w:val="24"/>
                <w:lang w:val="en-US"/>
              </w:rPr>
            </w:pPr>
            <w:r w:rsidRPr="0001651E">
              <w:rPr>
                <w:rFonts w:ascii="Times New Roman" w:hAnsi="Times New Roman" w:cs="Times New Roman"/>
                <w:sz w:val="24"/>
                <w:szCs w:val="24"/>
                <w:lang w:val="en-US"/>
              </w:rPr>
              <w:t xml:space="preserve">   Myeloid malignancies</w:t>
            </w:r>
          </w:p>
          <w:p w14:paraId="1AF9CA68" w14:textId="77777777" w:rsidR="00D65F86" w:rsidRPr="0001651E" w:rsidRDefault="00D65F86" w:rsidP="00532132">
            <w:pPr>
              <w:rPr>
                <w:rFonts w:ascii="Times New Roman" w:hAnsi="Times New Roman" w:cs="Times New Roman"/>
                <w:i/>
                <w:sz w:val="24"/>
                <w:szCs w:val="24"/>
                <w:lang w:val="en-US"/>
              </w:rPr>
            </w:pPr>
            <w:r w:rsidRPr="0001651E">
              <w:rPr>
                <w:rFonts w:ascii="Times New Roman" w:hAnsi="Times New Roman" w:cs="Times New Roman"/>
                <w:sz w:val="24"/>
                <w:szCs w:val="24"/>
                <w:lang w:val="en-US"/>
              </w:rPr>
              <w:t xml:space="preserve">           </w:t>
            </w:r>
            <w:r w:rsidRPr="0001651E">
              <w:rPr>
                <w:rFonts w:ascii="Times New Roman" w:hAnsi="Times New Roman" w:cs="Times New Roman"/>
                <w:i/>
                <w:sz w:val="24"/>
                <w:szCs w:val="24"/>
                <w:lang w:val="en-US"/>
              </w:rPr>
              <w:t>AML</w:t>
            </w:r>
          </w:p>
          <w:p w14:paraId="7BD6C687" w14:textId="77777777" w:rsidR="00D65F86" w:rsidRPr="0001651E" w:rsidRDefault="00D65F86" w:rsidP="00532132">
            <w:pPr>
              <w:rPr>
                <w:rFonts w:ascii="Times New Roman" w:hAnsi="Times New Roman" w:cs="Times New Roman"/>
                <w:i/>
                <w:sz w:val="24"/>
                <w:szCs w:val="24"/>
                <w:lang w:val="en-US"/>
              </w:rPr>
            </w:pPr>
            <w:r w:rsidRPr="0001651E">
              <w:rPr>
                <w:rFonts w:ascii="Times New Roman" w:hAnsi="Times New Roman" w:cs="Times New Roman"/>
                <w:i/>
                <w:sz w:val="24"/>
                <w:szCs w:val="24"/>
                <w:lang w:val="en-US"/>
              </w:rPr>
              <w:t xml:space="preserve">           CML</w:t>
            </w:r>
          </w:p>
          <w:p w14:paraId="798B2592" w14:textId="77777777" w:rsidR="00D65F86" w:rsidRPr="0001651E" w:rsidRDefault="00D65F86" w:rsidP="00532132">
            <w:pPr>
              <w:rPr>
                <w:rFonts w:ascii="Times New Roman" w:hAnsi="Times New Roman" w:cs="Times New Roman"/>
                <w:i/>
                <w:sz w:val="24"/>
                <w:szCs w:val="24"/>
                <w:lang w:val="en-US"/>
              </w:rPr>
            </w:pPr>
            <w:r w:rsidRPr="0001651E">
              <w:rPr>
                <w:rFonts w:ascii="Times New Roman" w:hAnsi="Times New Roman" w:cs="Times New Roman"/>
                <w:i/>
                <w:sz w:val="24"/>
                <w:szCs w:val="24"/>
                <w:lang w:val="en-US"/>
              </w:rPr>
              <w:t xml:space="preserve">           MDS/CMML</w:t>
            </w:r>
          </w:p>
          <w:p w14:paraId="6A2D4E0B" w14:textId="77777777" w:rsidR="00D65F86" w:rsidRPr="0001651E" w:rsidRDefault="00D65F86" w:rsidP="00532132">
            <w:pPr>
              <w:rPr>
                <w:rFonts w:ascii="Times New Roman" w:hAnsi="Times New Roman" w:cs="Times New Roman"/>
                <w:i/>
                <w:sz w:val="24"/>
                <w:szCs w:val="24"/>
                <w:lang w:val="en-US"/>
              </w:rPr>
            </w:pPr>
            <w:r w:rsidRPr="0001651E">
              <w:rPr>
                <w:rFonts w:ascii="Times New Roman" w:hAnsi="Times New Roman" w:cs="Times New Roman"/>
                <w:i/>
                <w:sz w:val="24"/>
                <w:szCs w:val="24"/>
                <w:lang w:val="en-US"/>
              </w:rPr>
              <w:t xml:space="preserve">           MPN</w:t>
            </w:r>
          </w:p>
          <w:p w14:paraId="6717ED83" w14:textId="03A05AE9" w:rsidR="00D65F86" w:rsidRPr="0001651E" w:rsidRDefault="00D65F86" w:rsidP="00532132">
            <w:pPr>
              <w:rPr>
                <w:rFonts w:ascii="Times New Roman" w:hAnsi="Times New Roman" w:cs="Times New Roman"/>
                <w:i/>
                <w:sz w:val="24"/>
                <w:szCs w:val="24"/>
                <w:vertAlign w:val="superscript"/>
                <w:lang w:val="en-US"/>
              </w:rPr>
            </w:pPr>
            <w:r w:rsidRPr="0001651E">
              <w:rPr>
                <w:rFonts w:ascii="Times New Roman" w:hAnsi="Times New Roman" w:cs="Times New Roman"/>
                <w:i/>
                <w:sz w:val="24"/>
                <w:szCs w:val="24"/>
                <w:lang w:val="en-US"/>
              </w:rPr>
              <w:t xml:space="preserve">           Other</w:t>
            </w:r>
            <w:r w:rsidR="009E5808" w:rsidRPr="0001651E">
              <w:rPr>
                <w:rFonts w:ascii="Times New Roman" w:hAnsi="Times New Roman" w:cs="Times New Roman"/>
                <w:i/>
                <w:sz w:val="24"/>
                <w:szCs w:val="24"/>
                <w:vertAlign w:val="superscript"/>
                <w:lang w:val="en-US"/>
              </w:rPr>
              <w:t>2</w:t>
            </w:r>
          </w:p>
          <w:p w14:paraId="1BFF9B8D" w14:textId="77777777" w:rsidR="00D65F86" w:rsidRPr="0001651E" w:rsidRDefault="00D65F86" w:rsidP="00532132">
            <w:pPr>
              <w:rPr>
                <w:rFonts w:ascii="Times New Roman" w:hAnsi="Times New Roman" w:cs="Times New Roman"/>
                <w:sz w:val="24"/>
                <w:szCs w:val="24"/>
                <w:lang w:val="en-US"/>
              </w:rPr>
            </w:pPr>
            <w:r w:rsidRPr="0001651E">
              <w:rPr>
                <w:rFonts w:ascii="Times New Roman" w:hAnsi="Times New Roman" w:cs="Times New Roman"/>
                <w:sz w:val="24"/>
                <w:szCs w:val="24"/>
                <w:lang w:val="en-US"/>
              </w:rPr>
              <w:t xml:space="preserve">   Lymphoid malignancies</w:t>
            </w:r>
          </w:p>
          <w:p w14:paraId="37FF2559" w14:textId="77777777" w:rsidR="00D65F86" w:rsidRPr="0001651E" w:rsidRDefault="00D65F86" w:rsidP="00532132">
            <w:pPr>
              <w:rPr>
                <w:rFonts w:ascii="Times New Roman" w:hAnsi="Times New Roman" w:cs="Times New Roman"/>
                <w:i/>
                <w:sz w:val="24"/>
                <w:szCs w:val="24"/>
                <w:lang w:val="en-US"/>
              </w:rPr>
            </w:pPr>
            <w:r w:rsidRPr="0001651E">
              <w:rPr>
                <w:rFonts w:ascii="Times New Roman" w:hAnsi="Times New Roman" w:cs="Times New Roman"/>
                <w:sz w:val="24"/>
                <w:szCs w:val="24"/>
                <w:lang w:val="en-US"/>
              </w:rPr>
              <w:t xml:space="preserve">           </w:t>
            </w:r>
            <w:r w:rsidRPr="0001651E">
              <w:rPr>
                <w:rFonts w:ascii="Times New Roman" w:hAnsi="Times New Roman" w:cs="Times New Roman"/>
                <w:i/>
                <w:sz w:val="24"/>
                <w:szCs w:val="24"/>
                <w:lang w:val="en-US"/>
              </w:rPr>
              <w:t>ALL</w:t>
            </w:r>
          </w:p>
          <w:p w14:paraId="5F9E9931" w14:textId="4283D401" w:rsidR="009E5808" w:rsidRPr="0001651E" w:rsidRDefault="009E5808" w:rsidP="00532132">
            <w:pPr>
              <w:rPr>
                <w:rFonts w:ascii="Times New Roman" w:hAnsi="Times New Roman" w:cs="Times New Roman"/>
                <w:i/>
                <w:sz w:val="24"/>
                <w:szCs w:val="24"/>
                <w:lang w:val="en-US"/>
              </w:rPr>
            </w:pPr>
            <w:r w:rsidRPr="0001651E">
              <w:rPr>
                <w:rFonts w:ascii="Times New Roman" w:hAnsi="Times New Roman" w:cs="Times New Roman"/>
                <w:i/>
                <w:sz w:val="24"/>
                <w:szCs w:val="24"/>
                <w:lang w:val="en-US"/>
              </w:rPr>
              <w:t xml:space="preserve">           Lymphoma</w:t>
            </w:r>
          </w:p>
          <w:p w14:paraId="524898DA" w14:textId="77777777" w:rsidR="00D65F86" w:rsidRPr="0001651E" w:rsidRDefault="00D65F86" w:rsidP="00532132">
            <w:pPr>
              <w:rPr>
                <w:rFonts w:ascii="Times New Roman" w:hAnsi="Times New Roman" w:cs="Times New Roman"/>
                <w:i/>
                <w:sz w:val="24"/>
                <w:szCs w:val="24"/>
                <w:lang w:val="en-US"/>
              </w:rPr>
            </w:pPr>
            <w:r w:rsidRPr="0001651E">
              <w:rPr>
                <w:rFonts w:ascii="Times New Roman" w:hAnsi="Times New Roman" w:cs="Times New Roman"/>
                <w:i/>
                <w:sz w:val="24"/>
                <w:szCs w:val="24"/>
                <w:lang w:val="en-US"/>
              </w:rPr>
              <w:t xml:space="preserve">           CLL</w:t>
            </w:r>
          </w:p>
          <w:p w14:paraId="5B24AA8E" w14:textId="77777777" w:rsidR="00D65F86" w:rsidRPr="0001651E" w:rsidRDefault="00D65F86" w:rsidP="00532132">
            <w:pPr>
              <w:rPr>
                <w:rFonts w:ascii="Times New Roman" w:hAnsi="Times New Roman" w:cs="Times New Roman"/>
                <w:i/>
                <w:sz w:val="24"/>
                <w:szCs w:val="24"/>
                <w:lang w:val="en-US"/>
              </w:rPr>
            </w:pPr>
            <w:r w:rsidRPr="0001651E">
              <w:rPr>
                <w:rFonts w:ascii="Times New Roman" w:hAnsi="Times New Roman" w:cs="Times New Roman"/>
                <w:i/>
                <w:sz w:val="24"/>
                <w:szCs w:val="24"/>
                <w:lang w:val="en-US"/>
              </w:rPr>
              <w:t xml:space="preserve">           MM</w:t>
            </w:r>
          </w:p>
          <w:p w14:paraId="28AFFAF4" w14:textId="715B20E8" w:rsidR="00D65F86" w:rsidRPr="0001651E" w:rsidRDefault="00D65F86" w:rsidP="00532132">
            <w:pPr>
              <w:rPr>
                <w:rFonts w:ascii="Times New Roman" w:hAnsi="Times New Roman" w:cs="Times New Roman"/>
                <w:i/>
                <w:sz w:val="24"/>
                <w:szCs w:val="24"/>
                <w:vertAlign w:val="superscript"/>
                <w:lang w:val="en-US"/>
              </w:rPr>
            </w:pPr>
            <w:r w:rsidRPr="0001651E">
              <w:rPr>
                <w:rFonts w:ascii="Times New Roman" w:hAnsi="Times New Roman" w:cs="Times New Roman"/>
                <w:i/>
                <w:sz w:val="24"/>
                <w:szCs w:val="24"/>
                <w:lang w:val="en-US"/>
              </w:rPr>
              <w:t xml:space="preserve">           Other</w:t>
            </w:r>
            <w:r w:rsidR="00952CFE" w:rsidRPr="0001651E">
              <w:rPr>
                <w:rFonts w:ascii="Times New Roman" w:hAnsi="Times New Roman" w:cs="Times New Roman"/>
                <w:i/>
                <w:sz w:val="24"/>
                <w:szCs w:val="24"/>
                <w:vertAlign w:val="superscript"/>
                <w:lang w:val="en-US"/>
              </w:rPr>
              <w:t>3</w:t>
            </w:r>
          </w:p>
          <w:p w14:paraId="023B35AA" w14:textId="77777777" w:rsidR="00D65F86" w:rsidRPr="0001651E" w:rsidRDefault="00D65F86" w:rsidP="00532132">
            <w:pPr>
              <w:rPr>
                <w:rFonts w:ascii="Times New Roman" w:hAnsi="Times New Roman" w:cs="Times New Roman"/>
                <w:sz w:val="24"/>
                <w:szCs w:val="24"/>
                <w:lang w:val="en-US"/>
              </w:rPr>
            </w:pPr>
            <w:r w:rsidRPr="0001651E">
              <w:rPr>
                <w:rFonts w:ascii="Times New Roman" w:hAnsi="Times New Roman" w:cs="Times New Roman"/>
                <w:sz w:val="24"/>
                <w:szCs w:val="24"/>
                <w:lang w:val="en-US"/>
              </w:rPr>
              <w:t xml:space="preserve">   Bone marrow aplasia</w:t>
            </w:r>
          </w:p>
          <w:p w14:paraId="34867820" w14:textId="77777777" w:rsidR="00D65F86" w:rsidRPr="0001651E" w:rsidRDefault="00D65F86" w:rsidP="00532132">
            <w:pPr>
              <w:rPr>
                <w:rFonts w:ascii="Times New Roman" w:hAnsi="Times New Roman" w:cs="Times New Roman"/>
                <w:sz w:val="24"/>
                <w:szCs w:val="24"/>
                <w:lang w:val="en-US"/>
              </w:rPr>
            </w:pPr>
            <w:r w:rsidRPr="0001651E">
              <w:rPr>
                <w:rFonts w:ascii="Times New Roman" w:hAnsi="Times New Roman" w:cs="Times New Roman"/>
                <w:sz w:val="24"/>
                <w:szCs w:val="24"/>
                <w:lang w:val="en-US"/>
              </w:rPr>
              <w:t xml:space="preserve">   Immunodeficiency disorders</w:t>
            </w:r>
          </w:p>
          <w:p w14:paraId="25BB3467" w14:textId="77777777" w:rsidR="00D65F86" w:rsidRPr="0001651E" w:rsidRDefault="00D65F86" w:rsidP="00532132">
            <w:pPr>
              <w:rPr>
                <w:rFonts w:ascii="Times New Roman" w:hAnsi="Times New Roman" w:cs="Times New Roman"/>
                <w:sz w:val="24"/>
                <w:szCs w:val="24"/>
                <w:lang w:val="en-US"/>
              </w:rPr>
            </w:pPr>
            <w:r w:rsidRPr="0001651E">
              <w:rPr>
                <w:rFonts w:ascii="Times New Roman" w:hAnsi="Times New Roman" w:cs="Times New Roman"/>
                <w:sz w:val="24"/>
                <w:szCs w:val="24"/>
                <w:lang w:val="en-US"/>
              </w:rPr>
              <w:t xml:space="preserve">   Hemoglobinopathies</w:t>
            </w:r>
          </w:p>
          <w:p w14:paraId="19D6168E" w14:textId="77777777" w:rsidR="00D65F86" w:rsidRPr="0001651E" w:rsidRDefault="00D65F86" w:rsidP="00532132">
            <w:pPr>
              <w:rPr>
                <w:rFonts w:ascii="Times New Roman" w:hAnsi="Times New Roman" w:cs="Times New Roman"/>
                <w:sz w:val="24"/>
                <w:szCs w:val="24"/>
                <w:lang w:val="en-US"/>
              </w:rPr>
            </w:pPr>
            <w:r w:rsidRPr="0001651E">
              <w:rPr>
                <w:rFonts w:ascii="Times New Roman" w:hAnsi="Times New Roman" w:cs="Times New Roman"/>
                <w:sz w:val="24"/>
                <w:szCs w:val="24"/>
                <w:lang w:val="en-US"/>
              </w:rPr>
              <w:lastRenderedPageBreak/>
              <w:t xml:space="preserve">   Metabolic disorders</w:t>
            </w:r>
          </w:p>
          <w:p w14:paraId="452C15D6" w14:textId="35A761AE" w:rsidR="00D65F86" w:rsidRPr="0001651E" w:rsidRDefault="00D65F86" w:rsidP="00532132">
            <w:pPr>
              <w:rPr>
                <w:rFonts w:ascii="Times New Roman" w:hAnsi="Times New Roman" w:cs="Times New Roman"/>
                <w:sz w:val="24"/>
                <w:szCs w:val="24"/>
                <w:vertAlign w:val="superscript"/>
                <w:lang w:val="en-US"/>
              </w:rPr>
            </w:pPr>
            <w:r w:rsidRPr="0001651E">
              <w:rPr>
                <w:rFonts w:ascii="Times New Roman" w:hAnsi="Times New Roman" w:cs="Times New Roman"/>
                <w:sz w:val="24"/>
                <w:szCs w:val="24"/>
                <w:lang w:val="en-US"/>
              </w:rPr>
              <w:t xml:space="preserve">   Other</w:t>
            </w:r>
          </w:p>
        </w:tc>
        <w:tc>
          <w:tcPr>
            <w:tcW w:w="1417" w:type="dxa"/>
          </w:tcPr>
          <w:p w14:paraId="474E7AD3"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14:paraId="28CAC074" w14:textId="54274455"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339 (50%</w:t>
            </w:r>
            <w:r w:rsidR="000B6992" w:rsidRPr="0001651E">
              <w:rPr>
                <w:rFonts w:ascii="Times New Roman" w:hAnsi="Times New Roman" w:cs="Times New Roman"/>
                <w:sz w:val="24"/>
                <w:szCs w:val="24"/>
              </w:rPr>
              <w:t>)</w:t>
            </w:r>
          </w:p>
          <w:p w14:paraId="0545E6C7" w14:textId="73DE1DF8" w:rsidR="00D65F86" w:rsidRPr="0001651E" w:rsidRDefault="000B6992"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651E">
              <w:rPr>
                <w:rFonts w:ascii="Times New Roman" w:hAnsi="Times New Roman" w:cs="Times New Roman"/>
                <w:i/>
                <w:sz w:val="24"/>
                <w:szCs w:val="24"/>
              </w:rPr>
              <w:t>187 (55%)</w:t>
            </w:r>
          </w:p>
          <w:p w14:paraId="3D5AFB59" w14:textId="733E4F1C" w:rsidR="000B6992" w:rsidRPr="0001651E" w:rsidRDefault="000B6992"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651E">
              <w:rPr>
                <w:rFonts w:ascii="Times New Roman" w:hAnsi="Times New Roman" w:cs="Times New Roman"/>
                <w:i/>
                <w:sz w:val="24"/>
                <w:szCs w:val="24"/>
              </w:rPr>
              <w:t>96 (28%)</w:t>
            </w:r>
          </w:p>
          <w:p w14:paraId="243DA4E4" w14:textId="6B3083C1" w:rsidR="00D65F86" w:rsidRPr="0001651E" w:rsidRDefault="000B6992"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651E">
              <w:rPr>
                <w:rFonts w:ascii="Times New Roman" w:hAnsi="Times New Roman" w:cs="Times New Roman"/>
                <w:i/>
                <w:sz w:val="24"/>
                <w:szCs w:val="24"/>
              </w:rPr>
              <w:t>36 (11%)</w:t>
            </w:r>
          </w:p>
          <w:p w14:paraId="6BEB961E" w14:textId="3F3B795A" w:rsidR="00D65F86" w:rsidRPr="0001651E" w:rsidRDefault="000B6992"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651E">
              <w:rPr>
                <w:rFonts w:ascii="Times New Roman" w:hAnsi="Times New Roman" w:cs="Times New Roman"/>
                <w:i/>
                <w:sz w:val="24"/>
                <w:szCs w:val="24"/>
              </w:rPr>
              <w:t>2 (1%)</w:t>
            </w:r>
          </w:p>
          <w:p w14:paraId="47EAEE31" w14:textId="67AB3D72" w:rsidR="00D65F86" w:rsidRPr="0001651E" w:rsidRDefault="000B6992"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651E">
              <w:rPr>
                <w:rFonts w:ascii="Times New Roman" w:hAnsi="Times New Roman" w:cs="Times New Roman"/>
                <w:i/>
                <w:sz w:val="24"/>
                <w:szCs w:val="24"/>
              </w:rPr>
              <w:t>18 (5%)</w:t>
            </w:r>
          </w:p>
          <w:p w14:paraId="1AC099DB"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242 (35%)</w:t>
            </w:r>
          </w:p>
          <w:p w14:paraId="69DB280B" w14:textId="25567ACA" w:rsidR="00D65F86" w:rsidRPr="0001651E" w:rsidRDefault="009E5808"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651E">
              <w:rPr>
                <w:rFonts w:ascii="Times New Roman" w:hAnsi="Times New Roman" w:cs="Times New Roman"/>
                <w:i/>
                <w:sz w:val="24"/>
                <w:szCs w:val="24"/>
              </w:rPr>
              <w:t>152 (63%)</w:t>
            </w:r>
          </w:p>
          <w:p w14:paraId="179C24C3" w14:textId="121DC5D2" w:rsidR="00D65F86" w:rsidRPr="0001651E" w:rsidRDefault="009E5808"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651E">
              <w:rPr>
                <w:rFonts w:ascii="Times New Roman" w:hAnsi="Times New Roman" w:cs="Times New Roman"/>
                <w:i/>
                <w:sz w:val="24"/>
                <w:szCs w:val="24"/>
              </w:rPr>
              <w:t>66 (27%)</w:t>
            </w:r>
          </w:p>
          <w:p w14:paraId="5C3AFC7E" w14:textId="1B3ABA5F" w:rsidR="00D65F86" w:rsidRPr="0001651E" w:rsidRDefault="009E5808"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651E">
              <w:rPr>
                <w:rFonts w:ascii="Times New Roman" w:hAnsi="Times New Roman" w:cs="Times New Roman"/>
                <w:i/>
                <w:sz w:val="24"/>
                <w:szCs w:val="24"/>
              </w:rPr>
              <w:t>11 (5%)</w:t>
            </w:r>
          </w:p>
          <w:p w14:paraId="5DF55BB1" w14:textId="370C8104" w:rsidR="00D65F86" w:rsidRPr="0001651E" w:rsidRDefault="009E5808"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651E">
              <w:rPr>
                <w:rFonts w:ascii="Times New Roman" w:hAnsi="Times New Roman" w:cs="Times New Roman"/>
                <w:i/>
                <w:sz w:val="24"/>
                <w:szCs w:val="24"/>
              </w:rPr>
              <w:t>8 (3%)</w:t>
            </w:r>
          </w:p>
          <w:p w14:paraId="28CB810D" w14:textId="75BE3A43" w:rsidR="00D65F86" w:rsidRPr="0001651E" w:rsidRDefault="009E5808"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651E">
              <w:rPr>
                <w:rFonts w:ascii="Times New Roman" w:hAnsi="Times New Roman" w:cs="Times New Roman"/>
                <w:i/>
                <w:sz w:val="24"/>
                <w:szCs w:val="24"/>
              </w:rPr>
              <w:t>5 (2%)</w:t>
            </w:r>
          </w:p>
          <w:p w14:paraId="22228AD8"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63 (9%)</w:t>
            </w:r>
          </w:p>
          <w:p w14:paraId="22354003"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19 (3%)</w:t>
            </w:r>
          </w:p>
          <w:p w14:paraId="6FE567C3"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11 (2%)</w:t>
            </w:r>
          </w:p>
          <w:p w14:paraId="4ECA9847"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lastRenderedPageBreak/>
              <w:t>7 (1%)</w:t>
            </w:r>
          </w:p>
          <w:p w14:paraId="4D40C01F" w14:textId="1BFEB1EE" w:rsidR="00D65F86" w:rsidRPr="0001651E" w:rsidRDefault="00E31E2C"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 (&lt;</w:t>
            </w:r>
            <w:r w:rsidR="00D65F86" w:rsidRPr="0001651E">
              <w:rPr>
                <w:rFonts w:ascii="Times New Roman" w:hAnsi="Times New Roman" w:cs="Times New Roman"/>
                <w:sz w:val="24"/>
                <w:szCs w:val="24"/>
              </w:rPr>
              <w:t>1%)</w:t>
            </w:r>
          </w:p>
        </w:tc>
        <w:tc>
          <w:tcPr>
            <w:tcW w:w="1418" w:type="dxa"/>
          </w:tcPr>
          <w:p w14:paraId="4817476B"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01BABC3"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92 (56%)</w:t>
            </w:r>
          </w:p>
          <w:p w14:paraId="00993428" w14:textId="65166771" w:rsidR="00D65F86" w:rsidRPr="0001651E" w:rsidRDefault="009E5808"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651E">
              <w:rPr>
                <w:rFonts w:ascii="Times New Roman" w:hAnsi="Times New Roman" w:cs="Times New Roman"/>
                <w:i/>
                <w:sz w:val="24"/>
                <w:szCs w:val="24"/>
              </w:rPr>
              <w:t>39 (42%)</w:t>
            </w:r>
          </w:p>
          <w:p w14:paraId="10728D9E" w14:textId="278B3577" w:rsidR="00D65F86" w:rsidRPr="0001651E" w:rsidRDefault="009E5808"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651E">
              <w:rPr>
                <w:rFonts w:ascii="Times New Roman" w:hAnsi="Times New Roman" w:cs="Times New Roman"/>
                <w:i/>
                <w:sz w:val="24"/>
                <w:szCs w:val="24"/>
              </w:rPr>
              <w:t>46 (50%)</w:t>
            </w:r>
          </w:p>
          <w:p w14:paraId="15AFAAE3" w14:textId="228EE0C9" w:rsidR="00D65F86" w:rsidRPr="0001651E" w:rsidRDefault="009E5808"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651E">
              <w:rPr>
                <w:rFonts w:ascii="Times New Roman" w:hAnsi="Times New Roman" w:cs="Times New Roman"/>
                <w:i/>
                <w:sz w:val="24"/>
                <w:szCs w:val="24"/>
              </w:rPr>
              <w:t>5 (5%)</w:t>
            </w:r>
          </w:p>
          <w:p w14:paraId="0F3B8632" w14:textId="5E524E98" w:rsidR="00D65F86" w:rsidRPr="0001651E" w:rsidRDefault="009E5808"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651E">
              <w:rPr>
                <w:rFonts w:ascii="Times New Roman" w:hAnsi="Times New Roman" w:cs="Times New Roman"/>
                <w:i/>
                <w:sz w:val="24"/>
                <w:szCs w:val="24"/>
              </w:rPr>
              <w:t>1 (1%)</w:t>
            </w:r>
          </w:p>
          <w:p w14:paraId="7997DF13" w14:textId="169DF350" w:rsidR="00D65F86" w:rsidRPr="0001651E" w:rsidRDefault="009E5808"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651E">
              <w:rPr>
                <w:rFonts w:ascii="Times New Roman" w:hAnsi="Times New Roman" w:cs="Times New Roman"/>
                <w:i/>
                <w:sz w:val="24"/>
                <w:szCs w:val="24"/>
              </w:rPr>
              <w:t>1 (1%)</w:t>
            </w:r>
          </w:p>
          <w:p w14:paraId="5255D938"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47 (29%)</w:t>
            </w:r>
          </w:p>
          <w:p w14:paraId="427B1E92" w14:textId="4097B953" w:rsidR="00D65F86" w:rsidRPr="0001651E" w:rsidRDefault="006655C9"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651E">
              <w:rPr>
                <w:rFonts w:ascii="Times New Roman" w:hAnsi="Times New Roman" w:cs="Times New Roman"/>
                <w:i/>
                <w:sz w:val="24"/>
                <w:szCs w:val="24"/>
              </w:rPr>
              <w:t>39 (83%)</w:t>
            </w:r>
          </w:p>
          <w:p w14:paraId="2739DAE0" w14:textId="77777777" w:rsidR="006655C9" w:rsidRPr="0001651E" w:rsidRDefault="006655C9"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651E">
              <w:rPr>
                <w:rFonts w:ascii="Times New Roman" w:hAnsi="Times New Roman" w:cs="Times New Roman"/>
                <w:i/>
                <w:sz w:val="24"/>
                <w:szCs w:val="24"/>
              </w:rPr>
              <w:t>3 (6%)</w:t>
            </w:r>
          </w:p>
          <w:p w14:paraId="1A802F29" w14:textId="04F8F243" w:rsidR="00D65F86" w:rsidRPr="0001651E" w:rsidRDefault="006655C9"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651E">
              <w:rPr>
                <w:rFonts w:ascii="Times New Roman" w:hAnsi="Times New Roman" w:cs="Times New Roman"/>
                <w:i/>
                <w:sz w:val="24"/>
                <w:szCs w:val="24"/>
              </w:rPr>
              <w:t>2 (4%)</w:t>
            </w:r>
          </w:p>
          <w:p w14:paraId="429DF257" w14:textId="5D72B1B4" w:rsidR="00D65F86" w:rsidRPr="0001651E" w:rsidRDefault="006655C9"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651E">
              <w:rPr>
                <w:rFonts w:ascii="Times New Roman" w:hAnsi="Times New Roman" w:cs="Times New Roman"/>
                <w:i/>
                <w:sz w:val="24"/>
                <w:szCs w:val="24"/>
              </w:rPr>
              <w:t>1 (2%)</w:t>
            </w:r>
          </w:p>
          <w:p w14:paraId="4066C128" w14:textId="14183D88" w:rsidR="00D65F86" w:rsidRPr="0001651E" w:rsidRDefault="006655C9"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651E">
              <w:rPr>
                <w:rFonts w:ascii="Times New Roman" w:hAnsi="Times New Roman" w:cs="Times New Roman"/>
                <w:i/>
                <w:sz w:val="24"/>
                <w:szCs w:val="24"/>
              </w:rPr>
              <w:t>2 (4%)</w:t>
            </w:r>
          </w:p>
          <w:p w14:paraId="410CF54C"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21 (13%)</w:t>
            </w:r>
          </w:p>
          <w:p w14:paraId="292B2F51" w14:textId="2FA79B44" w:rsidR="00D65F86" w:rsidRPr="0001651E" w:rsidRDefault="00E31E2C"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 (1</w:t>
            </w:r>
            <w:r w:rsidR="00D65F86" w:rsidRPr="0001651E">
              <w:rPr>
                <w:rFonts w:ascii="Times New Roman" w:hAnsi="Times New Roman" w:cs="Times New Roman"/>
                <w:sz w:val="24"/>
                <w:szCs w:val="24"/>
              </w:rPr>
              <w:t>%)</w:t>
            </w:r>
          </w:p>
          <w:p w14:paraId="78C2ED92" w14:textId="2704A936" w:rsidR="00D65F86" w:rsidRPr="0001651E" w:rsidRDefault="00E31E2C"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 (1</w:t>
            </w:r>
            <w:r w:rsidR="00D65F86" w:rsidRPr="0001651E">
              <w:rPr>
                <w:rFonts w:ascii="Times New Roman" w:hAnsi="Times New Roman" w:cs="Times New Roman"/>
                <w:sz w:val="24"/>
                <w:szCs w:val="24"/>
              </w:rPr>
              <w:t>%)</w:t>
            </w:r>
          </w:p>
          <w:p w14:paraId="6920EE40" w14:textId="33810B22" w:rsidR="00D65F86" w:rsidRPr="0001651E" w:rsidRDefault="00E31E2C"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lastRenderedPageBreak/>
              <w:t>2 (1</w:t>
            </w:r>
            <w:r w:rsidR="00D65F86" w:rsidRPr="0001651E">
              <w:rPr>
                <w:rFonts w:ascii="Times New Roman" w:hAnsi="Times New Roman" w:cs="Times New Roman"/>
                <w:sz w:val="24"/>
                <w:szCs w:val="24"/>
              </w:rPr>
              <w:t>%)</w:t>
            </w:r>
          </w:p>
          <w:p w14:paraId="2F6102F7"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0</w:t>
            </w:r>
          </w:p>
        </w:tc>
        <w:tc>
          <w:tcPr>
            <w:tcW w:w="1417" w:type="dxa"/>
          </w:tcPr>
          <w:p w14:paraId="37BB7EEB"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F00D843"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111 (48%)</w:t>
            </w:r>
          </w:p>
          <w:p w14:paraId="4E75427A" w14:textId="448C1296" w:rsidR="00D65F86" w:rsidRPr="0001651E" w:rsidRDefault="009E5808"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651E">
              <w:rPr>
                <w:rFonts w:ascii="Times New Roman" w:hAnsi="Times New Roman" w:cs="Times New Roman"/>
                <w:i/>
                <w:sz w:val="24"/>
                <w:szCs w:val="24"/>
              </w:rPr>
              <w:t>52 (47%)</w:t>
            </w:r>
          </w:p>
          <w:p w14:paraId="03842EBF" w14:textId="4CB1EC1E" w:rsidR="00D65F86" w:rsidRPr="0001651E" w:rsidRDefault="009E5808"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651E">
              <w:rPr>
                <w:rFonts w:ascii="Times New Roman" w:hAnsi="Times New Roman" w:cs="Times New Roman"/>
                <w:i/>
                <w:sz w:val="24"/>
                <w:szCs w:val="24"/>
              </w:rPr>
              <w:t>39 (35%)</w:t>
            </w:r>
          </w:p>
          <w:p w14:paraId="0102027F" w14:textId="2BA7FA7F" w:rsidR="00D65F86" w:rsidRPr="0001651E" w:rsidRDefault="009E5808"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651E">
              <w:rPr>
                <w:rFonts w:ascii="Times New Roman" w:hAnsi="Times New Roman" w:cs="Times New Roman"/>
                <w:i/>
                <w:sz w:val="24"/>
                <w:szCs w:val="24"/>
              </w:rPr>
              <w:t>13 (12%)</w:t>
            </w:r>
          </w:p>
          <w:p w14:paraId="452682F3" w14:textId="6641A091" w:rsidR="00D65F86" w:rsidRPr="0001651E" w:rsidRDefault="009E5808"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651E">
              <w:rPr>
                <w:rFonts w:ascii="Times New Roman" w:hAnsi="Times New Roman" w:cs="Times New Roman"/>
                <w:i/>
                <w:sz w:val="24"/>
                <w:szCs w:val="24"/>
              </w:rPr>
              <w:t>1 (1%)</w:t>
            </w:r>
          </w:p>
          <w:p w14:paraId="717A82AF" w14:textId="7EB9D0FC" w:rsidR="00D65F86" w:rsidRPr="0001651E" w:rsidRDefault="009E5808"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651E">
              <w:rPr>
                <w:rFonts w:ascii="Times New Roman" w:hAnsi="Times New Roman" w:cs="Times New Roman"/>
                <w:i/>
                <w:sz w:val="24"/>
                <w:szCs w:val="24"/>
              </w:rPr>
              <w:t>6 (5%)</w:t>
            </w:r>
          </w:p>
          <w:p w14:paraId="03F47A26"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97 (42%)</w:t>
            </w:r>
          </w:p>
          <w:p w14:paraId="54FEBFF9" w14:textId="00FD368B" w:rsidR="00D65F86" w:rsidRPr="0001651E" w:rsidRDefault="006655C9"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651E">
              <w:rPr>
                <w:rFonts w:ascii="Times New Roman" w:hAnsi="Times New Roman" w:cs="Times New Roman"/>
                <w:i/>
                <w:sz w:val="24"/>
                <w:szCs w:val="24"/>
              </w:rPr>
              <w:t>66 (68%)</w:t>
            </w:r>
          </w:p>
          <w:p w14:paraId="4C1787D3" w14:textId="72037408" w:rsidR="00D65F86" w:rsidRPr="0001651E" w:rsidRDefault="006655C9"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651E">
              <w:rPr>
                <w:rFonts w:ascii="Times New Roman" w:hAnsi="Times New Roman" w:cs="Times New Roman"/>
                <w:i/>
                <w:sz w:val="24"/>
                <w:szCs w:val="24"/>
              </w:rPr>
              <w:t>23 (24%)</w:t>
            </w:r>
          </w:p>
          <w:p w14:paraId="3DC297B9" w14:textId="098758A6" w:rsidR="00D65F86" w:rsidRPr="0001651E" w:rsidRDefault="006655C9"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651E">
              <w:rPr>
                <w:rFonts w:ascii="Times New Roman" w:hAnsi="Times New Roman" w:cs="Times New Roman"/>
                <w:i/>
                <w:sz w:val="24"/>
                <w:szCs w:val="24"/>
              </w:rPr>
              <w:t>3 (3%)</w:t>
            </w:r>
          </w:p>
          <w:p w14:paraId="6D436786" w14:textId="28608C3B" w:rsidR="00D65F86" w:rsidRPr="0001651E" w:rsidRDefault="006655C9"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651E">
              <w:rPr>
                <w:rFonts w:ascii="Times New Roman" w:hAnsi="Times New Roman" w:cs="Times New Roman"/>
                <w:i/>
                <w:sz w:val="24"/>
                <w:szCs w:val="24"/>
              </w:rPr>
              <w:t>3 (3%)</w:t>
            </w:r>
          </w:p>
          <w:p w14:paraId="4DE77F48" w14:textId="1AF0888E" w:rsidR="00D65F86" w:rsidRPr="0001651E" w:rsidRDefault="006655C9"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651E">
              <w:rPr>
                <w:rFonts w:ascii="Times New Roman" w:hAnsi="Times New Roman" w:cs="Times New Roman"/>
                <w:i/>
                <w:sz w:val="24"/>
                <w:szCs w:val="24"/>
              </w:rPr>
              <w:t>2 (2%)</w:t>
            </w:r>
          </w:p>
          <w:p w14:paraId="450AD3E2"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13 (6%)</w:t>
            </w:r>
          </w:p>
          <w:p w14:paraId="4B6F6010"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3 (1%)</w:t>
            </w:r>
          </w:p>
          <w:p w14:paraId="0AC53349"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4 (2%)</w:t>
            </w:r>
          </w:p>
          <w:p w14:paraId="4A4D3975" w14:textId="0101E400" w:rsidR="00D65F86" w:rsidRPr="0001651E" w:rsidRDefault="00E31E2C"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lastRenderedPageBreak/>
              <w:t>3 (1</w:t>
            </w:r>
            <w:r w:rsidR="00D65F86" w:rsidRPr="0001651E">
              <w:rPr>
                <w:rFonts w:ascii="Times New Roman" w:hAnsi="Times New Roman" w:cs="Times New Roman"/>
                <w:sz w:val="24"/>
                <w:szCs w:val="24"/>
              </w:rPr>
              <w:t>%)</w:t>
            </w:r>
          </w:p>
          <w:p w14:paraId="0FA2115A" w14:textId="3C61A8EC" w:rsidR="00D65F86" w:rsidRPr="0001651E" w:rsidRDefault="00E31E2C"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 (&lt;</w:t>
            </w:r>
            <w:r w:rsidR="00D65F86" w:rsidRPr="0001651E">
              <w:rPr>
                <w:rFonts w:ascii="Times New Roman" w:hAnsi="Times New Roman" w:cs="Times New Roman"/>
                <w:sz w:val="24"/>
                <w:szCs w:val="24"/>
              </w:rPr>
              <w:t>4%)</w:t>
            </w:r>
          </w:p>
        </w:tc>
        <w:tc>
          <w:tcPr>
            <w:tcW w:w="1418" w:type="dxa"/>
          </w:tcPr>
          <w:p w14:paraId="578066FC"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3FBC1B6"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136 (48%)</w:t>
            </w:r>
          </w:p>
          <w:p w14:paraId="1C43601A" w14:textId="39934C7B" w:rsidR="00D65F86" w:rsidRPr="0001651E" w:rsidRDefault="009E5808"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651E">
              <w:rPr>
                <w:rFonts w:ascii="Times New Roman" w:hAnsi="Times New Roman" w:cs="Times New Roman"/>
                <w:i/>
                <w:sz w:val="24"/>
                <w:szCs w:val="24"/>
              </w:rPr>
              <w:t>96 (71%)</w:t>
            </w:r>
          </w:p>
          <w:p w14:paraId="5FCA7805" w14:textId="62E9EB1D" w:rsidR="00D65F86" w:rsidRPr="0001651E" w:rsidRDefault="009E5808"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651E">
              <w:rPr>
                <w:rFonts w:ascii="Times New Roman" w:hAnsi="Times New Roman" w:cs="Times New Roman"/>
                <w:i/>
                <w:sz w:val="24"/>
                <w:szCs w:val="24"/>
              </w:rPr>
              <w:t>11 (8%)</w:t>
            </w:r>
          </w:p>
          <w:p w14:paraId="756B48F5" w14:textId="2743D292" w:rsidR="00D65F86" w:rsidRPr="0001651E" w:rsidRDefault="009E5808"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651E">
              <w:rPr>
                <w:rFonts w:ascii="Times New Roman" w:hAnsi="Times New Roman" w:cs="Times New Roman"/>
                <w:i/>
                <w:sz w:val="24"/>
                <w:szCs w:val="24"/>
              </w:rPr>
              <w:t>18 (13%)</w:t>
            </w:r>
          </w:p>
          <w:p w14:paraId="2FDAC37C" w14:textId="6FF1ECD3" w:rsidR="00D65F86" w:rsidRPr="0001651E" w:rsidRDefault="009E5808"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651E">
              <w:rPr>
                <w:rFonts w:ascii="Times New Roman" w:hAnsi="Times New Roman" w:cs="Times New Roman"/>
                <w:i/>
                <w:sz w:val="24"/>
                <w:szCs w:val="24"/>
              </w:rPr>
              <w:t>0</w:t>
            </w:r>
          </w:p>
          <w:p w14:paraId="768A35D9" w14:textId="2F1746ED" w:rsidR="00D65F86" w:rsidRPr="0001651E" w:rsidRDefault="009E5808"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651E">
              <w:rPr>
                <w:rFonts w:ascii="Times New Roman" w:hAnsi="Times New Roman" w:cs="Times New Roman"/>
                <w:i/>
                <w:sz w:val="24"/>
                <w:szCs w:val="24"/>
              </w:rPr>
              <w:t>11 (8%)</w:t>
            </w:r>
          </w:p>
          <w:p w14:paraId="2F40C2D0"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98 (34%)</w:t>
            </w:r>
          </w:p>
          <w:p w14:paraId="627E7E80" w14:textId="18B37040" w:rsidR="00D65F86" w:rsidRPr="0001651E" w:rsidRDefault="006655C9"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651E">
              <w:rPr>
                <w:rFonts w:ascii="Times New Roman" w:hAnsi="Times New Roman" w:cs="Times New Roman"/>
                <w:i/>
                <w:sz w:val="24"/>
                <w:szCs w:val="24"/>
              </w:rPr>
              <w:t>47 (48%)</w:t>
            </w:r>
          </w:p>
          <w:p w14:paraId="29C7E5A5" w14:textId="3428F132" w:rsidR="00D65F86" w:rsidRPr="0001651E" w:rsidRDefault="006655C9"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651E">
              <w:rPr>
                <w:rFonts w:ascii="Times New Roman" w:hAnsi="Times New Roman" w:cs="Times New Roman"/>
                <w:i/>
                <w:sz w:val="24"/>
                <w:szCs w:val="24"/>
              </w:rPr>
              <w:t>40 (41%)</w:t>
            </w:r>
          </w:p>
          <w:p w14:paraId="74C1A90E" w14:textId="21B9CE9A" w:rsidR="00D65F86" w:rsidRPr="0001651E" w:rsidRDefault="006655C9"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651E">
              <w:rPr>
                <w:rFonts w:ascii="Times New Roman" w:hAnsi="Times New Roman" w:cs="Times New Roman"/>
                <w:i/>
                <w:sz w:val="24"/>
                <w:szCs w:val="24"/>
              </w:rPr>
              <w:t>6 (6%)</w:t>
            </w:r>
          </w:p>
          <w:p w14:paraId="447F6E2E" w14:textId="7037AFB3" w:rsidR="00D65F86" w:rsidRPr="0001651E" w:rsidRDefault="006655C9"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651E">
              <w:rPr>
                <w:rFonts w:ascii="Times New Roman" w:hAnsi="Times New Roman" w:cs="Times New Roman"/>
                <w:i/>
                <w:sz w:val="24"/>
                <w:szCs w:val="24"/>
              </w:rPr>
              <w:t>4 (4%)</w:t>
            </w:r>
          </w:p>
          <w:p w14:paraId="67B2AA5C" w14:textId="235C6A5A" w:rsidR="00D65F86" w:rsidRPr="0001651E" w:rsidRDefault="006655C9"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651E">
              <w:rPr>
                <w:rFonts w:ascii="Times New Roman" w:hAnsi="Times New Roman" w:cs="Times New Roman"/>
                <w:i/>
                <w:sz w:val="24"/>
                <w:szCs w:val="24"/>
              </w:rPr>
              <w:t>1 (1%)</w:t>
            </w:r>
          </w:p>
          <w:p w14:paraId="4C3E687B"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29 (10%)</w:t>
            </w:r>
          </w:p>
          <w:p w14:paraId="113B2774"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15 (5%)</w:t>
            </w:r>
          </w:p>
          <w:p w14:paraId="25654EC8"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6 (2%)</w:t>
            </w:r>
          </w:p>
          <w:p w14:paraId="3A8C06A1"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lastRenderedPageBreak/>
              <w:t>2 (1%)</w:t>
            </w:r>
          </w:p>
          <w:p w14:paraId="28E71C44"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0</w:t>
            </w:r>
          </w:p>
        </w:tc>
        <w:tc>
          <w:tcPr>
            <w:tcW w:w="959" w:type="dxa"/>
          </w:tcPr>
          <w:p w14:paraId="2B30A0A4" w14:textId="77777777" w:rsidR="000B6992" w:rsidRPr="0001651E" w:rsidRDefault="000B6992"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C7CA26D" w14:textId="692F48FA" w:rsidR="00D65F86" w:rsidRPr="0001651E" w:rsidRDefault="009E5808"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0.001</w:t>
            </w:r>
          </w:p>
          <w:p w14:paraId="54703498"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F9E94F1"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1C4C6B5"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507C99F"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6CEB79E"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7E769DA" w14:textId="5F92FF3C" w:rsidR="00744C75" w:rsidRPr="0001651E" w:rsidRDefault="009E5808"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0.002</w:t>
            </w:r>
          </w:p>
          <w:p w14:paraId="63D4C53B" w14:textId="77777777" w:rsidR="00744C75" w:rsidRPr="0001651E" w:rsidRDefault="00744C75"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49F5DFE" w14:textId="77777777" w:rsidR="00744C75" w:rsidRPr="0001651E" w:rsidRDefault="00744C75"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0E5D941" w14:textId="77777777" w:rsidR="00744C75" w:rsidRPr="0001651E" w:rsidRDefault="00744C75"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CCC4F62" w14:textId="77777777" w:rsidR="00744C75" w:rsidRPr="0001651E" w:rsidRDefault="00744C75"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B68D025"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F05DFEC" w14:textId="77777777" w:rsidR="006655C9" w:rsidRPr="0001651E" w:rsidRDefault="006655C9"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F6C61AF" w14:textId="77777777" w:rsidR="006655C9" w:rsidRPr="0001651E" w:rsidRDefault="006655C9"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BEC67A5" w14:textId="77777777" w:rsidR="006655C9" w:rsidRPr="0001651E" w:rsidRDefault="006655C9"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36726F3" w14:textId="266AC8C2" w:rsidR="006655C9" w:rsidRPr="0001651E" w:rsidRDefault="006655C9" w:rsidP="005321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65F86" w:rsidRPr="0001651E" w14:paraId="0B2EA083" w14:textId="77777777" w:rsidTr="00016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6DA8E623" w14:textId="29E34518" w:rsidR="00D65F86" w:rsidRPr="0001651E" w:rsidRDefault="00D65F86" w:rsidP="00532132">
            <w:pPr>
              <w:rPr>
                <w:rFonts w:ascii="Times New Roman" w:hAnsi="Times New Roman" w:cs="Times New Roman"/>
                <w:b w:val="0"/>
                <w:sz w:val="24"/>
                <w:szCs w:val="24"/>
                <w:lang w:val="en-US"/>
              </w:rPr>
            </w:pPr>
            <w:r w:rsidRPr="0001651E">
              <w:rPr>
                <w:rFonts w:ascii="Times New Roman" w:hAnsi="Times New Roman" w:cs="Times New Roman"/>
                <w:sz w:val="24"/>
                <w:szCs w:val="24"/>
                <w:lang w:val="en-US"/>
              </w:rPr>
              <w:lastRenderedPageBreak/>
              <w:t>Disease status</w:t>
            </w:r>
          </w:p>
          <w:p w14:paraId="0391BBEA" w14:textId="77777777" w:rsidR="00D65F86" w:rsidRPr="0001651E" w:rsidRDefault="00D65F86" w:rsidP="00532132">
            <w:pPr>
              <w:rPr>
                <w:rFonts w:ascii="Times New Roman" w:hAnsi="Times New Roman" w:cs="Times New Roman"/>
                <w:sz w:val="24"/>
                <w:szCs w:val="24"/>
                <w:lang w:val="en-US"/>
              </w:rPr>
            </w:pPr>
            <w:r w:rsidRPr="0001651E">
              <w:rPr>
                <w:rFonts w:ascii="Times New Roman" w:hAnsi="Times New Roman" w:cs="Times New Roman"/>
                <w:sz w:val="24"/>
                <w:szCs w:val="24"/>
                <w:lang w:val="en-US"/>
              </w:rPr>
              <w:t xml:space="preserve">   High risk</w:t>
            </w:r>
          </w:p>
          <w:p w14:paraId="08E2A267" w14:textId="77777777" w:rsidR="00D65F86" w:rsidRPr="0001651E" w:rsidRDefault="00D65F86" w:rsidP="00532132">
            <w:pPr>
              <w:rPr>
                <w:rFonts w:ascii="Times New Roman" w:hAnsi="Times New Roman" w:cs="Times New Roman"/>
                <w:sz w:val="24"/>
                <w:szCs w:val="24"/>
                <w:lang w:val="en-US"/>
              </w:rPr>
            </w:pPr>
            <w:r w:rsidRPr="0001651E">
              <w:rPr>
                <w:rFonts w:ascii="Times New Roman" w:hAnsi="Times New Roman" w:cs="Times New Roman"/>
                <w:sz w:val="24"/>
                <w:szCs w:val="24"/>
                <w:lang w:val="en-US"/>
              </w:rPr>
              <w:t xml:space="preserve">   Standard risk</w:t>
            </w:r>
          </w:p>
        </w:tc>
        <w:tc>
          <w:tcPr>
            <w:tcW w:w="1417" w:type="dxa"/>
          </w:tcPr>
          <w:p w14:paraId="797D0B34"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4D23B629"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314 (46%)</w:t>
            </w:r>
          </w:p>
          <w:p w14:paraId="6E102EDD"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368 (54%)</w:t>
            </w:r>
          </w:p>
        </w:tc>
        <w:tc>
          <w:tcPr>
            <w:tcW w:w="1418" w:type="dxa"/>
          </w:tcPr>
          <w:p w14:paraId="7DE2CAAB"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0860207"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62 (38%)</w:t>
            </w:r>
          </w:p>
          <w:p w14:paraId="30087C6B"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102 (62%)</w:t>
            </w:r>
          </w:p>
        </w:tc>
        <w:tc>
          <w:tcPr>
            <w:tcW w:w="1417" w:type="dxa"/>
          </w:tcPr>
          <w:p w14:paraId="5099DF5A"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A1A53CE"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120 (52%)</w:t>
            </w:r>
          </w:p>
          <w:p w14:paraId="1F0DC860"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112 (48%)</w:t>
            </w:r>
          </w:p>
        </w:tc>
        <w:tc>
          <w:tcPr>
            <w:tcW w:w="1418" w:type="dxa"/>
          </w:tcPr>
          <w:p w14:paraId="6ECCC9BD"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16440B6"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132 (46%)</w:t>
            </w:r>
          </w:p>
          <w:p w14:paraId="3E135312"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154 (54%)</w:t>
            </w:r>
          </w:p>
        </w:tc>
        <w:tc>
          <w:tcPr>
            <w:tcW w:w="959" w:type="dxa"/>
          </w:tcPr>
          <w:p w14:paraId="0666A1EC"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A5EA00B" w14:textId="771AFBDA" w:rsidR="00D65F86" w:rsidRPr="0001651E" w:rsidRDefault="00E31E2C"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0.024</w:t>
            </w:r>
          </w:p>
        </w:tc>
      </w:tr>
      <w:tr w:rsidR="00D65F86" w:rsidRPr="0001651E" w14:paraId="03DEE6A1" w14:textId="77777777" w:rsidTr="0001651E">
        <w:tc>
          <w:tcPr>
            <w:cnfStyle w:val="001000000000" w:firstRow="0" w:lastRow="0" w:firstColumn="1" w:lastColumn="0" w:oddVBand="0" w:evenVBand="0" w:oddHBand="0" w:evenHBand="0" w:firstRowFirstColumn="0" w:firstRowLastColumn="0" w:lastRowFirstColumn="0" w:lastRowLastColumn="0"/>
            <w:tcW w:w="3969" w:type="dxa"/>
          </w:tcPr>
          <w:p w14:paraId="16D08541" w14:textId="613CD081" w:rsidR="00D65F86" w:rsidRPr="0001651E" w:rsidRDefault="00D65F86" w:rsidP="00532132">
            <w:pPr>
              <w:rPr>
                <w:rFonts w:ascii="Times New Roman" w:hAnsi="Times New Roman" w:cs="Times New Roman"/>
                <w:b w:val="0"/>
                <w:sz w:val="24"/>
                <w:szCs w:val="24"/>
                <w:lang w:val="en-US"/>
              </w:rPr>
            </w:pPr>
            <w:r w:rsidRPr="0001651E">
              <w:rPr>
                <w:rFonts w:ascii="Times New Roman" w:hAnsi="Times New Roman" w:cs="Times New Roman"/>
                <w:sz w:val="24"/>
                <w:szCs w:val="24"/>
                <w:lang w:val="en-US"/>
              </w:rPr>
              <w:t>Donor</w:t>
            </w:r>
            <w:r w:rsidR="00E31E2C" w:rsidRPr="0001651E">
              <w:rPr>
                <w:rFonts w:ascii="Times New Roman" w:hAnsi="Times New Roman" w:cs="Times New Roman"/>
                <w:sz w:val="24"/>
                <w:szCs w:val="24"/>
                <w:lang w:val="en-US"/>
              </w:rPr>
              <w:t xml:space="preserve"> type</w:t>
            </w:r>
          </w:p>
          <w:p w14:paraId="5894C2E9" w14:textId="77777777" w:rsidR="00D65F86" w:rsidRPr="0001651E" w:rsidRDefault="00D65F86" w:rsidP="00532132">
            <w:pPr>
              <w:rPr>
                <w:rFonts w:ascii="Times New Roman" w:hAnsi="Times New Roman" w:cs="Times New Roman"/>
                <w:sz w:val="24"/>
                <w:szCs w:val="24"/>
                <w:lang w:val="en-US"/>
              </w:rPr>
            </w:pPr>
            <w:r w:rsidRPr="0001651E">
              <w:rPr>
                <w:rFonts w:ascii="Times New Roman" w:hAnsi="Times New Roman" w:cs="Times New Roman"/>
                <w:sz w:val="24"/>
                <w:szCs w:val="24"/>
                <w:lang w:val="en-US"/>
              </w:rPr>
              <w:t xml:space="preserve">   Related</w:t>
            </w:r>
          </w:p>
          <w:p w14:paraId="5E065C9A" w14:textId="77777777" w:rsidR="00D65F86" w:rsidRPr="0001651E" w:rsidRDefault="00D65F86" w:rsidP="00532132">
            <w:pPr>
              <w:rPr>
                <w:rFonts w:ascii="Times New Roman" w:hAnsi="Times New Roman" w:cs="Times New Roman"/>
                <w:sz w:val="24"/>
                <w:szCs w:val="24"/>
                <w:lang w:val="en-US"/>
              </w:rPr>
            </w:pPr>
            <w:r w:rsidRPr="0001651E">
              <w:rPr>
                <w:rFonts w:ascii="Times New Roman" w:hAnsi="Times New Roman" w:cs="Times New Roman"/>
                <w:sz w:val="24"/>
                <w:szCs w:val="24"/>
                <w:lang w:val="en-US"/>
              </w:rPr>
              <w:t xml:space="preserve">   Unrelated</w:t>
            </w:r>
          </w:p>
          <w:p w14:paraId="351B78BB" w14:textId="77777777" w:rsidR="00D65F86" w:rsidRPr="0001651E" w:rsidRDefault="00D65F86" w:rsidP="00532132">
            <w:pPr>
              <w:rPr>
                <w:rFonts w:ascii="Times New Roman" w:hAnsi="Times New Roman" w:cs="Times New Roman"/>
                <w:b w:val="0"/>
                <w:sz w:val="24"/>
                <w:szCs w:val="24"/>
                <w:lang w:val="en-US"/>
              </w:rPr>
            </w:pPr>
            <w:r w:rsidRPr="0001651E">
              <w:rPr>
                <w:rFonts w:ascii="Times New Roman" w:hAnsi="Times New Roman" w:cs="Times New Roman"/>
                <w:sz w:val="24"/>
                <w:szCs w:val="24"/>
                <w:lang w:val="en-US"/>
              </w:rPr>
              <w:t xml:space="preserve">        HLA matching</w:t>
            </w:r>
          </w:p>
          <w:p w14:paraId="79F37047" w14:textId="77777777" w:rsidR="00D65F86" w:rsidRPr="0001651E" w:rsidRDefault="00D65F86" w:rsidP="00532132">
            <w:pPr>
              <w:rPr>
                <w:rFonts w:ascii="Times New Roman" w:hAnsi="Times New Roman" w:cs="Times New Roman"/>
                <w:sz w:val="24"/>
                <w:szCs w:val="24"/>
                <w:lang w:val="en-US"/>
              </w:rPr>
            </w:pPr>
            <w:r w:rsidRPr="0001651E">
              <w:rPr>
                <w:rFonts w:ascii="Times New Roman" w:hAnsi="Times New Roman" w:cs="Times New Roman"/>
                <w:sz w:val="24"/>
                <w:szCs w:val="24"/>
                <w:lang w:val="en-US"/>
              </w:rPr>
              <w:t xml:space="preserve">             Matched</w:t>
            </w:r>
          </w:p>
          <w:p w14:paraId="0B27458A" w14:textId="77777777" w:rsidR="00D65F86" w:rsidRPr="0001651E" w:rsidRDefault="00D65F86" w:rsidP="00532132">
            <w:pPr>
              <w:rPr>
                <w:rFonts w:ascii="Times New Roman" w:hAnsi="Times New Roman" w:cs="Times New Roman"/>
                <w:b w:val="0"/>
                <w:sz w:val="24"/>
                <w:szCs w:val="24"/>
              </w:rPr>
            </w:pPr>
            <w:r w:rsidRPr="0001651E">
              <w:rPr>
                <w:rFonts w:ascii="Times New Roman" w:hAnsi="Times New Roman" w:cs="Times New Roman"/>
                <w:sz w:val="24"/>
                <w:szCs w:val="24"/>
                <w:lang w:val="en-US"/>
              </w:rPr>
              <w:t xml:space="preserve">             </w:t>
            </w:r>
            <w:r w:rsidRPr="0001651E">
              <w:rPr>
                <w:rFonts w:ascii="Times New Roman" w:hAnsi="Times New Roman" w:cs="Times New Roman"/>
                <w:sz w:val="24"/>
                <w:szCs w:val="24"/>
              </w:rPr>
              <w:t>Other</w:t>
            </w:r>
          </w:p>
        </w:tc>
        <w:tc>
          <w:tcPr>
            <w:tcW w:w="1417" w:type="dxa"/>
          </w:tcPr>
          <w:p w14:paraId="7CA3686A"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3E9ADEF"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445 (65%)</w:t>
            </w:r>
          </w:p>
          <w:p w14:paraId="56C27460"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237 (35%)</w:t>
            </w:r>
          </w:p>
          <w:p w14:paraId="7CF77CCF"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D7C0DA8"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105 (44%)</w:t>
            </w:r>
          </w:p>
          <w:p w14:paraId="5B24B4A1" w14:textId="35E238B9" w:rsidR="00D65F86" w:rsidRPr="0001651E" w:rsidRDefault="00CE35EB"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132</w:t>
            </w:r>
            <w:r w:rsidR="00D65F86" w:rsidRPr="0001651E">
              <w:rPr>
                <w:rFonts w:ascii="Times New Roman" w:hAnsi="Times New Roman" w:cs="Times New Roman"/>
                <w:sz w:val="24"/>
                <w:szCs w:val="24"/>
              </w:rPr>
              <w:t xml:space="preserve"> (56%))</w:t>
            </w:r>
          </w:p>
        </w:tc>
        <w:tc>
          <w:tcPr>
            <w:tcW w:w="1418" w:type="dxa"/>
          </w:tcPr>
          <w:p w14:paraId="2A327316"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C75CA5D"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160 (98%)</w:t>
            </w:r>
          </w:p>
          <w:p w14:paraId="7DE1348A"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4 (2%)</w:t>
            </w:r>
          </w:p>
          <w:p w14:paraId="43A97B8F"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7F5E64E" w14:textId="7F389F2A" w:rsidR="00D65F86" w:rsidRPr="0001651E" w:rsidRDefault="007D750A"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2 (50%)</w:t>
            </w:r>
          </w:p>
          <w:p w14:paraId="0F911182" w14:textId="2F1ADDB0" w:rsidR="00D65F86" w:rsidRPr="0001651E" w:rsidRDefault="007D750A"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2 (50%)</w:t>
            </w:r>
          </w:p>
        </w:tc>
        <w:tc>
          <w:tcPr>
            <w:tcW w:w="1417" w:type="dxa"/>
          </w:tcPr>
          <w:p w14:paraId="4B597387"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1B1F0F0"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166 (72%)</w:t>
            </w:r>
          </w:p>
          <w:p w14:paraId="6274FA6E"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66 (28%)</w:t>
            </w:r>
          </w:p>
          <w:p w14:paraId="3CB84699"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4791FFF"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28 (42%)</w:t>
            </w:r>
          </w:p>
          <w:p w14:paraId="35CD26E5"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38 (58%)</w:t>
            </w:r>
          </w:p>
        </w:tc>
        <w:tc>
          <w:tcPr>
            <w:tcW w:w="1418" w:type="dxa"/>
          </w:tcPr>
          <w:p w14:paraId="1A59EDF2"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70A0CB9"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119 (42%)</w:t>
            </w:r>
          </w:p>
          <w:p w14:paraId="2796C457"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167 (58%)</w:t>
            </w:r>
          </w:p>
          <w:p w14:paraId="5DF6FABF"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6FE539E"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77 (46%)</w:t>
            </w:r>
          </w:p>
          <w:p w14:paraId="45DAB342"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90 (54%)</w:t>
            </w:r>
          </w:p>
        </w:tc>
        <w:tc>
          <w:tcPr>
            <w:tcW w:w="959" w:type="dxa"/>
          </w:tcPr>
          <w:p w14:paraId="721BC32A"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E1B1A72" w14:textId="166EF5BC" w:rsidR="00D65F86" w:rsidRPr="0001651E" w:rsidRDefault="00CE35EB"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&lt;0.00</w:t>
            </w:r>
            <w:r w:rsidR="00D65F86" w:rsidRPr="0001651E">
              <w:rPr>
                <w:rFonts w:ascii="Times New Roman" w:hAnsi="Times New Roman" w:cs="Times New Roman"/>
                <w:sz w:val="24"/>
                <w:szCs w:val="24"/>
              </w:rPr>
              <w:t>1</w:t>
            </w:r>
          </w:p>
          <w:p w14:paraId="60D24860"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E2F7738"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DFD9235" w14:textId="60055C1B" w:rsidR="00D65F86" w:rsidRPr="0001651E" w:rsidRDefault="00CE35EB"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0.188</w:t>
            </w:r>
          </w:p>
        </w:tc>
      </w:tr>
      <w:tr w:rsidR="00D65F86" w:rsidRPr="0001651E" w14:paraId="038F20B6" w14:textId="77777777" w:rsidTr="00016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19426D35" w14:textId="77777777" w:rsidR="00D65F86" w:rsidRPr="0001651E" w:rsidRDefault="00D65F86" w:rsidP="00532132">
            <w:pPr>
              <w:rPr>
                <w:rFonts w:ascii="Times New Roman" w:hAnsi="Times New Roman" w:cs="Times New Roman"/>
                <w:b w:val="0"/>
                <w:sz w:val="24"/>
                <w:szCs w:val="24"/>
                <w:lang w:val="en-US"/>
              </w:rPr>
            </w:pPr>
            <w:r w:rsidRPr="0001651E">
              <w:rPr>
                <w:rFonts w:ascii="Times New Roman" w:hAnsi="Times New Roman" w:cs="Times New Roman"/>
                <w:sz w:val="24"/>
                <w:szCs w:val="24"/>
                <w:lang w:val="en-US"/>
              </w:rPr>
              <w:t>Stem cell source</w:t>
            </w:r>
          </w:p>
          <w:p w14:paraId="24643F01" w14:textId="77777777" w:rsidR="00D65F86" w:rsidRPr="0001651E" w:rsidRDefault="00D65F86" w:rsidP="00532132">
            <w:pPr>
              <w:rPr>
                <w:rFonts w:ascii="Times New Roman" w:hAnsi="Times New Roman" w:cs="Times New Roman"/>
                <w:sz w:val="24"/>
                <w:szCs w:val="24"/>
                <w:lang w:val="en-US"/>
              </w:rPr>
            </w:pPr>
            <w:r w:rsidRPr="0001651E">
              <w:rPr>
                <w:rFonts w:ascii="Times New Roman" w:hAnsi="Times New Roman" w:cs="Times New Roman"/>
                <w:sz w:val="24"/>
                <w:szCs w:val="24"/>
                <w:lang w:val="en-US"/>
              </w:rPr>
              <w:t xml:space="preserve">   Bone marrow</w:t>
            </w:r>
          </w:p>
          <w:p w14:paraId="34D1DE68" w14:textId="77777777" w:rsidR="00D65F86" w:rsidRPr="0001651E" w:rsidRDefault="00D65F86" w:rsidP="00532132">
            <w:pPr>
              <w:rPr>
                <w:rFonts w:ascii="Times New Roman" w:hAnsi="Times New Roman" w:cs="Times New Roman"/>
                <w:sz w:val="24"/>
                <w:szCs w:val="24"/>
                <w:lang w:val="en-US"/>
              </w:rPr>
            </w:pPr>
            <w:r w:rsidRPr="0001651E">
              <w:rPr>
                <w:rFonts w:ascii="Times New Roman" w:hAnsi="Times New Roman" w:cs="Times New Roman"/>
                <w:sz w:val="24"/>
                <w:szCs w:val="24"/>
                <w:lang w:val="en-US"/>
              </w:rPr>
              <w:t xml:space="preserve">   PBSC</w:t>
            </w:r>
          </w:p>
          <w:p w14:paraId="724E1BD6" w14:textId="77777777" w:rsidR="00D65F86" w:rsidRPr="0001651E" w:rsidRDefault="00D65F86" w:rsidP="00532132">
            <w:pPr>
              <w:rPr>
                <w:rFonts w:ascii="Times New Roman" w:hAnsi="Times New Roman" w:cs="Times New Roman"/>
                <w:b w:val="0"/>
                <w:sz w:val="24"/>
                <w:szCs w:val="24"/>
              </w:rPr>
            </w:pPr>
            <w:r w:rsidRPr="0001651E">
              <w:rPr>
                <w:rFonts w:ascii="Times New Roman" w:hAnsi="Times New Roman" w:cs="Times New Roman"/>
                <w:sz w:val="24"/>
                <w:szCs w:val="24"/>
                <w:lang w:val="en-US"/>
              </w:rPr>
              <w:t xml:space="preserve">   </w:t>
            </w:r>
            <w:r w:rsidRPr="0001651E">
              <w:rPr>
                <w:rFonts w:ascii="Times New Roman" w:hAnsi="Times New Roman" w:cs="Times New Roman"/>
                <w:sz w:val="24"/>
                <w:szCs w:val="24"/>
              </w:rPr>
              <w:t>CB</w:t>
            </w:r>
          </w:p>
        </w:tc>
        <w:tc>
          <w:tcPr>
            <w:tcW w:w="1417" w:type="dxa"/>
          </w:tcPr>
          <w:p w14:paraId="398EDBB3"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88F3EB7"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325 (48%)</w:t>
            </w:r>
          </w:p>
          <w:p w14:paraId="6A65C067"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319 (47%)</w:t>
            </w:r>
          </w:p>
          <w:p w14:paraId="5C932C06"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38 (6%)</w:t>
            </w:r>
          </w:p>
        </w:tc>
        <w:tc>
          <w:tcPr>
            <w:tcW w:w="1418" w:type="dxa"/>
          </w:tcPr>
          <w:p w14:paraId="150CBEA5"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4FA78F7"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156 (95%)</w:t>
            </w:r>
          </w:p>
          <w:p w14:paraId="37FF57F9"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2 (1%)</w:t>
            </w:r>
          </w:p>
          <w:p w14:paraId="59DEC6CB"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6 (4%)</w:t>
            </w:r>
          </w:p>
        </w:tc>
        <w:tc>
          <w:tcPr>
            <w:tcW w:w="1417" w:type="dxa"/>
          </w:tcPr>
          <w:p w14:paraId="527D43B2"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A9AD75C"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63 (27%)</w:t>
            </w:r>
          </w:p>
          <w:p w14:paraId="1144BA25"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148 (64%)</w:t>
            </w:r>
          </w:p>
          <w:p w14:paraId="14A5C921"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21 (9%)</w:t>
            </w:r>
          </w:p>
        </w:tc>
        <w:tc>
          <w:tcPr>
            <w:tcW w:w="1418" w:type="dxa"/>
          </w:tcPr>
          <w:p w14:paraId="3721A67E"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0FD0FC2"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106 (37%)</w:t>
            </w:r>
          </w:p>
          <w:p w14:paraId="2752531B"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169 (59%)</w:t>
            </w:r>
          </w:p>
          <w:p w14:paraId="1C4AED2E"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11 (4%)</w:t>
            </w:r>
          </w:p>
        </w:tc>
        <w:tc>
          <w:tcPr>
            <w:tcW w:w="959" w:type="dxa"/>
          </w:tcPr>
          <w:p w14:paraId="0179C44C"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76C4F22" w14:textId="1012F68B" w:rsidR="00D65F86" w:rsidRPr="0001651E" w:rsidRDefault="00FE5AC8"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&lt;0.00</w:t>
            </w:r>
            <w:r w:rsidR="00D65F86" w:rsidRPr="0001651E">
              <w:rPr>
                <w:rFonts w:ascii="Times New Roman" w:hAnsi="Times New Roman" w:cs="Times New Roman"/>
                <w:sz w:val="24"/>
                <w:szCs w:val="24"/>
              </w:rPr>
              <w:t>1</w:t>
            </w:r>
          </w:p>
          <w:p w14:paraId="512495AE"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65F86" w:rsidRPr="0001651E" w14:paraId="15D26740" w14:textId="77777777" w:rsidTr="0001651E">
        <w:tc>
          <w:tcPr>
            <w:cnfStyle w:val="001000000000" w:firstRow="0" w:lastRow="0" w:firstColumn="1" w:lastColumn="0" w:oddVBand="0" w:evenVBand="0" w:oddHBand="0" w:evenHBand="0" w:firstRowFirstColumn="0" w:firstRowLastColumn="0" w:lastRowFirstColumn="0" w:lastRowLastColumn="0"/>
            <w:tcW w:w="3969" w:type="dxa"/>
          </w:tcPr>
          <w:p w14:paraId="24E69A32" w14:textId="5FFD28CC" w:rsidR="00D65F86" w:rsidRPr="0001651E" w:rsidRDefault="00D65F86" w:rsidP="00532132">
            <w:pPr>
              <w:rPr>
                <w:rFonts w:ascii="Times New Roman" w:hAnsi="Times New Roman" w:cs="Times New Roman"/>
                <w:b w:val="0"/>
                <w:sz w:val="24"/>
                <w:szCs w:val="24"/>
                <w:vertAlign w:val="superscript"/>
                <w:lang w:val="en-US"/>
              </w:rPr>
            </w:pPr>
            <w:r w:rsidRPr="0001651E">
              <w:rPr>
                <w:rFonts w:ascii="Times New Roman" w:hAnsi="Times New Roman" w:cs="Times New Roman"/>
                <w:sz w:val="24"/>
                <w:szCs w:val="24"/>
                <w:lang w:val="en-US"/>
              </w:rPr>
              <w:t>Conditioning regimen</w:t>
            </w:r>
            <w:r w:rsidR="00FE5AC8" w:rsidRPr="0001651E">
              <w:rPr>
                <w:rFonts w:ascii="Times New Roman" w:hAnsi="Times New Roman" w:cs="Times New Roman"/>
                <w:sz w:val="24"/>
                <w:szCs w:val="24"/>
                <w:vertAlign w:val="superscript"/>
                <w:lang w:val="en-US"/>
              </w:rPr>
              <w:t>4</w:t>
            </w:r>
          </w:p>
          <w:p w14:paraId="3DB62CDB" w14:textId="77777777" w:rsidR="00D65F86" w:rsidRPr="0001651E" w:rsidRDefault="00D65F86" w:rsidP="00532132">
            <w:pPr>
              <w:rPr>
                <w:rFonts w:ascii="Times New Roman" w:hAnsi="Times New Roman" w:cs="Times New Roman"/>
                <w:sz w:val="24"/>
                <w:szCs w:val="24"/>
                <w:lang w:val="en-US"/>
              </w:rPr>
            </w:pPr>
            <w:r w:rsidRPr="0001651E">
              <w:rPr>
                <w:rFonts w:ascii="Times New Roman" w:hAnsi="Times New Roman" w:cs="Times New Roman"/>
                <w:sz w:val="24"/>
                <w:szCs w:val="24"/>
                <w:lang w:val="en-US"/>
              </w:rPr>
              <w:t xml:space="preserve">   Myeloablative</w:t>
            </w:r>
          </w:p>
          <w:p w14:paraId="10E3AC59" w14:textId="77777777" w:rsidR="00D65F86" w:rsidRPr="0001651E" w:rsidRDefault="00D65F86" w:rsidP="00532132">
            <w:pPr>
              <w:rPr>
                <w:rFonts w:ascii="Times New Roman" w:hAnsi="Times New Roman" w:cs="Times New Roman"/>
                <w:b w:val="0"/>
                <w:sz w:val="24"/>
                <w:szCs w:val="24"/>
                <w:lang w:val="en-US"/>
              </w:rPr>
            </w:pPr>
            <w:r w:rsidRPr="0001651E">
              <w:rPr>
                <w:rFonts w:ascii="Times New Roman" w:hAnsi="Times New Roman" w:cs="Times New Roman"/>
                <w:sz w:val="24"/>
                <w:szCs w:val="24"/>
                <w:lang w:val="en-US"/>
              </w:rPr>
              <w:t xml:space="preserve">   Reduced-intensity conditioning</w:t>
            </w:r>
          </w:p>
        </w:tc>
        <w:tc>
          <w:tcPr>
            <w:tcW w:w="1417" w:type="dxa"/>
          </w:tcPr>
          <w:p w14:paraId="09577D32"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14:paraId="7C6A96BD"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532 (78%)</w:t>
            </w:r>
          </w:p>
          <w:p w14:paraId="2025DDFA"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149 (22%)</w:t>
            </w:r>
          </w:p>
        </w:tc>
        <w:tc>
          <w:tcPr>
            <w:tcW w:w="1418" w:type="dxa"/>
          </w:tcPr>
          <w:p w14:paraId="67C18979"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6C3D601"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143 (87%)</w:t>
            </w:r>
          </w:p>
          <w:p w14:paraId="21F59F2F"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21 (13%)</w:t>
            </w:r>
          </w:p>
        </w:tc>
        <w:tc>
          <w:tcPr>
            <w:tcW w:w="1417" w:type="dxa"/>
          </w:tcPr>
          <w:p w14:paraId="66E8981A"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42008F9"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185 (80%)</w:t>
            </w:r>
          </w:p>
          <w:p w14:paraId="5C04DEAB"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47 (20%)</w:t>
            </w:r>
          </w:p>
        </w:tc>
        <w:tc>
          <w:tcPr>
            <w:tcW w:w="1418" w:type="dxa"/>
          </w:tcPr>
          <w:p w14:paraId="41DF3863"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B8307E1" w14:textId="536600EA" w:rsidR="00D65F86" w:rsidRPr="0001651E" w:rsidRDefault="00FE5AC8"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204 (72</w:t>
            </w:r>
            <w:r w:rsidR="00D65F86" w:rsidRPr="0001651E">
              <w:rPr>
                <w:rFonts w:ascii="Times New Roman" w:hAnsi="Times New Roman" w:cs="Times New Roman"/>
                <w:sz w:val="24"/>
                <w:szCs w:val="24"/>
              </w:rPr>
              <w:t>%)</w:t>
            </w:r>
          </w:p>
          <w:p w14:paraId="5CD21B61"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81 (28%)</w:t>
            </w:r>
          </w:p>
        </w:tc>
        <w:tc>
          <w:tcPr>
            <w:tcW w:w="959" w:type="dxa"/>
          </w:tcPr>
          <w:p w14:paraId="03712D83"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7EBA2D4" w14:textId="2AA089A9" w:rsidR="00D65F86" w:rsidRPr="0001651E" w:rsidRDefault="00FE5AC8"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&lt;0.00</w:t>
            </w:r>
            <w:r w:rsidR="00D65F86" w:rsidRPr="0001651E">
              <w:rPr>
                <w:rFonts w:ascii="Times New Roman" w:hAnsi="Times New Roman" w:cs="Times New Roman"/>
                <w:sz w:val="24"/>
                <w:szCs w:val="24"/>
              </w:rPr>
              <w:t>1</w:t>
            </w:r>
          </w:p>
        </w:tc>
      </w:tr>
      <w:tr w:rsidR="00D65F86" w:rsidRPr="0001651E" w14:paraId="4FC3CF66" w14:textId="77777777" w:rsidTr="00016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43CFB99F" w14:textId="0B3DE169" w:rsidR="00D65F86" w:rsidRPr="0001651E" w:rsidRDefault="00D65F86" w:rsidP="00532132">
            <w:pPr>
              <w:rPr>
                <w:rFonts w:ascii="Times New Roman" w:hAnsi="Times New Roman" w:cs="Times New Roman"/>
                <w:b w:val="0"/>
                <w:sz w:val="24"/>
                <w:szCs w:val="24"/>
                <w:lang w:val="en-US"/>
              </w:rPr>
            </w:pPr>
            <w:r w:rsidRPr="0001651E">
              <w:rPr>
                <w:rFonts w:ascii="Times New Roman" w:hAnsi="Times New Roman" w:cs="Times New Roman"/>
                <w:sz w:val="24"/>
                <w:szCs w:val="24"/>
                <w:lang w:val="en-US"/>
              </w:rPr>
              <w:t>TBI-based conditioning</w:t>
            </w:r>
          </w:p>
          <w:p w14:paraId="1310EB85" w14:textId="77777777" w:rsidR="00D65F86" w:rsidRPr="0001651E" w:rsidRDefault="00D65F86" w:rsidP="00532132">
            <w:pPr>
              <w:rPr>
                <w:rFonts w:ascii="Times New Roman" w:hAnsi="Times New Roman" w:cs="Times New Roman"/>
                <w:sz w:val="24"/>
                <w:szCs w:val="24"/>
                <w:lang w:val="en-US"/>
              </w:rPr>
            </w:pPr>
            <w:r w:rsidRPr="0001651E">
              <w:rPr>
                <w:rFonts w:ascii="Times New Roman" w:hAnsi="Times New Roman" w:cs="Times New Roman"/>
                <w:sz w:val="24"/>
                <w:szCs w:val="24"/>
                <w:lang w:val="en-US"/>
              </w:rPr>
              <w:t xml:space="preserve">   No</w:t>
            </w:r>
          </w:p>
          <w:p w14:paraId="0B28103B" w14:textId="77777777" w:rsidR="00D65F86" w:rsidRPr="0001651E" w:rsidRDefault="00D65F86" w:rsidP="00532132">
            <w:pPr>
              <w:rPr>
                <w:rFonts w:ascii="Times New Roman" w:hAnsi="Times New Roman" w:cs="Times New Roman"/>
                <w:sz w:val="24"/>
                <w:szCs w:val="24"/>
                <w:lang w:val="en-US"/>
              </w:rPr>
            </w:pPr>
            <w:r w:rsidRPr="0001651E">
              <w:rPr>
                <w:rFonts w:ascii="Times New Roman" w:hAnsi="Times New Roman" w:cs="Times New Roman"/>
                <w:sz w:val="24"/>
                <w:szCs w:val="24"/>
                <w:lang w:val="en-US"/>
              </w:rPr>
              <w:t xml:space="preserve">   Yes</w:t>
            </w:r>
          </w:p>
        </w:tc>
        <w:tc>
          <w:tcPr>
            <w:tcW w:w="1417" w:type="dxa"/>
          </w:tcPr>
          <w:p w14:paraId="1B0362C8"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6BF140BC"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541 (79%)</w:t>
            </w:r>
          </w:p>
          <w:p w14:paraId="214D6156"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141 (21%)</w:t>
            </w:r>
          </w:p>
        </w:tc>
        <w:tc>
          <w:tcPr>
            <w:tcW w:w="1418" w:type="dxa"/>
          </w:tcPr>
          <w:p w14:paraId="309BEF98"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9435B67"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138 (84%)</w:t>
            </w:r>
          </w:p>
          <w:p w14:paraId="58167FAB"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26 (16%)</w:t>
            </w:r>
          </w:p>
        </w:tc>
        <w:tc>
          <w:tcPr>
            <w:tcW w:w="1417" w:type="dxa"/>
          </w:tcPr>
          <w:p w14:paraId="722CA99F"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674252F"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189 (81%)</w:t>
            </w:r>
          </w:p>
          <w:p w14:paraId="20C34F9F"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43 (19%)</w:t>
            </w:r>
          </w:p>
        </w:tc>
        <w:tc>
          <w:tcPr>
            <w:tcW w:w="1418" w:type="dxa"/>
          </w:tcPr>
          <w:p w14:paraId="7FD24E8A"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21C04C9"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214 (75%)</w:t>
            </w:r>
          </w:p>
          <w:p w14:paraId="47F06836"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72 (25%)</w:t>
            </w:r>
          </w:p>
        </w:tc>
        <w:tc>
          <w:tcPr>
            <w:tcW w:w="959" w:type="dxa"/>
          </w:tcPr>
          <w:p w14:paraId="6CDACD9C" w14:textId="77777777" w:rsidR="00D65F86" w:rsidRPr="0001651E" w:rsidRDefault="00D65F86"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10ECC64" w14:textId="4443DEE3" w:rsidR="00D65F86" w:rsidRPr="0001651E" w:rsidRDefault="00FE5AC8" w:rsidP="005321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0.039</w:t>
            </w:r>
          </w:p>
        </w:tc>
      </w:tr>
      <w:tr w:rsidR="00D65F86" w:rsidRPr="0001651E" w14:paraId="0D765F74" w14:textId="77777777" w:rsidTr="0001651E">
        <w:tc>
          <w:tcPr>
            <w:cnfStyle w:val="001000000000" w:firstRow="0" w:lastRow="0" w:firstColumn="1" w:lastColumn="0" w:oddVBand="0" w:evenVBand="0" w:oddHBand="0" w:evenHBand="0" w:firstRowFirstColumn="0" w:firstRowLastColumn="0" w:lastRowFirstColumn="0" w:lastRowLastColumn="0"/>
            <w:tcW w:w="3969" w:type="dxa"/>
          </w:tcPr>
          <w:p w14:paraId="25F8694D" w14:textId="77777777" w:rsidR="00D65F86" w:rsidRPr="0001651E" w:rsidRDefault="00D65F86" w:rsidP="00532132">
            <w:pPr>
              <w:rPr>
                <w:rFonts w:ascii="Times New Roman" w:hAnsi="Times New Roman" w:cs="Times New Roman"/>
                <w:b w:val="0"/>
                <w:sz w:val="24"/>
                <w:szCs w:val="24"/>
                <w:lang w:val="en-US"/>
              </w:rPr>
            </w:pPr>
            <w:r w:rsidRPr="0001651E">
              <w:rPr>
                <w:rFonts w:ascii="Times New Roman" w:hAnsi="Times New Roman" w:cs="Times New Roman"/>
                <w:sz w:val="24"/>
                <w:szCs w:val="24"/>
                <w:lang w:val="en-US"/>
              </w:rPr>
              <w:t>ATG-based conditioning</w:t>
            </w:r>
          </w:p>
          <w:p w14:paraId="45EC825E" w14:textId="77777777" w:rsidR="00D65F86" w:rsidRPr="0001651E" w:rsidRDefault="00D65F86" w:rsidP="00532132">
            <w:pPr>
              <w:rPr>
                <w:rFonts w:ascii="Times New Roman" w:hAnsi="Times New Roman" w:cs="Times New Roman"/>
                <w:sz w:val="24"/>
                <w:szCs w:val="24"/>
                <w:lang w:val="en-US"/>
              </w:rPr>
            </w:pPr>
            <w:r w:rsidRPr="0001651E">
              <w:rPr>
                <w:rFonts w:ascii="Times New Roman" w:hAnsi="Times New Roman" w:cs="Times New Roman"/>
                <w:sz w:val="24"/>
                <w:szCs w:val="24"/>
                <w:lang w:val="en-US"/>
              </w:rPr>
              <w:t xml:space="preserve">   No</w:t>
            </w:r>
          </w:p>
          <w:p w14:paraId="1D52305C" w14:textId="77777777" w:rsidR="00D65F86" w:rsidRPr="0001651E" w:rsidRDefault="00D65F86" w:rsidP="00532132">
            <w:pPr>
              <w:rPr>
                <w:rFonts w:ascii="Times New Roman" w:hAnsi="Times New Roman" w:cs="Times New Roman"/>
                <w:b w:val="0"/>
                <w:sz w:val="24"/>
                <w:szCs w:val="24"/>
                <w:lang w:val="en-US"/>
              </w:rPr>
            </w:pPr>
            <w:r w:rsidRPr="0001651E">
              <w:rPr>
                <w:rFonts w:ascii="Times New Roman" w:hAnsi="Times New Roman" w:cs="Times New Roman"/>
                <w:sz w:val="24"/>
                <w:szCs w:val="24"/>
                <w:lang w:val="en-US"/>
              </w:rPr>
              <w:t xml:space="preserve">   Yes</w:t>
            </w:r>
          </w:p>
        </w:tc>
        <w:tc>
          <w:tcPr>
            <w:tcW w:w="1417" w:type="dxa"/>
          </w:tcPr>
          <w:p w14:paraId="7515F596"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14:paraId="667B7639"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484 (71%)</w:t>
            </w:r>
          </w:p>
          <w:p w14:paraId="297356EE"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198 (29%)</w:t>
            </w:r>
          </w:p>
        </w:tc>
        <w:tc>
          <w:tcPr>
            <w:tcW w:w="1418" w:type="dxa"/>
          </w:tcPr>
          <w:p w14:paraId="48DAA35B"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6B9AB0F"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152 (93%)</w:t>
            </w:r>
          </w:p>
          <w:p w14:paraId="1BE41F7D"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12 (7%)</w:t>
            </w:r>
          </w:p>
        </w:tc>
        <w:tc>
          <w:tcPr>
            <w:tcW w:w="1417" w:type="dxa"/>
          </w:tcPr>
          <w:p w14:paraId="1998CB5D"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5BE772B"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170 (73%)</w:t>
            </w:r>
          </w:p>
          <w:p w14:paraId="46EE71EE"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62 (27%)</w:t>
            </w:r>
          </w:p>
        </w:tc>
        <w:tc>
          <w:tcPr>
            <w:tcW w:w="1418" w:type="dxa"/>
          </w:tcPr>
          <w:p w14:paraId="449591F9"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90DE77B"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162 (57%)</w:t>
            </w:r>
          </w:p>
          <w:p w14:paraId="65763458"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124 (43%)</w:t>
            </w:r>
          </w:p>
        </w:tc>
        <w:tc>
          <w:tcPr>
            <w:tcW w:w="959" w:type="dxa"/>
          </w:tcPr>
          <w:p w14:paraId="02C30BEF" w14:textId="77777777" w:rsidR="00D65F86" w:rsidRPr="0001651E" w:rsidRDefault="00D65F86"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FAD7BE3" w14:textId="48D1D885" w:rsidR="00D65F86" w:rsidRPr="0001651E" w:rsidRDefault="00FE5AC8" w:rsidP="005321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651E">
              <w:rPr>
                <w:rFonts w:ascii="Times New Roman" w:hAnsi="Times New Roman" w:cs="Times New Roman"/>
                <w:sz w:val="24"/>
                <w:szCs w:val="24"/>
              </w:rPr>
              <w:t>&lt;0.00</w:t>
            </w:r>
            <w:r w:rsidR="00D65F86" w:rsidRPr="0001651E">
              <w:rPr>
                <w:rFonts w:ascii="Times New Roman" w:hAnsi="Times New Roman" w:cs="Times New Roman"/>
                <w:sz w:val="24"/>
                <w:szCs w:val="24"/>
              </w:rPr>
              <w:t>1</w:t>
            </w:r>
          </w:p>
        </w:tc>
      </w:tr>
    </w:tbl>
    <w:p w14:paraId="1138A129" w14:textId="5BC9FD44" w:rsidR="00D65F86" w:rsidRPr="0001651E" w:rsidRDefault="00D65F86" w:rsidP="00A14B97">
      <w:pPr>
        <w:spacing w:after="0" w:line="480" w:lineRule="auto"/>
        <w:rPr>
          <w:rFonts w:ascii="Times New Roman" w:hAnsi="Times New Roman" w:cs="Times New Roman"/>
          <w:sz w:val="24"/>
          <w:szCs w:val="24"/>
          <w:lang w:val="en-US"/>
        </w:rPr>
      </w:pPr>
      <w:r w:rsidRPr="0001651E">
        <w:rPr>
          <w:rFonts w:ascii="Times New Roman" w:hAnsi="Times New Roman" w:cs="Times New Roman"/>
          <w:sz w:val="24"/>
          <w:szCs w:val="24"/>
          <w:vertAlign w:val="superscript"/>
          <w:lang w:val="en-US"/>
        </w:rPr>
        <w:t>1</w:t>
      </w:r>
      <w:r w:rsidR="009E5808" w:rsidRPr="0001651E">
        <w:rPr>
          <w:rFonts w:ascii="Times New Roman" w:hAnsi="Times New Roman" w:cs="Times New Roman"/>
          <w:sz w:val="24"/>
          <w:szCs w:val="24"/>
          <w:vertAlign w:val="superscript"/>
          <w:lang w:val="en-US"/>
        </w:rPr>
        <w:t xml:space="preserve"> </w:t>
      </w:r>
      <w:r w:rsidRPr="0001651E">
        <w:rPr>
          <w:rFonts w:ascii="Times New Roman" w:hAnsi="Times New Roman" w:cs="Times New Roman"/>
          <w:sz w:val="24"/>
          <w:szCs w:val="24"/>
          <w:lang w:val="en-US"/>
        </w:rPr>
        <w:t>Overall comparison of the three transplant periods</w:t>
      </w:r>
      <w:r w:rsidR="009E5808" w:rsidRPr="0001651E">
        <w:rPr>
          <w:rFonts w:ascii="Times New Roman" w:hAnsi="Times New Roman" w:cs="Times New Roman"/>
          <w:sz w:val="24"/>
          <w:szCs w:val="24"/>
          <w:lang w:val="en-US"/>
        </w:rPr>
        <w:t xml:space="preserve">; </w:t>
      </w:r>
    </w:p>
    <w:p w14:paraId="6D2AB271" w14:textId="7B6D8512" w:rsidR="009E5808" w:rsidRPr="0001651E" w:rsidRDefault="009E5808" w:rsidP="00A14B97">
      <w:pPr>
        <w:spacing w:after="0" w:line="480" w:lineRule="auto"/>
        <w:rPr>
          <w:rFonts w:ascii="Times New Roman" w:hAnsi="Times New Roman" w:cs="Times New Roman"/>
          <w:sz w:val="24"/>
          <w:szCs w:val="24"/>
          <w:lang w:val="en-US"/>
        </w:rPr>
      </w:pPr>
      <w:r w:rsidRPr="0001651E">
        <w:rPr>
          <w:rFonts w:ascii="Times New Roman" w:hAnsi="Times New Roman" w:cs="Times New Roman"/>
          <w:sz w:val="24"/>
          <w:szCs w:val="24"/>
          <w:vertAlign w:val="superscript"/>
          <w:lang w:val="en-US"/>
        </w:rPr>
        <w:t xml:space="preserve">2 </w:t>
      </w:r>
      <w:r w:rsidRPr="0001651E">
        <w:rPr>
          <w:rFonts w:ascii="Times New Roman" w:hAnsi="Times New Roman" w:cs="Times New Roman"/>
          <w:sz w:val="24"/>
          <w:szCs w:val="24"/>
          <w:lang w:val="en-US"/>
        </w:rPr>
        <w:t xml:space="preserve">Other myeloid malignancies includes myelofibrosis (n=10), </w:t>
      </w:r>
      <w:r w:rsidR="00E60697" w:rsidRPr="0001651E">
        <w:rPr>
          <w:rFonts w:ascii="Times New Roman" w:hAnsi="Times New Roman" w:cs="Times New Roman"/>
          <w:sz w:val="24"/>
          <w:szCs w:val="24"/>
          <w:lang w:val="en-US"/>
        </w:rPr>
        <w:t>undifferentiated AL</w:t>
      </w:r>
      <w:r w:rsidRPr="0001651E">
        <w:rPr>
          <w:rFonts w:ascii="Times New Roman" w:hAnsi="Times New Roman" w:cs="Times New Roman"/>
          <w:sz w:val="24"/>
          <w:szCs w:val="24"/>
          <w:lang w:val="en-US"/>
        </w:rPr>
        <w:t xml:space="preserve"> (n=6) and dendritic cell leukemia (n=2)</w:t>
      </w:r>
    </w:p>
    <w:p w14:paraId="1A0C87F3" w14:textId="60555A60" w:rsidR="009E5808" w:rsidRPr="0001651E" w:rsidRDefault="009E5808" w:rsidP="00A14B97">
      <w:pPr>
        <w:spacing w:after="0" w:line="480" w:lineRule="auto"/>
        <w:rPr>
          <w:rFonts w:ascii="Times New Roman" w:hAnsi="Times New Roman" w:cs="Times New Roman"/>
          <w:sz w:val="24"/>
          <w:szCs w:val="24"/>
          <w:lang w:val="en-US"/>
        </w:rPr>
      </w:pPr>
      <w:r w:rsidRPr="0001651E">
        <w:rPr>
          <w:rFonts w:ascii="Times New Roman" w:hAnsi="Times New Roman" w:cs="Times New Roman"/>
          <w:sz w:val="24"/>
          <w:szCs w:val="24"/>
          <w:vertAlign w:val="superscript"/>
          <w:lang w:val="en-US"/>
        </w:rPr>
        <w:t>3</w:t>
      </w:r>
      <w:r w:rsidRPr="0001651E">
        <w:rPr>
          <w:rFonts w:ascii="Times New Roman" w:hAnsi="Times New Roman" w:cs="Times New Roman"/>
          <w:sz w:val="24"/>
          <w:szCs w:val="24"/>
          <w:lang w:val="en-US"/>
        </w:rPr>
        <w:t xml:space="preserve"> Other lymphoid malignancies includes Burkitt lymphoma (n=4) and plasma cell leukemia (n=1)</w:t>
      </w:r>
    </w:p>
    <w:p w14:paraId="0E130808" w14:textId="60139DD9" w:rsidR="00FE5AC8" w:rsidRPr="0001651E" w:rsidRDefault="00FE5AC8" w:rsidP="00A14B97">
      <w:pPr>
        <w:spacing w:after="0" w:line="480" w:lineRule="auto"/>
        <w:rPr>
          <w:rFonts w:ascii="Times New Roman" w:hAnsi="Times New Roman" w:cs="Times New Roman"/>
          <w:sz w:val="24"/>
          <w:szCs w:val="24"/>
          <w:lang w:val="en-US"/>
        </w:rPr>
      </w:pPr>
      <w:r w:rsidRPr="0001651E">
        <w:rPr>
          <w:rFonts w:ascii="Times New Roman" w:hAnsi="Times New Roman" w:cs="Times New Roman"/>
          <w:sz w:val="24"/>
          <w:szCs w:val="24"/>
          <w:vertAlign w:val="superscript"/>
          <w:lang w:val="en-US"/>
        </w:rPr>
        <w:lastRenderedPageBreak/>
        <w:t>4</w:t>
      </w:r>
      <w:r w:rsidRPr="0001651E">
        <w:rPr>
          <w:rFonts w:ascii="Times New Roman" w:hAnsi="Times New Roman" w:cs="Times New Roman"/>
          <w:sz w:val="24"/>
          <w:szCs w:val="24"/>
          <w:lang w:val="en-US"/>
        </w:rPr>
        <w:t xml:space="preserve"> Missing in one patient who received first allotransplant in the period of 2007-2016.</w:t>
      </w:r>
    </w:p>
    <w:p w14:paraId="448B6854" w14:textId="77777777" w:rsidR="00D65F86" w:rsidRPr="0001651E" w:rsidRDefault="00D65F86" w:rsidP="00A14B97">
      <w:pPr>
        <w:spacing w:after="0" w:line="480" w:lineRule="auto"/>
        <w:rPr>
          <w:rFonts w:ascii="Times New Roman" w:hAnsi="Times New Roman" w:cs="Times New Roman"/>
          <w:sz w:val="24"/>
          <w:szCs w:val="24"/>
          <w:lang w:val="en-US"/>
        </w:rPr>
      </w:pPr>
    </w:p>
    <w:p w14:paraId="332E2E77" w14:textId="77777777" w:rsidR="00D65F86" w:rsidRPr="0001651E" w:rsidRDefault="00D65F86" w:rsidP="00A14B97">
      <w:pPr>
        <w:spacing w:after="0" w:line="480" w:lineRule="auto"/>
        <w:rPr>
          <w:rFonts w:ascii="Times New Roman" w:hAnsi="Times New Roman" w:cs="Times New Roman"/>
          <w:sz w:val="24"/>
          <w:szCs w:val="24"/>
          <w:lang w:val="en-US"/>
        </w:rPr>
      </w:pPr>
      <w:r w:rsidRPr="0001651E">
        <w:rPr>
          <w:rFonts w:ascii="Times New Roman" w:hAnsi="Times New Roman" w:cs="Times New Roman"/>
          <w:sz w:val="24"/>
          <w:szCs w:val="24"/>
          <w:lang w:val="en-US"/>
        </w:rPr>
        <w:t xml:space="preserve">Caption: </w:t>
      </w:r>
    </w:p>
    <w:p w14:paraId="024C7E6F" w14:textId="084A8FC4" w:rsidR="00791403" w:rsidRPr="0001651E" w:rsidRDefault="00D65F86" w:rsidP="00A14B97">
      <w:pPr>
        <w:spacing w:after="0" w:line="480" w:lineRule="auto"/>
        <w:rPr>
          <w:rFonts w:ascii="Times New Roman" w:hAnsi="Times New Roman" w:cs="Times New Roman"/>
          <w:sz w:val="24"/>
          <w:szCs w:val="24"/>
          <w:lang w:val="en-US"/>
        </w:rPr>
        <w:sectPr w:rsidR="00791403" w:rsidRPr="0001651E" w:rsidSect="00791403">
          <w:pgSz w:w="16838" w:h="11906" w:orient="landscape"/>
          <w:pgMar w:top="1440" w:right="2880" w:bottom="1440" w:left="2880" w:header="708" w:footer="708" w:gutter="0"/>
          <w:lnNumType w:countBy="1" w:restart="continuous"/>
          <w:cols w:space="708"/>
          <w:docGrid w:linePitch="360"/>
        </w:sectPr>
      </w:pPr>
      <w:r w:rsidRPr="0001651E">
        <w:rPr>
          <w:rFonts w:ascii="Times New Roman" w:hAnsi="Times New Roman" w:cs="Times New Roman"/>
          <w:sz w:val="24"/>
          <w:szCs w:val="24"/>
          <w:lang w:val="en-US"/>
        </w:rPr>
        <w:t xml:space="preserve">AML, acute myeloid leukemia; CML, chronic myeloid leukemia; MDS, myelodysplastic syndrome; CMML, chronic myelo monocytic leukemia; MPN, myeloproliferative neoplasm; ALL, acute lymphoblastic leukemia; CLL, chronic </w:t>
      </w:r>
      <w:r w:rsidRPr="005733B8">
        <w:rPr>
          <w:rFonts w:ascii="Times New Roman" w:hAnsi="Times New Roman" w:cs="Times New Roman"/>
          <w:color w:val="0070C0"/>
          <w:sz w:val="24"/>
          <w:szCs w:val="24"/>
          <w:lang w:val="en-US"/>
        </w:rPr>
        <w:t>lymphoc</w:t>
      </w:r>
      <w:r w:rsidR="005733B8" w:rsidRPr="005733B8">
        <w:rPr>
          <w:rFonts w:ascii="Times New Roman" w:hAnsi="Times New Roman" w:cs="Times New Roman"/>
          <w:color w:val="0070C0"/>
          <w:sz w:val="24"/>
          <w:szCs w:val="24"/>
          <w:lang w:val="en-US"/>
        </w:rPr>
        <w:t>y</w:t>
      </w:r>
      <w:r w:rsidRPr="005733B8">
        <w:rPr>
          <w:rFonts w:ascii="Times New Roman" w:hAnsi="Times New Roman" w:cs="Times New Roman"/>
          <w:color w:val="0070C0"/>
          <w:sz w:val="24"/>
          <w:szCs w:val="24"/>
          <w:lang w:val="en-US"/>
        </w:rPr>
        <w:t>t</w:t>
      </w:r>
      <w:r w:rsidR="005733B8" w:rsidRPr="005733B8">
        <w:rPr>
          <w:rFonts w:ascii="Times New Roman" w:hAnsi="Times New Roman" w:cs="Times New Roman"/>
          <w:color w:val="0070C0"/>
          <w:sz w:val="24"/>
          <w:szCs w:val="24"/>
          <w:lang w:val="en-US"/>
        </w:rPr>
        <w:t>i</w:t>
      </w:r>
      <w:r w:rsidRPr="005733B8">
        <w:rPr>
          <w:rFonts w:ascii="Times New Roman" w:hAnsi="Times New Roman" w:cs="Times New Roman"/>
          <w:color w:val="0070C0"/>
          <w:sz w:val="24"/>
          <w:szCs w:val="24"/>
          <w:lang w:val="en-US"/>
        </w:rPr>
        <w:t>c</w:t>
      </w:r>
      <w:r w:rsidRPr="0001651E">
        <w:rPr>
          <w:rFonts w:ascii="Times New Roman" w:hAnsi="Times New Roman" w:cs="Times New Roman"/>
          <w:sz w:val="24"/>
          <w:szCs w:val="24"/>
          <w:lang w:val="en-US"/>
        </w:rPr>
        <w:t xml:space="preserve"> leukemia; MM, multiple myeloma; PBSC, peripheral blood stem cells; CB, cord blood; TBI, total body irradiation; ATG, antithymocyte globulin</w:t>
      </w:r>
    </w:p>
    <w:p w14:paraId="7862A53F" w14:textId="237AB469" w:rsidR="00FC1E38" w:rsidRPr="00D65F86" w:rsidRDefault="00FC1E38" w:rsidP="00A14B97">
      <w:pPr>
        <w:spacing w:after="0" w:line="480" w:lineRule="auto"/>
        <w:rPr>
          <w:rFonts w:ascii="Times New Roman" w:hAnsi="Times New Roman" w:cs="Times New Roman"/>
          <w:sz w:val="24"/>
          <w:szCs w:val="24"/>
          <w:lang w:val="en-US"/>
        </w:rPr>
      </w:pPr>
    </w:p>
    <w:p w14:paraId="3BC6268A" w14:textId="2275872A" w:rsidR="00FC1E38" w:rsidRPr="0001651E" w:rsidRDefault="00FC1E38" w:rsidP="00A14B97">
      <w:pPr>
        <w:spacing w:before="80" w:after="80" w:line="480" w:lineRule="auto"/>
        <w:jc w:val="both"/>
        <w:rPr>
          <w:rFonts w:ascii="Times New Roman" w:hAnsi="Times New Roman" w:cs="Times New Roman"/>
          <w:sz w:val="24"/>
          <w:szCs w:val="24"/>
          <w:lang w:val="en-US"/>
        </w:rPr>
      </w:pPr>
      <w:r w:rsidRPr="0001651E">
        <w:rPr>
          <w:rFonts w:ascii="Times New Roman" w:hAnsi="Times New Roman" w:cs="Times New Roman"/>
          <w:sz w:val="24"/>
          <w:szCs w:val="24"/>
          <w:lang w:val="en-US"/>
        </w:rPr>
        <w:t>Table 2. Causes of death</w:t>
      </w:r>
    </w:p>
    <w:tbl>
      <w:tblPr>
        <w:tblStyle w:val="Tabelacomgrelha"/>
        <w:tblW w:w="8506" w:type="dxa"/>
        <w:tblInd w:w="-709" w:type="dxa"/>
        <w:tblBorders>
          <w:top w:val="single" w:sz="8" w:space="0" w:color="auto"/>
          <w:left w:val="none" w:sz="0" w:space="0" w:color="auto"/>
          <w:bottom w:val="none" w:sz="0" w:space="0" w:color="auto"/>
          <w:right w:val="none" w:sz="0" w:space="0" w:color="auto"/>
          <w:insideH w:val="single" w:sz="8" w:space="0" w:color="auto"/>
          <w:insideV w:val="none" w:sz="0" w:space="0" w:color="auto"/>
        </w:tblBorders>
        <w:tblLook w:val="04A0" w:firstRow="1" w:lastRow="0" w:firstColumn="1" w:lastColumn="0" w:noHBand="0" w:noVBand="1"/>
      </w:tblPr>
      <w:tblGrid>
        <w:gridCol w:w="2694"/>
        <w:gridCol w:w="1453"/>
        <w:gridCol w:w="1453"/>
        <w:gridCol w:w="1453"/>
        <w:gridCol w:w="1453"/>
      </w:tblGrid>
      <w:tr w:rsidR="00D65F86" w:rsidRPr="0001651E" w14:paraId="40CEE5E7" w14:textId="77777777" w:rsidTr="0001651E">
        <w:trPr>
          <w:trHeight w:val="424"/>
        </w:trPr>
        <w:tc>
          <w:tcPr>
            <w:tcW w:w="2694" w:type="dxa"/>
          </w:tcPr>
          <w:p w14:paraId="6A0572E7" w14:textId="77777777" w:rsidR="00D65F86" w:rsidRPr="0001651E" w:rsidRDefault="00D65F86" w:rsidP="00656980">
            <w:pPr>
              <w:jc w:val="center"/>
              <w:rPr>
                <w:rFonts w:ascii="Times New Roman" w:hAnsi="Times New Roman" w:cs="Times New Roman"/>
                <w:sz w:val="24"/>
                <w:szCs w:val="24"/>
              </w:rPr>
            </w:pPr>
          </w:p>
        </w:tc>
        <w:tc>
          <w:tcPr>
            <w:tcW w:w="1453" w:type="dxa"/>
          </w:tcPr>
          <w:p w14:paraId="6E15F396" w14:textId="77777777" w:rsidR="00D65F86" w:rsidRPr="0001651E" w:rsidRDefault="00D65F86" w:rsidP="00656980">
            <w:pPr>
              <w:jc w:val="center"/>
              <w:rPr>
                <w:rFonts w:ascii="Times New Roman" w:hAnsi="Times New Roman" w:cs="Times New Roman"/>
                <w:b/>
                <w:sz w:val="24"/>
                <w:szCs w:val="24"/>
              </w:rPr>
            </w:pPr>
            <w:r w:rsidRPr="0001651E">
              <w:rPr>
                <w:rFonts w:ascii="Times New Roman" w:hAnsi="Times New Roman" w:cs="Times New Roman"/>
                <w:b/>
                <w:sz w:val="24"/>
                <w:szCs w:val="24"/>
              </w:rPr>
              <w:t>All patients</w:t>
            </w:r>
          </w:p>
        </w:tc>
        <w:tc>
          <w:tcPr>
            <w:tcW w:w="1453" w:type="dxa"/>
          </w:tcPr>
          <w:p w14:paraId="5B2EC25E" w14:textId="77777777" w:rsidR="00D65F86" w:rsidRPr="0001651E" w:rsidRDefault="00D65F86" w:rsidP="00656980">
            <w:pPr>
              <w:jc w:val="center"/>
              <w:rPr>
                <w:rFonts w:ascii="Times New Roman" w:hAnsi="Times New Roman" w:cs="Times New Roman"/>
                <w:b/>
                <w:sz w:val="24"/>
                <w:szCs w:val="24"/>
              </w:rPr>
            </w:pPr>
            <w:r w:rsidRPr="0001651E">
              <w:rPr>
                <w:rFonts w:ascii="Times New Roman" w:hAnsi="Times New Roman" w:cs="Times New Roman"/>
                <w:b/>
                <w:sz w:val="24"/>
                <w:szCs w:val="24"/>
              </w:rPr>
              <w:t>1987 – 1997</w:t>
            </w:r>
          </w:p>
        </w:tc>
        <w:tc>
          <w:tcPr>
            <w:tcW w:w="1453" w:type="dxa"/>
          </w:tcPr>
          <w:p w14:paraId="2BE37A2C" w14:textId="77777777" w:rsidR="00D65F86" w:rsidRPr="0001651E" w:rsidRDefault="00D65F86" w:rsidP="00656980">
            <w:pPr>
              <w:jc w:val="center"/>
              <w:rPr>
                <w:rFonts w:ascii="Times New Roman" w:hAnsi="Times New Roman" w:cs="Times New Roman"/>
                <w:b/>
                <w:sz w:val="24"/>
                <w:szCs w:val="24"/>
              </w:rPr>
            </w:pPr>
            <w:r w:rsidRPr="0001651E">
              <w:rPr>
                <w:rFonts w:ascii="Times New Roman" w:hAnsi="Times New Roman" w:cs="Times New Roman"/>
                <w:b/>
                <w:sz w:val="24"/>
                <w:szCs w:val="24"/>
              </w:rPr>
              <w:t>1997 – 2007</w:t>
            </w:r>
          </w:p>
        </w:tc>
        <w:tc>
          <w:tcPr>
            <w:tcW w:w="1453" w:type="dxa"/>
          </w:tcPr>
          <w:p w14:paraId="50D2C4A6" w14:textId="77777777" w:rsidR="00D65F86" w:rsidRPr="0001651E" w:rsidRDefault="00D65F86" w:rsidP="00656980">
            <w:pPr>
              <w:jc w:val="center"/>
              <w:rPr>
                <w:rFonts w:ascii="Times New Roman" w:hAnsi="Times New Roman" w:cs="Times New Roman"/>
                <w:b/>
                <w:sz w:val="24"/>
                <w:szCs w:val="24"/>
              </w:rPr>
            </w:pPr>
            <w:r w:rsidRPr="0001651E">
              <w:rPr>
                <w:rFonts w:ascii="Times New Roman" w:hAnsi="Times New Roman" w:cs="Times New Roman"/>
                <w:b/>
                <w:sz w:val="24"/>
                <w:szCs w:val="24"/>
              </w:rPr>
              <w:t>2007 - 2016</w:t>
            </w:r>
          </w:p>
        </w:tc>
      </w:tr>
      <w:tr w:rsidR="00D65F86" w:rsidRPr="0001651E" w14:paraId="7747412A" w14:textId="77777777" w:rsidTr="0001651E">
        <w:tc>
          <w:tcPr>
            <w:tcW w:w="2694" w:type="dxa"/>
          </w:tcPr>
          <w:p w14:paraId="5C56A156" w14:textId="77777777" w:rsidR="00D65F86" w:rsidRPr="0001651E" w:rsidRDefault="00D65F86" w:rsidP="0001651E">
            <w:pPr>
              <w:rPr>
                <w:rFonts w:ascii="Times New Roman" w:hAnsi="Times New Roman" w:cs="Times New Roman"/>
                <w:b/>
                <w:sz w:val="24"/>
                <w:szCs w:val="24"/>
              </w:rPr>
            </w:pPr>
            <w:r w:rsidRPr="0001651E">
              <w:rPr>
                <w:rFonts w:ascii="Times New Roman" w:hAnsi="Times New Roman" w:cs="Times New Roman"/>
                <w:b/>
                <w:sz w:val="24"/>
                <w:szCs w:val="24"/>
              </w:rPr>
              <w:t>N</w:t>
            </w:r>
          </w:p>
        </w:tc>
        <w:tc>
          <w:tcPr>
            <w:tcW w:w="1453" w:type="dxa"/>
          </w:tcPr>
          <w:p w14:paraId="027858F5" w14:textId="77777777" w:rsidR="00D65F86" w:rsidRPr="0001651E" w:rsidRDefault="00D65F86" w:rsidP="00656980">
            <w:pPr>
              <w:jc w:val="center"/>
              <w:rPr>
                <w:rFonts w:ascii="Times New Roman" w:hAnsi="Times New Roman" w:cs="Times New Roman"/>
                <w:sz w:val="24"/>
                <w:szCs w:val="24"/>
              </w:rPr>
            </w:pPr>
            <w:r w:rsidRPr="0001651E">
              <w:rPr>
                <w:rFonts w:ascii="Times New Roman" w:hAnsi="Times New Roman" w:cs="Times New Roman"/>
                <w:sz w:val="24"/>
                <w:szCs w:val="24"/>
              </w:rPr>
              <w:t>310</w:t>
            </w:r>
          </w:p>
        </w:tc>
        <w:tc>
          <w:tcPr>
            <w:tcW w:w="1453" w:type="dxa"/>
          </w:tcPr>
          <w:p w14:paraId="5DF95404" w14:textId="77777777" w:rsidR="00D65F86" w:rsidRPr="0001651E" w:rsidRDefault="00D65F86" w:rsidP="00656980">
            <w:pPr>
              <w:jc w:val="center"/>
              <w:rPr>
                <w:rFonts w:ascii="Times New Roman" w:hAnsi="Times New Roman" w:cs="Times New Roman"/>
                <w:sz w:val="24"/>
                <w:szCs w:val="24"/>
              </w:rPr>
            </w:pPr>
            <w:r w:rsidRPr="0001651E">
              <w:rPr>
                <w:rFonts w:ascii="Times New Roman" w:hAnsi="Times New Roman" w:cs="Times New Roman"/>
                <w:sz w:val="24"/>
                <w:szCs w:val="24"/>
              </w:rPr>
              <w:t>84</w:t>
            </w:r>
          </w:p>
        </w:tc>
        <w:tc>
          <w:tcPr>
            <w:tcW w:w="1453" w:type="dxa"/>
          </w:tcPr>
          <w:p w14:paraId="41191351" w14:textId="77777777" w:rsidR="00D65F86" w:rsidRPr="0001651E" w:rsidRDefault="00D65F86" w:rsidP="00656980">
            <w:pPr>
              <w:jc w:val="center"/>
              <w:rPr>
                <w:rFonts w:ascii="Times New Roman" w:hAnsi="Times New Roman" w:cs="Times New Roman"/>
                <w:sz w:val="24"/>
                <w:szCs w:val="24"/>
              </w:rPr>
            </w:pPr>
            <w:r w:rsidRPr="0001651E">
              <w:rPr>
                <w:rFonts w:ascii="Times New Roman" w:hAnsi="Times New Roman" w:cs="Times New Roman"/>
                <w:sz w:val="24"/>
                <w:szCs w:val="24"/>
              </w:rPr>
              <w:t>119</w:t>
            </w:r>
          </w:p>
        </w:tc>
        <w:tc>
          <w:tcPr>
            <w:tcW w:w="1453" w:type="dxa"/>
          </w:tcPr>
          <w:p w14:paraId="7A06F08D" w14:textId="77777777" w:rsidR="00D65F86" w:rsidRPr="0001651E" w:rsidRDefault="00D65F86" w:rsidP="00656980">
            <w:pPr>
              <w:jc w:val="center"/>
              <w:rPr>
                <w:rFonts w:ascii="Times New Roman" w:hAnsi="Times New Roman" w:cs="Times New Roman"/>
                <w:sz w:val="24"/>
                <w:szCs w:val="24"/>
              </w:rPr>
            </w:pPr>
            <w:r w:rsidRPr="0001651E">
              <w:rPr>
                <w:rFonts w:ascii="Times New Roman" w:hAnsi="Times New Roman" w:cs="Times New Roman"/>
                <w:sz w:val="24"/>
                <w:szCs w:val="24"/>
              </w:rPr>
              <w:t>107</w:t>
            </w:r>
          </w:p>
        </w:tc>
      </w:tr>
      <w:tr w:rsidR="00D65F86" w:rsidRPr="0001651E" w14:paraId="306A078E" w14:textId="77777777" w:rsidTr="0001651E">
        <w:tc>
          <w:tcPr>
            <w:tcW w:w="2694" w:type="dxa"/>
          </w:tcPr>
          <w:p w14:paraId="039BD07D" w14:textId="77777777" w:rsidR="00D65F86" w:rsidRPr="0001651E" w:rsidRDefault="00D65F86" w:rsidP="0001651E">
            <w:pPr>
              <w:rPr>
                <w:rFonts w:ascii="Times New Roman" w:hAnsi="Times New Roman" w:cs="Times New Roman"/>
                <w:b/>
                <w:sz w:val="24"/>
                <w:szCs w:val="24"/>
              </w:rPr>
            </w:pPr>
            <w:r w:rsidRPr="0001651E">
              <w:rPr>
                <w:rFonts w:ascii="Times New Roman" w:hAnsi="Times New Roman" w:cs="Times New Roman"/>
                <w:b/>
                <w:sz w:val="24"/>
                <w:szCs w:val="24"/>
              </w:rPr>
              <w:t>Relapse/Progression</w:t>
            </w:r>
          </w:p>
        </w:tc>
        <w:tc>
          <w:tcPr>
            <w:tcW w:w="1453" w:type="dxa"/>
          </w:tcPr>
          <w:p w14:paraId="0B99F200" w14:textId="77777777" w:rsidR="00D65F86" w:rsidRPr="0001651E" w:rsidRDefault="00D65F86" w:rsidP="00656980">
            <w:pPr>
              <w:jc w:val="center"/>
              <w:rPr>
                <w:rFonts w:ascii="Times New Roman" w:hAnsi="Times New Roman" w:cs="Times New Roman"/>
                <w:sz w:val="24"/>
                <w:szCs w:val="24"/>
              </w:rPr>
            </w:pPr>
            <w:r w:rsidRPr="0001651E">
              <w:rPr>
                <w:rFonts w:ascii="Times New Roman" w:hAnsi="Times New Roman" w:cs="Times New Roman"/>
                <w:sz w:val="24"/>
                <w:szCs w:val="24"/>
              </w:rPr>
              <w:t>138 (45%)</w:t>
            </w:r>
          </w:p>
        </w:tc>
        <w:tc>
          <w:tcPr>
            <w:tcW w:w="1453" w:type="dxa"/>
          </w:tcPr>
          <w:p w14:paraId="2BE5B262" w14:textId="77777777" w:rsidR="00D65F86" w:rsidRPr="0001651E" w:rsidRDefault="00D65F86" w:rsidP="00656980">
            <w:pPr>
              <w:jc w:val="center"/>
              <w:rPr>
                <w:rFonts w:ascii="Times New Roman" w:hAnsi="Times New Roman" w:cs="Times New Roman"/>
                <w:sz w:val="24"/>
                <w:szCs w:val="24"/>
              </w:rPr>
            </w:pPr>
            <w:r w:rsidRPr="0001651E">
              <w:rPr>
                <w:rFonts w:ascii="Times New Roman" w:hAnsi="Times New Roman" w:cs="Times New Roman"/>
                <w:sz w:val="24"/>
                <w:szCs w:val="24"/>
              </w:rPr>
              <w:t>26 (31%)</w:t>
            </w:r>
          </w:p>
        </w:tc>
        <w:tc>
          <w:tcPr>
            <w:tcW w:w="1453" w:type="dxa"/>
          </w:tcPr>
          <w:p w14:paraId="25F91EEA" w14:textId="77777777" w:rsidR="00D65F86" w:rsidRPr="0001651E" w:rsidRDefault="00D65F86" w:rsidP="00656980">
            <w:pPr>
              <w:jc w:val="center"/>
              <w:rPr>
                <w:rFonts w:ascii="Times New Roman" w:hAnsi="Times New Roman" w:cs="Times New Roman"/>
                <w:sz w:val="24"/>
                <w:szCs w:val="24"/>
              </w:rPr>
            </w:pPr>
            <w:r w:rsidRPr="0001651E">
              <w:rPr>
                <w:rFonts w:ascii="Times New Roman" w:hAnsi="Times New Roman" w:cs="Times New Roman"/>
                <w:sz w:val="24"/>
                <w:szCs w:val="24"/>
              </w:rPr>
              <w:t>58 (49%)</w:t>
            </w:r>
          </w:p>
        </w:tc>
        <w:tc>
          <w:tcPr>
            <w:tcW w:w="1453" w:type="dxa"/>
          </w:tcPr>
          <w:p w14:paraId="6123AB28" w14:textId="76211DC0" w:rsidR="00D65F86" w:rsidRPr="0001651E" w:rsidRDefault="00D65F86" w:rsidP="00656980">
            <w:pPr>
              <w:jc w:val="center"/>
              <w:rPr>
                <w:rFonts w:ascii="Times New Roman" w:hAnsi="Times New Roman" w:cs="Times New Roman"/>
                <w:sz w:val="24"/>
                <w:szCs w:val="24"/>
              </w:rPr>
            </w:pPr>
            <w:r w:rsidRPr="0001651E">
              <w:rPr>
                <w:rFonts w:ascii="Times New Roman" w:hAnsi="Times New Roman" w:cs="Times New Roman"/>
                <w:sz w:val="24"/>
                <w:szCs w:val="24"/>
              </w:rPr>
              <w:t>54 (</w:t>
            </w:r>
            <w:r w:rsidR="0095478D" w:rsidRPr="0001651E">
              <w:rPr>
                <w:rFonts w:ascii="Times New Roman" w:hAnsi="Times New Roman" w:cs="Times New Roman"/>
                <w:sz w:val="24"/>
                <w:szCs w:val="24"/>
              </w:rPr>
              <w:t>51</w:t>
            </w:r>
            <w:r w:rsidRPr="0001651E">
              <w:rPr>
                <w:rFonts w:ascii="Times New Roman" w:hAnsi="Times New Roman" w:cs="Times New Roman"/>
                <w:sz w:val="24"/>
                <w:szCs w:val="24"/>
              </w:rPr>
              <w:t>%)</w:t>
            </w:r>
          </w:p>
        </w:tc>
      </w:tr>
      <w:tr w:rsidR="00D65F86" w:rsidRPr="0001651E" w14:paraId="1452D217" w14:textId="77777777" w:rsidTr="0001651E">
        <w:tc>
          <w:tcPr>
            <w:tcW w:w="2694" w:type="dxa"/>
          </w:tcPr>
          <w:p w14:paraId="6EB0AD3F" w14:textId="77777777" w:rsidR="00D65F86" w:rsidRPr="0001651E" w:rsidRDefault="00D65F86" w:rsidP="0001651E">
            <w:pPr>
              <w:rPr>
                <w:rFonts w:ascii="Times New Roman" w:hAnsi="Times New Roman" w:cs="Times New Roman"/>
                <w:b/>
                <w:sz w:val="24"/>
                <w:szCs w:val="24"/>
              </w:rPr>
            </w:pPr>
            <w:r w:rsidRPr="0001651E">
              <w:rPr>
                <w:rFonts w:ascii="Times New Roman" w:hAnsi="Times New Roman" w:cs="Times New Roman"/>
                <w:b/>
                <w:sz w:val="24"/>
                <w:szCs w:val="24"/>
              </w:rPr>
              <w:t>HSCT related causes</w:t>
            </w:r>
          </w:p>
        </w:tc>
        <w:tc>
          <w:tcPr>
            <w:tcW w:w="1453" w:type="dxa"/>
          </w:tcPr>
          <w:p w14:paraId="0AF341DA" w14:textId="77777777" w:rsidR="00D65F86" w:rsidRPr="0001651E" w:rsidRDefault="00D65F86" w:rsidP="00656980">
            <w:pPr>
              <w:jc w:val="center"/>
              <w:rPr>
                <w:rFonts w:ascii="Times New Roman" w:hAnsi="Times New Roman" w:cs="Times New Roman"/>
                <w:sz w:val="24"/>
                <w:szCs w:val="24"/>
              </w:rPr>
            </w:pPr>
            <w:r w:rsidRPr="0001651E">
              <w:rPr>
                <w:rFonts w:ascii="Times New Roman" w:hAnsi="Times New Roman" w:cs="Times New Roman"/>
                <w:sz w:val="24"/>
                <w:szCs w:val="24"/>
              </w:rPr>
              <w:t>169 (55%)</w:t>
            </w:r>
          </w:p>
        </w:tc>
        <w:tc>
          <w:tcPr>
            <w:tcW w:w="1453" w:type="dxa"/>
          </w:tcPr>
          <w:p w14:paraId="3131F454" w14:textId="4890DC0C" w:rsidR="00D65F86" w:rsidRPr="0001651E" w:rsidRDefault="00D65F86" w:rsidP="00656980">
            <w:pPr>
              <w:jc w:val="center"/>
              <w:rPr>
                <w:rFonts w:ascii="Times New Roman" w:hAnsi="Times New Roman" w:cs="Times New Roman"/>
                <w:sz w:val="24"/>
                <w:szCs w:val="24"/>
              </w:rPr>
            </w:pPr>
            <w:r w:rsidRPr="0001651E">
              <w:rPr>
                <w:rFonts w:ascii="Times New Roman" w:hAnsi="Times New Roman" w:cs="Times New Roman"/>
                <w:sz w:val="24"/>
                <w:szCs w:val="24"/>
              </w:rPr>
              <w:t>5</w:t>
            </w:r>
            <w:r w:rsidR="0043514B" w:rsidRPr="0001651E">
              <w:rPr>
                <w:rFonts w:ascii="Times New Roman" w:hAnsi="Times New Roman" w:cs="Times New Roman"/>
                <w:sz w:val="24"/>
                <w:szCs w:val="24"/>
              </w:rPr>
              <w:t>7</w:t>
            </w:r>
            <w:r w:rsidR="00C73EB2" w:rsidRPr="0001651E">
              <w:rPr>
                <w:rFonts w:ascii="Times New Roman" w:hAnsi="Times New Roman" w:cs="Times New Roman"/>
                <w:sz w:val="24"/>
                <w:szCs w:val="24"/>
              </w:rPr>
              <w:t xml:space="preserve"> (69%)</w:t>
            </w:r>
          </w:p>
        </w:tc>
        <w:tc>
          <w:tcPr>
            <w:tcW w:w="1453" w:type="dxa"/>
          </w:tcPr>
          <w:p w14:paraId="647713D4" w14:textId="608798E2" w:rsidR="00D65F86" w:rsidRPr="0001651E" w:rsidRDefault="00D65F86" w:rsidP="00656980">
            <w:pPr>
              <w:jc w:val="center"/>
              <w:rPr>
                <w:rFonts w:ascii="Times New Roman" w:hAnsi="Times New Roman" w:cs="Times New Roman"/>
                <w:sz w:val="24"/>
                <w:szCs w:val="24"/>
              </w:rPr>
            </w:pPr>
            <w:r w:rsidRPr="0001651E">
              <w:rPr>
                <w:rFonts w:ascii="Times New Roman" w:hAnsi="Times New Roman" w:cs="Times New Roman"/>
                <w:sz w:val="24"/>
                <w:szCs w:val="24"/>
              </w:rPr>
              <w:t>59</w:t>
            </w:r>
            <w:r w:rsidR="00C73EB2" w:rsidRPr="0001651E">
              <w:rPr>
                <w:rFonts w:ascii="Times New Roman" w:hAnsi="Times New Roman" w:cs="Times New Roman"/>
                <w:sz w:val="24"/>
                <w:szCs w:val="24"/>
              </w:rPr>
              <w:t xml:space="preserve"> (50%)</w:t>
            </w:r>
          </w:p>
        </w:tc>
        <w:tc>
          <w:tcPr>
            <w:tcW w:w="1453" w:type="dxa"/>
          </w:tcPr>
          <w:p w14:paraId="474099A3" w14:textId="2EC2E2B7" w:rsidR="00D65F86" w:rsidRPr="0001651E" w:rsidRDefault="0095478D" w:rsidP="00656980">
            <w:pPr>
              <w:jc w:val="center"/>
              <w:rPr>
                <w:rFonts w:ascii="Times New Roman" w:hAnsi="Times New Roman" w:cs="Times New Roman"/>
                <w:sz w:val="24"/>
                <w:szCs w:val="24"/>
              </w:rPr>
            </w:pPr>
            <w:r w:rsidRPr="0001651E">
              <w:rPr>
                <w:rFonts w:ascii="Times New Roman" w:hAnsi="Times New Roman" w:cs="Times New Roman"/>
                <w:sz w:val="24"/>
                <w:szCs w:val="24"/>
              </w:rPr>
              <w:t>5</w:t>
            </w:r>
            <w:r w:rsidR="0043514B" w:rsidRPr="0001651E">
              <w:rPr>
                <w:rFonts w:ascii="Times New Roman" w:hAnsi="Times New Roman" w:cs="Times New Roman"/>
                <w:sz w:val="24"/>
                <w:szCs w:val="24"/>
              </w:rPr>
              <w:t>3</w:t>
            </w:r>
            <w:r w:rsidRPr="0001651E">
              <w:rPr>
                <w:rFonts w:ascii="Times New Roman" w:hAnsi="Times New Roman" w:cs="Times New Roman"/>
                <w:sz w:val="24"/>
                <w:szCs w:val="24"/>
              </w:rPr>
              <w:t xml:space="preserve"> </w:t>
            </w:r>
            <w:r w:rsidR="00C73EB2" w:rsidRPr="0001651E">
              <w:rPr>
                <w:rFonts w:ascii="Times New Roman" w:hAnsi="Times New Roman" w:cs="Times New Roman"/>
                <w:sz w:val="24"/>
                <w:szCs w:val="24"/>
              </w:rPr>
              <w:t>(49%)</w:t>
            </w:r>
          </w:p>
        </w:tc>
      </w:tr>
      <w:tr w:rsidR="00D65F86" w:rsidRPr="0001651E" w14:paraId="04341126" w14:textId="77777777" w:rsidTr="0001651E">
        <w:tc>
          <w:tcPr>
            <w:tcW w:w="2694" w:type="dxa"/>
          </w:tcPr>
          <w:p w14:paraId="485287F5" w14:textId="77777777" w:rsidR="00D65F86" w:rsidRPr="0001651E" w:rsidRDefault="00D65F86" w:rsidP="0001651E">
            <w:pPr>
              <w:rPr>
                <w:rFonts w:ascii="Times New Roman" w:hAnsi="Times New Roman" w:cs="Times New Roman"/>
                <w:sz w:val="24"/>
                <w:szCs w:val="24"/>
              </w:rPr>
            </w:pPr>
            <w:r w:rsidRPr="0001651E">
              <w:rPr>
                <w:rFonts w:ascii="Times New Roman" w:hAnsi="Times New Roman" w:cs="Times New Roman"/>
                <w:sz w:val="24"/>
                <w:szCs w:val="24"/>
              </w:rPr>
              <w:t>Infection</w:t>
            </w:r>
          </w:p>
        </w:tc>
        <w:tc>
          <w:tcPr>
            <w:tcW w:w="1453" w:type="dxa"/>
          </w:tcPr>
          <w:p w14:paraId="2136A669" w14:textId="268475D2" w:rsidR="00D65F86" w:rsidRPr="0001651E" w:rsidRDefault="0043514B" w:rsidP="00656980">
            <w:pPr>
              <w:jc w:val="center"/>
              <w:rPr>
                <w:rFonts w:ascii="Times New Roman" w:hAnsi="Times New Roman" w:cs="Times New Roman"/>
                <w:sz w:val="24"/>
                <w:szCs w:val="24"/>
              </w:rPr>
            </w:pPr>
            <w:r w:rsidRPr="0001651E">
              <w:rPr>
                <w:rFonts w:ascii="Times New Roman" w:hAnsi="Times New Roman" w:cs="Times New Roman"/>
                <w:sz w:val="24"/>
                <w:szCs w:val="24"/>
              </w:rPr>
              <w:t>30</w:t>
            </w:r>
          </w:p>
        </w:tc>
        <w:tc>
          <w:tcPr>
            <w:tcW w:w="1453" w:type="dxa"/>
          </w:tcPr>
          <w:p w14:paraId="489ACCE8" w14:textId="261C1C92" w:rsidR="00D65F86" w:rsidRPr="0001651E" w:rsidRDefault="0043514B" w:rsidP="00656980">
            <w:pPr>
              <w:jc w:val="center"/>
              <w:rPr>
                <w:rFonts w:ascii="Times New Roman" w:hAnsi="Times New Roman" w:cs="Times New Roman"/>
                <w:sz w:val="24"/>
                <w:szCs w:val="24"/>
              </w:rPr>
            </w:pPr>
            <w:r w:rsidRPr="0001651E">
              <w:rPr>
                <w:rFonts w:ascii="Times New Roman" w:hAnsi="Times New Roman" w:cs="Times New Roman"/>
                <w:sz w:val="24"/>
                <w:szCs w:val="24"/>
              </w:rPr>
              <w:t>7</w:t>
            </w:r>
          </w:p>
        </w:tc>
        <w:tc>
          <w:tcPr>
            <w:tcW w:w="1453" w:type="dxa"/>
          </w:tcPr>
          <w:p w14:paraId="75B3B40C" w14:textId="77777777" w:rsidR="00D65F86" w:rsidRPr="0001651E" w:rsidRDefault="00D65F86" w:rsidP="00656980">
            <w:pPr>
              <w:jc w:val="center"/>
              <w:rPr>
                <w:rFonts w:ascii="Times New Roman" w:hAnsi="Times New Roman" w:cs="Times New Roman"/>
                <w:sz w:val="24"/>
                <w:szCs w:val="24"/>
              </w:rPr>
            </w:pPr>
            <w:r w:rsidRPr="0001651E">
              <w:rPr>
                <w:rFonts w:ascii="Times New Roman" w:hAnsi="Times New Roman" w:cs="Times New Roman"/>
                <w:sz w:val="24"/>
                <w:szCs w:val="24"/>
              </w:rPr>
              <w:t>11</w:t>
            </w:r>
          </w:p>
        </w:tc>
        <w:tc>
          <w:tcPr>
            <w:tcW w:w="1453" w:type="dxa"/>
          </w:tcPr>
          <w:p w14:paraId="0A0F336A" w14:textId="074C912F" w:rsidR="00D65F86" w:rsidRPr="0001651E" w:rsidRDefault="0043514B" w:rsidP="00656980">
            <w:pPr>
              <w:jc w:val="center"/>
              <w:rPr>
                <w:rFonts w:ascii="Times New Roman" w:hAnsi="Times New Roman" w:cs="Times New Roman"/>
                <w:sz w:val="24"/>
                <w:szCs w:val="24"/>
              </w:rPr>
            </w:pPr>
            <w:r w:rsidRPr="0001651E">
              <w:rPr>
                <w:rFonts w:ascii="Times New Roman" w:hAnsi="Times New Roman" w:cs="Times New Roman"/>
                <w:sz w:val="24"/>
                <w:szCs w:val="24"/>
              </w:rPr>
              <w:t>12</w:t>
            </w:r>
          </w:p>
        </w:tc>
      </w:tr>
      <w:tr w:rsidR="00D65F86" w:rsidRPr="0001651E" w14:paraId="54940473" w14:textId="77777777" w:rsidTr="0001651E">
        <w:tc>
          <w:tcPr>
            <w:tcW w:w="2694" w:type="dxa"/>
          </w:tcPr>
          <w:p w14:paraId="5C8295A7" w14:textId="77777777" w:rsidR="00D65F86" w:rsidRPr="0001651E" w:rsidRDefault="00D65F86" w:rsidP="0001651E">
            <w:pPr>
              <w:rPr>
                <w:rFonts w:ascii="Times New Roman" w:hAnsi="Times New Roman" w:cs="Times New Roman"/>
                <w:sz w:val="24"/>
                <w:szCs w:val="24"/>
              </w:rPr>
            </w:pPr>
            <w:r w:rsidRPr="0001651E">
              <w:rPr>
                <w:rFonts w:ascii="Times New Roman" w:hAnsi="Times New Roman" w:cs="Times New Roman"/>
                <w:sz w:val="24"/>
                <w:szCs w:val="24"/>
              </w:rPr>
              <w:t>GVHD</w:t>
            </w:r>
          </w:p>
        </w:tc>
        <w:tc>
          <w:tcPr>
            <w:tcW w:w="1453" w:type="dxa"/>
          </w:tcPr>
          <w:p w14:paraId="18B40003" w14:textId="5E379302" w:rsidR="00D65F86" w:rsidRPr="0001651E" w:rsidRDefault="00D65F86" w:rsidP="00656980">
            <w:pPr>
              <w:jc w:val="center"/>
              <w:rPr>
                <w:rFonts w:ascii="Times New Roman" w:hAnsi="Times New Roman" w:cs="Times New Roman"/>
                <w:sz w:val="24"/>
                <w:szCs w:val="24"/>
              </w:rPr>
            </w:pPr>
            <w:r w:rsidRPr="0001651E">
              <w:rPr>
                <w:rFonts w:ascii="Times New Roman" w:hAnsi="Times New Roman" w:cs="Times New Roman"/>
                <w:sz w:val="24"/>
                <w:szCs w:val="24"/>
              </w:rPr>
              <w:t>6</w:t>
            </w:r>
            <w:r w:rsidR="0043514B" w:rsidRPr="0001651E">
              <w:rPr>
                <w:rFonts w:ascii="Times New Roman" w:hAnsi="Times New Roman" w:cs="Times New Roman"/>
                <w:sz w:val="24"/>
                <w:szCs w:val="24"/>
              </w:rPr>
              <w:t>3</w:t>
            </w:r>
          </w:p>
        </w:tc>
        <w:tc>
          <w:tcPr>
            <w:tcW w:w="1453" w:type="dxa"/>
          </w:tcPr>
          <w:p w14:paraId="4C712C7C" w14:textId="139C63FC" w:rsidR="00D65F86" w:rsidRPr="0001651E" w:rsidRDefault="00D65F86" w:rsidP="00656980">
            <w:pPr>
              <w:jc w:val="center"/>
              <w:rPr>
                <w:rFonts w:ascii="Times New Roman" w:hAnsi="Times New Roman" w:cs="Times New Roman"/>
                <w:sz w:val="24"/>
                <w:szCs w:val="24"/>
              </w:rPr>
            </w:pPr>
            <w:r w:rsidRPr="0001651E">
              <w:rPr>
                <w:rFonts w:ascii="Times New Roman" w:hAnsi="Times New Roman" w:cs="Times New Roman"/>
                <w:sz w:val="24"/>
                <w:szCs w:val="24"/>
              </w:rPr>
              <w:t>1</w:t>
            </w:r>
            <w:r w:rsidR="0043514B" w:rsidRPr="0001651E">
              <w:rPr>
                <w:rFonts w:ascii="Times New Roman" w:hAnsi="Times New Roman" w:cs="Times New Roman"/>
                <w:sz w:val="24"/>
                <w:szCs w:val="24"/>
              </w:rPr>
              <w:t>6</w:t>
            </w:r>
          </w:p>
        </w:tc>
        <w:tc>
          <w:tcPr>
            <w:tcW w:w="1453" w:type="dxa"/>
          </w:tcPr>
          <w:p w14:paraId="2CC47022" w14:textId="33801BBF" w:rsidR="00D65F86" w:rsidRPr="0001651E" w:rsidRDefault="00D65F86" w:rsidP="00656980">
            <w:pPr>
              <w:jc w:val="center"/>
              <w:rPr>
                <w:rFonts w:ascii="Times New Roman" w:hAnsi="Times New Roman" w:cs="Times New Roman"/>
                <w:sz w:val="24"/>
                <w:szCs w:val="24"/>
              </w:rPr>
            </w:pPr>
            <w:r w:rsidRPr="0001651E">
              <w:rPr>
                <w:rFonts w:ascii="Times New Roman" w:hAnsi="Times New Roman" w:cs="Times New Roman"/>
                <w:sz w:val="24"/>
                <w:szCs w:val="24"/>
              </w:rPr>
              <w:t>2</w:t>
            </w:r>
            <w:r w:rsidR="0043514B" w:rsidRPr="0001651E">
              <w:rPr>
                <w:rFonts w:ascii="Times New Roman" w:hAnsi="Times New Roman" w:cs="Times New Roman"/>
                <w:sz w:val="24"/>
                <w:szCs w:val="24"/>
              </w:rPr>
              <w:t>7</w:t>
            </w:r>
          </w:p>
        </w:tc>
        <w:tc>
          <w:tcPr>
            <w:tcW w:w="1453" w:type="dxa"/>
          </w:tcPr>
          <w:p w14:paraId="070E8F16" w14:textId="77777777" w:rsidR="00D65F86" w:rsidRPr="0001651E" w:rsidRDefault="00D65F86" w:rsidP="00656980">
            <w:pPr>
              <w:jc w:val="center"/>
              <w:rPr>
                <w:rFonts w:ascii="Times New Roman" w:hAnsi="Times New Roman" w:cs="Times New Roman"/>
                <w:sz w:val="24"/>
                <w:szCs w:val="24"/>
              </w:rPr>
            </w:pPr>
            <w:r w:rsidRPr="0001651E">
              <w:rPr>
                <w:rFonts w:ascii="Times New Roman" w:hAnsi="Times New Roman" w:cs="Times New Roman"/>
                <w:sz w:val="24"/>
                <w:szCs w:val="24"/>
              </w:rPr>
              <w:t>20</w:t>
            </w:r>
          </w:p>
        </w:tc>
      </w:tr>
      <w:tr w:rsidR="00D65F86" w:rsidRPr="0001651E" w14:paraId="1F135B09" w14:textId="77777777" w:rsidTr="0001651E">
        <w:tc>
          <w:tcPr>
            <w:tcW w:w="2694" w:type="dxa"/>
          </w:tcPr>
          <w:p w14:paraId="4D7B983A" w14:textId="77777777" w:rsidR="00D65F86" w:rsidRPr="0001651E" w:rsidRDefault="00D65F86" w:rsidP="0001651E">
            <w:pPr>
              <w:rPr>
                <w:rFonts w:ascii="Times New Roman" w:hAnsi="Times New Roman" w:cs="Times New Roman"/>
                <w:sz w:val="24"/>
                <w:szCs w:val="24"/>
              </w:rPr>
            </w:pPr>
            <w:r w:rsidRPr="0001651E">
              <w:rPr>
                <w:rFonts w:ascii="Times New Roman" w:hAnsi="Times New Roman" w:cs="Times New Roman"/>
                <w:sz w:val="24"/>
                <w:szCs w:val="24"/>
              </w:rPr>
              <w:t>VOD</w:t>
            </w:r>
          </w:p>
        </w:tc>
        <w:tc>
          <w:tcPr>
            <w:tcW w:w="1453" w:type="dxa"/>
          </w:tcPr>
          <w:p w14:paraId="198BCADB" w14:textId="77777777" w:rsidR="00D65F86" w:rsidRPr="0001651E" w:rsidRDefault="00D65F86" w:rsidP="00656980">
            <w:pPr>
              <w:jc w:val="center"/>
              <w:rPr>
                <w:rFonts w:ascii="Times New Roman" w:hAnsi="Times New Roman" w:cs="Times New Roman"/>
                <w:sz w:val="24"/>
                <w:szCs w:val="24"/>
              </w:rPr>
            </w:pPr>
            <w:r w:rsidRPr="0001651E">
              <w:rPr>
                <w:rFonts w:ascii="Times New Roman" w:hAnsi="Times New Roman" w:cs="Times New Roman"/>
                <w:sz w:val="24"/>
                <w:szCs w:val="24"/>
              </w:rPr>
              <w:t>6</w:t>
            </w:r>
          </w:p>
        </w:tc>
        <w:tc>
          <w:tcPr>
            <w:tcW w:w="1453" w:type="dxa"/>
          </w:tcPr>
          <w:p w14:paraId="22F1E89C" w14:textId="35AA1329" w:rsidR="00D65F86" w:rsidRPr="0001651E" w:rsidRDefault="00D65F86" w:rsidP="00656980">
            <w:pPr>
              <w:jc w:val="center"/>
              <w:rPr>
                <w:rFonts w:ascii="Times New Roman" w:hAnsi="Times New Roman" w:cs="Times New Roman"/>
                <w:sz w:val="24"/>
                <w:szCs w:val="24"/>
              </w:rPr>
            </w:pPr>
            <w:r w:rsidRPr="0001651E">
              <w:rPr>
                <w:rFonts w:ascii="Times New Roman" w:hAnsi="Times New Roman" w:cs="Times New Roman"/>
                <w:sz w:val="24"/>
                <w:szCs w:val="24"/>
              </w:rPr>
              <w:t>-</w:t>
            </w:r>
            <w:r w:rsidR="00686963" w:rsidRPr="0001651E">
              <w:rPr>
                <w:rFonts w:ascii="Times New Roman" w:hAnsi="Times New Roman" w:cs="Times New Roman"/>
                <w:sz w:val="24"/>
                <w:szCs w:val="24"/>
              </w:rPr>
              <w:t>--</w:t>
            </w:r>
          </w:p>
        </w:tc>
        <w:tc>
          <w:tcPr>
            <w:tcW w:w="1453" w:type="dxa"/>
          </w:tcPr>
          <w:p w14:paraId="3575733A" w14:textId="77777777" w:rsidR="00D65F86" w:rsidRPr="0001651E" w:rsidRDefault="00D65F86" w:rsidP="00656980">
            <w:pPr>
              <w:jc w:val="center"/>
              <w:rPr>
                <w:rFonts w:ascii="Times New Roman" w:hAnsi="Times New Roman" w:cs="Times New Roman"/>
                <w:sz w:val="24"/>
                <w:szCs w:val="24"/>
              </w:rPr>
            </w:pPr>
            <w:r w:rsidRPr="0001651E">
              <w:rPr>
                <w:rFonts w:ascii="Times New Roman" w:hAnsi="Times New Roman" w:cs="Times New Roman"/>
                <w:sz w:val="24"/>
                <w:szCs w:val="24"/>
              </w:rPr>
              <w:t>3</w:t>
            </w:r>
          </w:p>
        </w:tc>
        <w:tc>
          <w:tcPr>
            <w:tcW w:w="1453" w:type="dxa"/>
          </w:tcPr>
          <w:p w14:paraId="75D247A4" w14:textId="77777777" w:rsidR="00D65F86" w:rsidRPr="0001651E" w:rsidRDefault="00D65F86" w:rsidP="00656980">
            <w:pPr>
              <w:jc w:val="center"/>
              <w:rPr>
                <w:rFonts w:ascii="Times New Roman" w:hAnsi="Times New Roman" w:cs="Times New Roman"/>
                <w:sz w:val="24"/>
                <w:szCs w:val="24"/>
              </w:rPr>
            </w:pPr>
            <w:r w:rsidRPr="0001651E">
              <w:rPr>
                <w:rFonts w:ascii="Times New Roman" w:hAnsi="Times New Roman" w:cs="Times New Roman"/>
                <w:sz w:val="24"/>
                <w:szCs w:val="24"/>
              </w:rPr>
              <w:t>3</w:t>
            </w:r>
          </w:p>
        </w:tc>
      </w:tr>
      <w:tr w:rsidR="00D65F86" w:rsidRPr="0001651E" w14:paraId="4DFA8509" w14:textId="77777777" w:rsidTr="0001651E">
        <w:tc>
          <w:tcPr>
            <w:tcW w:w="2694" w:type="dxa"/>
          </w:tcPr>
          <w:p w14:paraId="449836DF" w14:textId="77777777" w:rsidR="00D65F86" w:rsidRPr="0001651E" w:rsidRDefault="00D65F86" w:rsidP="0001651E">
            <w:pPr>
              <w:rPr>
                <w:rFonts w:ascii="Times New Roman" w:hAnsi="Times New Roman" w:cs="Times New Roman"/>
                <w:sz w:val="24"/>
                <w:szCs w:val="24"/>
              </w:rPr>
            </w:pPr>
            <w:r w:rsidRPr="0001651E">
              <w:rPr>
                <w:rFonts w:ascii="Times New Roman" w:hAnsi="Times New Roman" w:cs="Times New Roman"/>
                <w:sz w:val="24"/>
                <w:szCs w:val="24"/>
              </w:rPr>
              <w:t>Other organ toxicity</w:t>
            </w:r>
            <w:r w:rsidRPr="0001651E">
              <w:rPr>
                <w:rFonts w:ascii="Times New Roman" w:hAnsi="Times New Roman" w:cs="Times New Roman"/>
                <w:sz w:val="24"/>
                <w:szCs w:val="24"/>
                <w:vertAlign w:val="superscript"/>
              </w:rPr>
              <w:t>1</w:t>
            </w:r>
          </w:p>
        </w:tc>
        <w:tc>
          <w:tcPr>
            <w:tcW w:w="1453" w:type="dxa"/>
          </w:tcPr>
          <w:p w14:paraId="1E7DD13F" w14:textId="495BADD9" w:rsidR="00D65F86" w:rsidRPr="0001651E" w:rsidRDefault="00D65F86" w:rsidP="00656980">
            <w:pPr>
              <w:jc w:val="center"/>
              <w:rPr>
                <w:rFonts w:ascii="Times New Roman" w:hAnsi="Times New Roman" w:cs="Times New Roman"/>
                <w:sz w:val="24"/>
                <w:szCs w:val="24"/>
              </w:rPr>
            </w:pPr>
            <w:r w:rsidRPr="0001651E">
              <w:rPr>
                <w:rFonts w:ascii="Times New Roman" w:hAnsi="Times New Roman" w:cs="Times New Roman"/>
                <w:sz w:val="24"/>
                <w:szCs w:val="24"/>
              </w:rPr>
              <w:t>5</w:t>
            </w:r>
            <w:r w:rsidR="0043514B" w:rsidRPr="0001651E">
              <w:rPr>
                <w:rFonts w:ascii="Times New Roman" w:hAnsi="Times New Roman" w:cs="Times New Roman"/>
                <w:sz w:val="24"/>
                <w:szCs w:val="24"/>
              </w:rPr>
              <w:t>8</w:t>
            </w:r>
          </w:p>
        </w:tc>
        <w:tc>
          <w:tcPr>
            <w:tcW w:w="1453" w:type="dxa"/>
          </w:tcPr>
          <w:p w14:paraId="5BD11542" w14:textId="77777777" w:rsidR="00D65F86" w:rsidRPr="0001651E" w:rsidRDefault="00D65F86" w:rsidP="00656980">
            <w:pPr>
              <w:jc w:val="center"/>
              <w:rPr>
                <w:rFonts w:ascii="Times New Roman" w:hAnsi="Times New Roman" w:cs="Times New Roman"/>
                <w:sz w:val="24"/>
                <w:szCs w:val="24"/>
              </w:rPr>
            </w:pPr>
            <w:r w:rsidRPr="0001651E">
              <w:rPr>
                <w:rFonts w:ascii="Times New Roman" w:hAnsi="Times New Roman" w:cs="Times New Roman"/>
                <w:sz w:val="24"/>
                <w:szCs w:val="24"/>
              </w:rPr>
              <w:t xml:space="preserve">28 </w:t>
            </w:r>
          </w:p>
        </w:tc>
        <w:tc>
          <w:tcPr>
            <w:tcW w:w="1453" w:type="dxa"/>
          </w:tcPr>
          <w:p w14:paraId="7F2967BB" w14:textId="0ECB6FDF" w:rsidR="00D65F86" w:rsidRPr="0001651E" w:rsidRDefault="00D65F86" w:rsidP="00656980">
            <w:pPr>
              <w:jc w:val="center"/>
              <w:rPr>
                <w:rFonts w:ascii="Times New Roman" w:hAnsi="Times New Roman" w:cs="Times New Roman"/>
                <w:sz w:val="24"/>
                <w:szCs w:val="24"/>
              </w:rPr>
            </w:pPr>
            <w:r w:rsidRPr="0001651E">
              <w:rPr>
                <w:rFonts w:ascii="Times New Roman" w:hAnsi="Times New Roman" w:cs="Times New Roman"/>
                <w:sz w:val="24"/>
                <w:szCs w:val="24"/>
              </w:rPr>
              <w:t>1</w:t>
            </w:r>
            <w:r w:rsidR="0043514B" w:rsidRPr="0001651E">
              <w:rPr>
                <w:rFonts w:ascii="Times New Roman" w:hAnsi="Times New Roman" w:cs="Times New Roman"/>
                <w:sz w:val="24"/>
                <w:szCs w:val="24"/>
              </w:rPr>
              <w:t>5</w:t>
            </w:r>
          </w:p>
        </w:tc>
        <w:tc>
          <w:tcPr>
            <w:tcW w:w="1453" w:type="dxa"/>
          </w:tcPr>
          <w:p w14:paraId="727D5A35" w14:textId="70663233" w:rsidR="00D65F86" w:rsidRPr="0001651E" w:rsidRDefault="0043514B" w:rsidP="00656980">
            <w:pPr>
              <w:jc w:val="center"/>
              <w:rPr>
                <w:rFonts w:ascii="Times New Roman" w:hAnsi="Times New Roman" w:cs="Times New Roman"/>
                <w:sz w:val="24"/>
                <w:szCs w:val="24"/>
              </w:rPr>
            </w:pPr>
            <w:r w:rsidRPr="0001651E">
              <w:rPr>
                <w:rFonts w:ascii="Times New Roman" w:hAnsi="Times New Roman" w:cs="Times New Roman"/>
                <w:sz w:val="24"/>
                <w:szCs w:val="24"/>
              </w:rPr>
              <w:t>15</w:t>
            </w:r>
          </w:p>
        </w:tc>
      </w:tr>
      <w:tr w:rsidR="00D65F86" w:rsidRPr="0001651E" w14:paraId="19A8FCC3" w14:textId="77777777" w:rsidTr="0001651E">
        <w:tc>
          <w:tcPr>
            <w:tcW w:w="2694" w:type="dxa"/>
          </w:tcPr>
          <w:p w14:paraId="1ECE85C2" w14:textId="77777777" w:rsidR="00D65F86" w:rsidRPr="0001651E" w:rsidRDefault="00D65F86" w:rsidP="0001651E">
            <w:pPr>
              <w:rPr>
                <w:rFonts w:ascii="Times New Roman" w:hAnsi="Times New Roman" w:cs="Times New Roman"/>
                <w:sz w:val="24"/>
                <w:szCs w:val="24"/>
              </w:rPr>
            </w:pPr>
            <w:r w:rsidRPr="0001651E">
              <w:rPr>
                <w:rFonts w:ascii="Times New Roman" w:hAnsi="Times New Roman" w:cs="Times New Roman"/>
                <w:sz w:val="24"/>
                <w:szCs w:val="24"/>
              </w:rPr>
              <w:t>2nd malignancy</w:t>
            </w:r>
          </w:p>
        </w:tc>
        <w:tc>
          <w:tcPr>
            <w:tcW w:w="1453" w:type="dxa"/>
          </w:tcPr>
          <w:p w14:paraId="73EE34FF" w14:textId="77777777" w:rsidR="00D65F86" w:rsidRPr="0001651E" w:rsidRDefault="00D65F86" w:rsidP="00656980">
            <w:pPr>
              <w:jc w:val="center"/>
              <w:rPr>
                <w:rFonts w:ascii="Times New Roman" w:hAnsi="Times New Roman" w:cs="Times New Roman"/>
                <w:sz w:val="24"/>
                <w:szCs w:val="24"/>
              </w:rPr>
            </w:pPr>
            <w:r w:rsidRPr="0001651E">
              <w:rPr>
                <w:rFonts w:ascii="Times New Roman" w:hAnsi="Times New Roman" w:cs="Times New Roman"/>
                <w:sz w:val="24"/>
                <w:szCs w:val="24"/>
              </w:rPr>
              <w:t>8</w:t>
            </w:r>
          </w:p>
        </w:tc>
        <w:tc>
          <w:tcPr>
            <w:tcW w:w="1453" w:type="dxa"/>
          </w:tcPr>
          <w:p w14:paraId="14740C75" w14:textId="77777777" w:rsidR="00D65F86" w:rsidRPr="0001651E" w:rsidRDefault="00D65F86" w:rsidP="00656980">
            <w:pPr>
              <w:jc w:val="center"/>
              <w:rPr>
                <w:rFonts w:ascii="Times New Roman" w:hAnsi="Times New Roman" w:cs="Times New Roman"/>
                <w:sz w:val="24"/>
                <w:szCs w:val="24"/>
              </w:rPr>
            </w:pPr>
            <w:r w:rsidRPr="0001651E">
              <w:rPr>
                <w:rFonts w:ascii="Times New Roman" w:hAnsi="Times New Roman" w:cs="Times New Roman"/>
                <w:sz w:val="24"/>
                <w:szCs w:val="24"/>
              </w:rPr>
              <w:t>4</w:t>
            </w:r>
          </w:p>
        </w:tc>
        <w:tc>
          <w:tcPr>
            <w:tcW w:w="1453" w:type="dxa"/>
          </w:tcPr>
          <w:p w14:paraId="430E94AF" w14:textId="77777777" w:rsidR="00D65F86" w:rsidRPr="0001651E" w:rsidRDefault="00D65F86" w:rsidP="00656980">
            <w:pPr>
              <w:jc w:val="center"/>
              <w:rPr>
                <w:rFonts w:ascii="Times New Roman" w:hAnsi="Times New Roman" w:cs="Times New Roman"/>
                <w:sz w:val="24"/>
                <w:szCs w:val="24"/>
              </w:rPr>
            </w:pPr>
            <w:r w:rsidRPr="0001651E">
              <w:rPr>
                <w:rFonts w:ascii="Times New Roman" w:hAnsi="Times New Roman" w:cs="Times New Roman"/>
                <w:sz w:val="24"/>
                <w:szCs w:val="24"/>
              </w:rPr>
              <w:t>1</w:t>
            </w:r>
          </w:p>
        </w:tc>
        <w:tc>
          <w:tcPr>
            <w:tcW w:w="1453" w:type="dxa"/>
          </w:tcPr>
          <w:p w14:paraId="216ACF8C" w14:textId="77777777" w:rsidR="00D65F86" w:rsidRPr="0001651E" w:rsidRDefault="00D65F86" w:rsidP="00656980">
            <w:pPr>
              <w:jc w:val="center"/>
              <w:rPr>
                <w:rFonts w:ascii="Times New Roman" w:hAnsi="Times New Roman" w:cs="Times New Roman"/>
                <w:sz w:val="24"/>
                <w:szCs w:val="24"/>
              </w:rPr>
            </w:pPr>
            <w:r w:rsidRPr="0001651E">
              <w:rPr>
                <w:rFonts w:ascii="Times New Roman" w:hAnsi="Times New Roman" w:cs="Times New Roman"/>
                <w:sz w:val="24"/>
                <w:szCs w:val="24"/>
              </w:rPr>
              <w:t xml:space="preserve">3       </w:t>
            </w:r>
          </w:p>
        </w:tc>
      </w:tr>
      <w:tr w:rsidR="00D65F86" w:rsidRPr="0001651E" w14:paraId="34309E9C" w14:textId="77777777" w:rsidTr="0001651E">
        <w:tc>
          <w:tcPr>
            <w:tcW w:w="2694" w:type="dxa"/>
            <w:tcBorders>
              <w:bottom w:val="single" w:sz="8" w:space="0" w:color="auto"/>
            </w:tcBorders>
          </w:tcPr>
          <w:p w14:paraId="02F58296" w14:textId="77777777" w:rsidR="00D65F86" w:rsidRPr="0001651E" w:rsidRDefault="00D65F86" w:rsidP="0001651E">
            <w:pPr>
              <w:rPr>
                <w:rFonts w:ascii="Times New Roman" w:hAnsi="Times New Roman" w:cs="Times New Roman"/>
                <w:sz w:val="24"/>
                <w:szCs w:val="24"/>
              </w:rPr>
            </w:pPr>
            <w:r w:rsidRPr="0001651E">
              <w:rPr>
                <w:rFonts w:ascii="Times New Roman" w:hAnsi="Times New Roman" w:cs="Times New Roman"/>
                <w:sz w:val="24"/>
                <w:szCs w:val="24"/>
              </w:rPr>
              <w:t xml:space="preserve">Rejection </w:t>
            </w:r>
          </w:p>
        </w:tc>
        <w:tc>
          <w:tcPr>
            <w:tcW w:w="1453" w:type="dxa"/>
            <w:tcBorders>
              <w:bottom w:val="single" w:sz="8" w:space="0" w:color="auto"/>
            </w:tcBorders>
          </w:tcPr>
          <w:p w14:paraId="1F9F5B62" w14:textId="027575B4" w:rsidR="00D65F86" w:rsidRPr="0001651E" w:rsidRDefault="0043514B" w:rsidP="00656980">
            <w:pPr>
              <w:jc w:val="center"/>
              <w:rPr>
                <w:rFonts w:ascii="Times New Roman" w:hAnsi="Times New Roman" w:cs="Times New Roman"/>
                <w:sz w:val="24"/>
                <w:szCs w:val="24"/>
              </w:rPr>
            </w:pPr>
            <w:r w:rsidRPr="0001651E">
              <w:rPr>
                <w:rFonts w:ascii="Times New Roman" w:hAnsi="Times New Roman" w:cs="Times New Roman"/>
                <w:sz w:val="24"/>
                <w:szCs w:val="24"/>
              </w:rPr>
              <w:t>4</w:t>
            </w:r>
          </w:p>
        </w:tc>
        <w:tc>
          <w:tcPr>
            <w:tcW w:w="1453" w:type="dxa"/>
            <w:tcBorders>
              <w:bottom w:val="single" w:sz="8" w:space="0" w:color="auto"/>
            </w:tcBorders>
          </w:tcPr>
          <w:p w14:paraId="3F817C7F" w14:textId="4BBF5A93" w:rsidR="00D65F86" w:rsidRPr="0001651E" w:rsidRDefault="0043514B" w:rsidP="00656980">
            <w:pPr>
              <w:jc w:val="center"/>
              <w:rPr>
                <w:rFonts w:ascii="Times New Roman" w:hAnsi="Times New Roman" w:cs="Times New Roman"/>
                <w:sz w:val="24"/>
                <w:szCs w:val="24"/>
              </w:rPr>
            </w:pPr>
            <w:r w:rsidRPr="0001651E">
              <w:rPr>
                <w:rFonts w:ascii="Times New Roman" w:hAnsi="Times New Roman" w:cs="Times New Roman"/>
                <w:sz w:val="24"/>
                <w:szCs w:val="24"/>
              </w:rPr>
              <w:t>2</w:t>
            </w:r>
          </w:p>
        </w:tc>
        <w:tc>
          <w:tcPr>
            <w:tcW w:w="1453" w:type="dxa"/>
            <w:tcBorders>
              <w:bottom w:val="single" w:sz="8" w:space="0" w:color="auto"/>
            </w:tcBorders>
          </w:tcPr>
          <w:p w14:paraId="6591DFF6" w14:textId="0875C799" w:rsidR="00D65F86" w:rsidRPr="0001651E" w:rsidRDefault="0043514B" w:rsidP="00656980">
            <w:pPr>
              <w:jc w:val="center"/>
              <w:rPr>
                <w:rFonts w:ascii="Times New Roman" w:hAnsi="Times New Roman" w:cs="Times New Roman"/>
                <w:sz w:val="24"/>
                <w:szCs w:val="24"/>
              </w:rPr>
            </w:pPr>
            <w:r w:rsidRPr="0001651E">
              <w:rPr>
                <w:rFonts w:ascii="Times New Roman" w:hAnsi="Times New Roman" w:cs="Times New Roman"/>
                <w:sz w:val="24"/>
                <w:szCs w:val="24"/>
              </w:rPr>
              <w:t>2</w:t>
            </w:r>
          </w:p>
        </w:tc>
        <w:tc>
          <w:tcPr>
            <w:tcW w:w="1453" w:type="dxa"/>
            <w:tcBorders>
              <w:bottom w:val="single" w:sz="8" w:space="0" w:color="auto"/>
            </w:tcBorders>
          </w:tcPr>
          <w:p w14:paraId="2849D9AE" w14:textId="6868093B" w:rsidR="00D65F86" w:rsidRPr="0001651E" w:rsidRDefault="0095478D" w:rsidP="00656980">
            <w:pPr>
              <w:jc w:val="center"/>
              <w:rPr>
                <w:rFonts w:ascii="Times New Roman" w:hAnsi="Times New Roman" w:cs="Times New Roman"/>
                <w:sz w:val="24"/>
                <w:szCs w:val="24"/>
              </w:rPr>
            </w:pPr>
            <w:r w:rsidRPr="0001651E">
              <w:rPr>
                <w:rFonts w:ascii="Times New Roman" w:hAnsi="Times New Roman" w:cs="Times New Roman"/>
                <w:sz w:val="24"/>
                <w:szCs w:val="24"/>
              </w:rPr>
              <w:t>-</w:t>
            </w:r>
          </w:p>
        </w:tc>
      </w:tr>
      <w:tr w:rsidR="00D65F86" w:rsidRPr="0001651E" w14:paraId="25AA8275" w14:textId="77777777" w:rsidTr="0001651E">
        <w:tc>
          <w:tcPr>
            <w:tcW w:w="2694" w:type="dxa"/>
            <w:tcBorders>
              <w:bottom w:val="single" w:sz="8" w:space="0" w:color="auto"/>
            </w:tcBorders>
          </w:tcPr>
          <w:p w14:paraId="48419B91" w14:textId="77777777" w:rsidR="00D65F86" w:rsidRPr="0001651E" w:rsidRDefault="00D65F86" w:rsidP="0001651E">
            <w:pPr>
              <w:rPr>
                <w:rFonts w:ascii="Times New Roman" w:hAnsi="Times New Roman" w:cs="Times New Roman"/>
                <w:b/>
                <w:sz w:val="24"/>
                <w:szCs w:val="24"/>
              </w:rPr>
            </w:pPr>
            <w:r w:rsidRPr="0001651E">
              <w:rPr>
                <w:rFonts w:ascii="Times New Roman" w:hAnsi="Times New Roman" w:cs="Times New Roman"/>
                <w:b/>
                <w:sz w:val="24"/>
                <w:szCs w:val="24"/>
              </w:rPr>
              <w:t>External causes of death</w:t>
            </w:r>
            <w:r w:rsidRPr="0001651E">
              <w:rPr>
                <w:rFonts w:ascii="Times New Roman" w:hAnsi="Times New Roman" w:cs="Times New Roman"/>
                <w:b/>
                <w:sz w:val="24"/>
                <w:szCs w:val="24"/>
                <w:vertAlign w:val="superscript"/>
              </w:rPr>
              <w:t>2</w:t>
            </w:r>
          </w:p>
        </w:tc>
        <w:tc>
          <w:tcPr>
            <w:tcW w:w="1453" w:type="dxa"/>
            <w:tcBorders>
              <w:bottom w:val="single" w:sz="8" w:space="0" w:color="auto"/>
            </w:tcBorders>
          </w:tcPr>
          <w:p w14:paraId="17F9DBCD" w14:textId="77777777" w:rsidR="00D65F86" w:rsidRPr="0001651E" w:rsidRDefault="00D65F86" w:rsidP="00656980">
            <w:pPr>
              <w:jc w:val="center"/>
              <w:rPr>
                <w:rFonts w:ascii="Times New Roman" w:hAnsi="Times New Roman" w:cs="Times New Roman"/>
                <w:sz w:val="24"/>
                <w:szCs w:val="24"/>
              </w:rPr>
            </w:pPr>
            <w:r w:rsidRPr="0001651E">
              <w:rPr>
                <w:rFonts w:ascii="Times New Roman" w:hAnsi="Times New Roman" w:cs="Times New Roman"/>
                <w:sz w:val="24"/>
                <w:szCs w:val="24"/>
              </w:rPr>
              <w:t>3</w:t>
            </w:r>
          </w:p>
        </w:tc>
        <w:tc>
          <w:tcPr>
            <w:tcW w:w="1453" w:type="dxa"/>
            <w:tcBorders>
              <w:bottom w:val="single" w:sz="8" w:space="0" w:color="auto"/>
            </w:tcBorders>
          </w:tcPr>
          <w:p w14:paraId="6771FDF2" w14:textId="204DC640" w:rsidR="00D65F86" w:rsidRPr="0001651E" w:rsidRDefault="00D65F86" w:rsidP="00656980">
            <w:pPr>
              <w:jc w:val="center"/>
              <w:rPr>
                <w:rFonts w:ascii="Times New Roman" w:hAnsi="Times New Roman" w:cs="Times New Roman"/>
                <w:sz w:val="24"/>
                <w:szCs w:val="24"/>
              </w:rPr>
            </w:pPr>
            <w:r w:rsidRPr="0001651E">
              <w:rPr>
                <w:rFonts w:ascii="Times New Roman" w:hAnsi="Times New Roman" w:cs="Times New Roman"/>
                <w:sz w:val="24"/>
                <w:szCs w:val="24"/>
              </w:rPr>
              <w:t>1</w:t>
            </w:r>
            <w:r w:rsidR="00686963" w:rsidRPr="0001651E">
              <w:rPr>
                <w:rFonts w:ascii="Times New Roman" w:hAnsi="Times New Roman" w:cs="Times New Roman"/>
                <w:sz w:val="24"/>
                <w:szCs w:val="24"/>
              </w:rPr>
              <w:t xml:space="preserve"> </w:t>
            </w:r>
          </w:p>
        </w:tc>
        <w:tc>
          <w:tcPr>
            <w:tcW w:w="1453" w:type="dxa"/>
            <w:tcBorders>
              <w:bottom w:val="single" w:sz="8" w:space="0" w:color="auto"/>
            </w:tcBorders>
          </w:tcPr>
          <w:p w14:paraId="1B2808C7" w14:textId="7A3716B7" w:rsidR="00D65F86" w:rsidRPr="0001651E" w:rsidRDefault="00D65F86" w:rsidP="00656980">
            <w:pPr>
              <w:jc w:val="center"/>
              <w:rPr>
                <w:rFonts w:ascii="Times New Roman" w:hAnsi="Times New Roman" w:cs="Times New Roman"/>
                <w:sz w:val="24"/>
                <w:szCs w:val="24"/>
              </w:rPr>
            </w:pPr>
            <w:r w:rsidRPr="0001651E">
              <w:rPr>
                <w:rFonts w:ascii="Times New Roman" w:hAnsi="Times New Roman" w:cs="Times New Roman"/>
                <w:sz w:val="24"/>
                <w:szCs w:val="24"/>
              </w:rPr>
              <w:t>2</w:t>
            </w:r>
            <w:r w:rsidR="00686963" w:rsidRPr="0001651E">
              <w:rPr>
                <w:rFonts w:ascii="Times New Roman" w:hAnsi="Times New Roman" w:cs="Times New Roman"/>
                <w:sz w:val="24"/>
                <w:szCs w:val="24"/>
              </w:rPr>
              <w:t xml:space="preserve"> </w:t>
            </w:r>
          </w:p>
        </w:tc>
        <w:tc>
          <w:tcPr>
            <w:tcW w:w="1453" w:type="dxa"/>
            <w:tcBorders>
              <w:bottom w:val="single" w:sz="8" w:space="0" w:color="auto"/>
            </w:tcBorders>
          </w:tcPr>
          <w:p w14:paraId="69E5884B" w14:textId="2E6F551B" w:rsidR="00D65F86" w:rsidRPr="0001651E" w:rsidRDefault="0095478D" w:rsidP="00656980">
            <w:pPr>
              <w:jc w:val="center"/>
              <w:rPr>
                <w:rFonts w:ascii="Times New Roman" w:hAnsi="Times New Roman" w:cs="Times New Roman"/>
                <w:sz w:val="24"/>
                <w:szCs w:val="24"/>
              </w:rPr>
            </w:pPr>
            <w:r w:rsidRPr="0001651E">
              <w:rPr>
                <w:rFonts w:ascii="Times New Roman" w:hAnsi="Times New Roman" w:cs="Times New Roman"/>
                <w:sz w:val="24"/>
                <w:szCs w:val="24"/>
              </w:rPr>
              <w:t>-</w:t>
            </w:r>
          </w:p>
        </w:tc>
      </w:tr>
    </w:tbl>
    <w:p w14:paraId="6A50303A" w14:textId="77777777" w:rsidR="00D65F86" w:rsidRPr="0001651E" w:rsidRDefault="00D65F86" w:rsidP="00A14B97">
      <w:pPr>
        <w:spacing w:line="480" w:lineRule="auto"/>
        <w:jc w:val="both"/>
        <w:rPr>
          <w:rFonts w:ascii="Times New Roman" w:hAnsi="Times New Roman" w:cs="Times New Roman"/>
          <w:sz w:val="24"/>
          <w:szCs w:val="24"/>
          <w:lang w:val="en-US"/>
        </w:rPr>
      </w:pPr>
      <w:r w:rsidRPr="0001651E">
        <w:rPr>
          <w:rFonts w:ascii="Times New Roman" w:hAnsi="Times New Roman" w:cs="Times New Roman"/>
          <w:sz w:val="24"/>
          <w:szCs w:val="24"/>
          <w:vertAlign w:val="superscript"/>
          <w:lang w:val="en-US"/>
        </w:rPr>
        <w:t xml:space="preserve">1 </w:t>
      </w:r>
      <w:r w:rsidRPr="0001651E">
        <w:rPr>
          <w:rFonts w:ascii="Times New Roman" w:hAnsi="Times New Roman" w:cs="Times New Roman"/>
          <w:sz w:val="24"/>
          <w:szCs w:val="24"/>
          <w:lang w:val="en-US"/>
        </w:rPr>
        <w:t xml:space="preserve">Includes: stroke (3), myocardial infarction (1) </w:t>
      </w:r>
    </w:p>
    <w:p w14:paraId="46725C6A" w14:textId="65CAF33E" w:rsidR="00FC1E38" w:rsidRDefault="00D65F86" w:rsidP="0001651E">
      <w:pPr>
        <w:spacing w:line="480" w:lineRule="auto"/>
        <w:jc w:val="both"/>
        <w:rPr>
          <w:rFonts w:ascii="Times New Roman" w:hAnsi="Times New Roman" w:cs="Times New Roman"/>
          <w:sz w:val="24"/>
          <w:szCs w:val="24"/>
          <w:lang w:val="en-US"/>
        </w:rPr>
      </w:pPr>
      <w:r w:rsidRPr="0001651E">
        <w:rPr>
          <w:rFonts w:ascii="Times New Roman" w:hAnsi="Times New Roman" w:cs="Times New Roman"/>
          <w:sz w:val="24"/>
          <w:szCs w:val="24"/>
          <w:vertAlign w:val="superscript"/>
          <w:lang w:val="en-US"/>
        </w:rPr>
        <w:t>2</w:t>
      </w:r>
      <w:r w:rsidRPr="0001651E">
        <w:rPr>
          <w:rFonts w:ascii="Times New Roman" w:hAnsi="Times New Roman" w:cs="Times New Roman"/>
          <w:sz w:val="24"/>
          <w:szCs w:val="24"/>
          <w:lang w:val="en-US"/>
        </w:rPr>
        <w:t xml:space="preserve"> Incl</w:t>
      </w:r>
      <w:r w:rsidR="0001651E">
        <w:rPr>
          <w:rFonts w:ascii="Times New Roman" w:hAnsi="Times New Roman" w:cs="Times New Roman"/>
          <w:sz w:val="24"/>
          <w:szCs w:val="24"/>
          <w:lang w:val="en-US"/>
        </w:rPr>
        <w:t>udes: suicide (2), accident (1)</w:t>
      </w:r>
      <w:r w:rsidR="00FC1E38">
        <w:rPr>
          <w:rFonts w:ascii="Times New Roman" w:hAnsi="Times New Roman" w:cs="Times New Roman"/>
          <w:sz w:val="24"/>
          <w:szCs w:val="24"/>
          <w:lang w:val="en-US"/>
        </w:rPr>
        <w:br w:type="page"/>
      </w:r>
    </w:p>
    <w:p w14:paraId="2C501BE9" w14:textId="77777777" w:rsidR="00FC1E38" w:rsidRPr="00BD34CC" w:rsidRDefault="00FC1E38" w:rsidP="00A14B97">
      <w:pPr>
        <w:spacing w:before="80" w:after="80" w:line="480" w:lineRule="auto"/>
        <w:jc w:val="both"/>
        <w:rPr>
          <w:rFonts w:ascii="Times New Roman" w:hAnsi="Times New Roman" w:cs="Times New Roman"/>
          <w:b/>
          <w:sz w:val="24"/>
          <w:szCs w:val="24"/>
          <w:lang w:val="en-US"/>
        </w:rPr>
      </w:pPr>
      <w:r w:rsidRPr="00BD34CC">
        <w:rPr>
          <w:rFonts w:ascii="Times New Roman" w:hAnsi="Times New Roman" w:cs="Times New Roman"/>
          <w:b/>
          <w:sz w:val="24"/>
          <w:szCs w:val="24"/>
          <w:lang w:val="en-US"/>
        </w:rPr>
        <w:lastRenderedPageBreak/>
        <w:t>FIGURES</w:t>
      </w:r>
    </w:p>
    <w:p w14:paraId="3337AF4C" w14:textId="699FE193" w:rsidR="00FC1E38" w:rsidRDefault="00656980" w:rsidP="003079B3">
      <w:pPr>
        <w:spacing w:before="80" w:after="80" w:line="480" w:lineRule="auto"/>
        <w:rPr>
          <w:rFonts w:ascii="Times New Roman" w:hAnsi="Times New Roman" w:cs="Times New Roman"/>
          <w:sz w:val="24"/>
          <w:szCs w:val="24"/>
          <w:lang w:val="en-US"/>
        </w:rPr>
      </w:pPr>
      <w:r>
        <w:rPr>
          <w:rFonts w:ascii="Times New Roman" w:hAnsi="Times New Roman" w:cs="Times New Roman"/>
          <w:sz w:val="24"/>
          <w:szCs w:val="24"/>
          <w:lang w:val="en-US"/>
        </w:rPr>
        <w:t>Figure</w:t>
      </w:r>
      <w:r w:rsidR="003079B3">
        <w:rPr>
          <w:rFonts w:ascii="Times New Roman" w:hAnsi="Times New Roman" w:cs="Times New Roman"/>
          <w:sz w:val="24"/>
          <w:szCs w:val="24"/>
          <w:lang w:val="en-US"/>
        </w:rPr>
        <w:t xml:space="preserve"> 1</w:t>
      </w:r>
      <w:r w:rsidR="00970C9E">
        <w:rPr>
          <w:noProof/>
          <w:lang w:eastAsia="pt-PT"/>
        </w:rPr>
        <w:drawing>
          <wp:inline distT="0" distB="0" distL="0" distR="0" wp14:anchorId="73CFED20" wp14:editId="4AA3DB5F">
            <wp:extent cx="3967200" cy="3960000"/>
            <wp:effectExtent l="0" t="0" r="0" b="254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67200" cy="3960000"/>
                    </a:xfrm>
                    <a:prstGeom prst="rect">
                      <a:avLst/>
                    </a:prstGeom>
                  </pic:spPr>
                </pic:pic>
              </a:graphicData>
            </a:graphic>
          </wp:inline>
        </w:drawing>
      </w:r>
      <w:r w:rsidR="00DA4577">
        <w:rPr>
          <w:noProof/>
          <w:lang w:eastAsia="pt-PT"/>
        </w:rPr>
        <w:drawing>
          <wp:inline distT="0" distB="0" distL="0" distR="0" wp14:anchorId="2A5BA7F2" wp14:editId="29C6143E">
            <wp:extent cx="3967200" cy="3960000"/>
            <wp:effectExtent l="0" t="0" r="0" b="254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67200" cy="3960000"/>
                    </a:xfrm>
                    <a:prstGeom prst="rect">
                      <a:avLst/>
                    </a:prstGeom>
                  </pic:spPr>
                </pic:pic>
              </a:graphicData>
            </a:graphic>
          </wp:inline>
        </w:drawing>
      </w:r>
    </w:p>
    <w:p w14:paraId="6B714DF1" w14:textId="283DE1BF" w:rsidR="00970C9E" w:rsidRDefault="00AD44A7" w:rsidP="001766E5">
      <w:pPr>
        <w:spacing w:before="80" w:after="80" w:line="480" w:lineRule="auto"/>
        <w:ind w:left="708" w:hanging="708"/>
        <w:jc w:val="both"/>
        <w:rPr>
          <w:noProof/>
          <w:lang w:eastAsia="pt-PT"/>
        </w:rPr>
      </w:pPr>
      <w:r>
        <w:rPr>
          <w:noProof/>
          <w:lang w:eastAsia="pt-PT"/>
        </w:rPr>
        <w:lastRenderedPageBreak/>
        <w:drawing>
          <wp:inline distT="0" distB="0" distL="0" distR="0" wp14:anchorId="40DB2001" wp14:editId="747BB694">
            <wp:extent cx="3967200" cy="3960000"/>
            <wp:effectExtent l="0" t="0" r="0" b="254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67200" cy="3960000"/>
                    </a:xfrm>
                    <a:prstGeom prst="rect">
                      <a:avLst/>
                    </a:prstGeom>
                  </pic:spPr>
                </pic:pic>
              </a:graphicData>
            </a:graphic>
          </wp:inline>
        </w:drawing>
      </w:r>
    </w:p>
    <w:p w14:paraId="0252FBE7" w14:textId="2ACA1DCD" w:rsidR="00375D7E" w:rsidRDefault="00375D7E" w:rsidP="001766E5">
      <w:pPr>
        <w:spacing w:before="80" w:after="80" w:line="480" w:lineRule="auto"/>
        <w:ind w:left="708" w:hanging="708"/>
        <w:jc w:val="both"/>
        <w:rPr>
          <w:noProof/>
          <w:lang w:eastAsia="pt-PT"/>
        </w:rPr>
      </w:pPr>
      <w:r>
        <w:rPr>
          <w:noProof/>
          <w:lang w:eastAsia="pt-PT"/>
        </w:rPr>
        <w:drawing>
          <wp:inline distT="0" distB="0" distL="0" distR="0" wp14:anchorId="26E619BD" wp14:editId="7DFC2042">
            <wp:extent cx="3902710" cy="3902710"/>
            <wp:effectExtent l="0" t="0" r="2540" b="254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02710" cy="3902710"/>
                    </a:xfrm>
                    <a:prstGeom prst="rect">
                      <a:avLst/>
                    </a:prstGeom>
                  </pic:spPr>
                </pic:pic>
              </a:graphicData>
            </a:graphic>
          </wp:inline>
        </w:drawing>
      </w:r>
    </w:p>
    <w:p w14:paraId="75160BE8" w14:textId="665EB694" w:rsidR="006311CD" w:rsidRDefault="00D30E15" w:rsidP="00BD34CC">
      <w:pPr>
        <w:spacing w:before="80" w:after="80" w:line="480" w:lineRule="auto"/>
        <w:jc w:val="both"/>
        <w:rPr>
          <w:rFonts w:ascii="Times New Roman" w:hAnsi="Times New Roman" w:cs="Times New Roman"/>
          <w:sz w:val="24"/>
          <w:szCs w:val="24"/>
          <w:lang w:val="en-US"/>
        </w:rPr>
      </w:pPr>
      <w:r>
        <w:rPr>
          <w:noProof/>
          <w:lang w:eastAsia="pt-PT"/>
        </w:rPr>
        <w:lastRenderedPageBreak/>
        <w:drawing>
          <wp:inline distT="0" distB="0" distL="0" distR="0" wp14:anchorId="57397C1D" wp14:editId="76786432">
            <wp:extent cx="3945600" cy="3960000"/>
            <wp:effectExtent l="0" t="0" r="0" b="254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45600" cy="3960000"/>
                    </a:xfrm>
                    <a:prstGeom prst="rect">
                      <a:avLst/>
                    </a:prstGeom>
                  </pic:spPr>
                </pic:pic>
              </a:graphicData>
            </a:graphic>
          </wp:inline>
        </w:drawing>
      </w:r>
      <w:r w:rsidR="001766E5" w:rsidRPr="001766E5">
        <w:rPr>
          <w:noProof/>
          <w:lang w:eastAsia="pt-PT"/>
        </w:rPr>
        <w:t xml:space="preserve"> </w:t>
      </w:r>
      <w:r w:rsidR="00C22587">
        <w:rPr>
          <w:noProof/>
          <w:lang w:eastAsia="pt-PT"/>
        </w:rPr>
        <w:drawing>
          <wp:inline distT="0" distB="0" distL="0" distR="0" wp14:anchorId="5A8F4BD1" wp14:editId="64A06D6D">
            <wp:extent cx="3902710" cy="3896995"/>
            <wp:effectExtent l="0" t="0" r="2540" b="825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02710" cy="3896995"/>
                    </a:xfrm>
                    <a:prstGeom prst="rect">
                      <a:avLst/>
                    </a:prstGeom>
                  </pic:spPr>
                </pic:pic>
              </a:graphicData>
            </a:graphic>
          </wp:inline>
        </w:drawing>
      </w:r>
      <w:r w:rsidR="006311CD">
        <w:rPr>
          <w:rFonts w:ascii="Times New Roman" w:hAnsi="Times New Roman" w:cs="Times New Roman"/>
          <w:sz w:val="24"/>
          <w:szCs w:val="24"/>
          <w:lang w:val="en-US"/>
        </w:rPr>
        <w:br w:type="page"/>
      </w:r>
    </w:p>
    <w:p w14:paraId="6D87B8FD" w14:textId="1799AEE5" w:rsidR="00EA28F8" w:rsidRDefault="001766E5" w:rsidP="00A14B97">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Figure 2</w:t>
      </w:r>
    </w:p>
    <w:p w14:paraId="6F542233" w14:textId="7CD736A9" w:rsidR="00375D7E" w:rsidRDefault="00375D7E" w:rsidP="00A14B97">
      <w:pPr>
        <w:spacing w:line="480" w:lineRule="auto"/>
        <w:rPr>
          <w:rFonts w:ascii="Times New Roman" w:hAnsi="Times New Roman" w:cs="Times New Roman"/>
          <w:sz w:val="24"/>
          <w:szCs w:val="24"/>
          <w:lang w:val="en-US"/>
        </w:rPr>
      </w:pPr>
      <w:r>
        <w:rPr>
          <w:noProof/>
          <w:lang w:eastAsia="pt-PT"/>
        </w:rPr>
        <w:drawing>
          <wp:inline distT="0" distB="0" distL="0" distR="0" wp14:anchorId="6758DA4B" wp14:editId="136077EE">
            <wp:extent cx="3902710" cy="3902710"/>
            <wp:effectExtent l="0" t="0" r="254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02710" cy="3902710"/>
                    </a:xfrm>
                    <a:prstGeom prst="rect">
                      <a:avLst/>
                    </a:prstGeom>
                  </pic:spPr>
                </pic:pic>
              </a:graphicData>
            </a:graphic>
          </wp:inline>
        </w:drawing>
      </w:r>
    </w:p>
    <w:p w14:paraId="4E6E0468" w14:textId="22F9F4D4" w:rsidR="001766E5" w:rsidRDefault="00C22587">
      <w:pPr>
        <w:rPr>
          <w:rFonts w:ascii="Times New Roman" w:hAnsi="Times New Roman" w:cs="Times New Roman"/>
          <w:sz w:val="24"/>
          <w:szCs w:val="24"/>
          <w:lang w:val="en-US"/>
        </w:rPr>
      </w:pPr>
      <w:r>
        <w:rPr>
          <w:noProof/>
          <w:lang w:eastAsia="pt-PT"/>
        </w:rPr>
        <w:drawing>
          <wp:inline distT="0" distB="0" distL="0" distR="0" wp14:anchorId="6A3238D0" wp14:editId="64F2450B">
            <wp:extent cx="3902710" cy="3896995"/>
            <wp:effectExtent l="0" t="0" r="2540" b="825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02710" cy="3896995"/>
                    </a:xfrm>
                    <a:prstGeom prst="rect">
                      <a:avLst/>
                    </a:prstGeom>
                  </pic:spPr>
                </pic:pic>
              </a:graphicData>
            </a:graphic>
          </wp:inline>
        </w:drawing>
      </w:r>
    </w:p>
    <w:p w14:paraId="4850DCFF" w14:textId="305507BA" w:rsidR="00EA28F8" w:rsidRDefault="001766E5" w:rsidP="001766E5">
      <w:pPr>
        <w:spacing w:before="80" w:after="8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Figure 3</w:t>
      </w:r>
    </w:p>
    <w:p w14:paraId="46CD7D2B" w14:textId="4060FDF5" w:rsidR="00375D7E" w:rsidRDefault="00A508DC" w:rsidP="001766E5">
      <w:pPr>
        <w:spacing w:before="80" w:after="80" w:line="480" w:lineRule="auto"/>
        <w:rPr>
          <w:rFonts w:ascii="Times New Roman" w:hAnsi="Times New Roman" w:cs="Times New Roman"/>
          <w:sz w:val="24"/>
          <w:szCs w:val="24"/>
          <w:lang w:val="en-US"/>
        </w:rPr>
      </w:pPr>
      <w:r>
        <w:rPr>
          <w:noProof/>
          <w:lang w:eastAsia="pt-PT"/>
        </w:rPr>
        <w:drawing>
          <wp:inline distT="0" distB="0" distL="0" distR="0" wp14:anchorId="63FB7A4A" wp14:editId="7D6DBC41">
            <wp:extent cx="3902710" cy="3902710"/>
            <wp:effectExtent l="0" t="0" r="2540" b="254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02710" cy="3902710"/>
                    </a:xfrm>
                    <a:prstGeom prst="rect">
                      <a:avLst/>
                    </a:prstGeom>
                  </pic:spPr>
                </pic:pic>
              </a:graphicData>
            </a:graphic>
          </wp:inline>
        </w:drawing>
      </w:r>
    </w:p>
    <w:sectPr w:rsidR="00375D7E" w:rsidSect="00A14B97">
      <w:pgSz w:w="11906" w:h="16838"/>
      <w:pgMar w:top="1440" w:right="2880" w:bottom="1440" w:left="288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65CAF" w14:textId="77777777" w:rsidR="003746EF" w:rsidRDefault="003746EF" w:rsidP="008E6CF4">
      <w:pPr>
        <w:spacing w:after="0" w:line="240" w:lineRule="auto"/>
      </w:pPr>
      <w:r>
        <w:separator/>
      </w:r>
    </w:p>
  </w:endnote>
  <w:endnote w:type="continuationSeparator" w:id="0">
    <w:p w14:paraId="24E502A3" w14:textId="77777777" w:rsidR="003746EF" w:rsidRDefault="003746EF" w:rsidP="008E6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B7064" w14:textId="77777777" w:rsidR="003746EF" w:rsidRDefault="003746EF" w:rsidP="008E6CF4">
      <w:pPr>
        <w:spacing w:after="0" w:line="240" w:lineRule="auto"/>
      </w:pPr>
      <w:r>
        <w:separator/>
      </w:r>
    </w:p>
  </w:footnote>
  <w:footnote w:type="continuationSeparator" w:id="0">
    <w:p w14:paraId="6961083D" w14:textId="77777777" w:rsidR="003746EF" w:rsidRDefault="003746EF" w:rsidP="008E6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233942"/>
      <w:docPartObj>
        <w:docPartGallery w:val="Page Numbers (Top of Page)"/>
        <w:docPartUnique/>
      </w:docPartObj>
    </w:sdtPr>
    <w:sdtEndPr/>
    <w:sdtContent>
      <w:p w14:paraId="2D8CDC59" w14:textId="5F0E6F90" w:rsidR="00BC6FB0" w:rsidRDefault="00BC6FB0">
        <w:pPr>
          <w:pStyle w:val="Cabealho"/>
          <w:jc w:val="right"/>
        </w:pPr>
        <w:r>
          <w:fldChar w:fldCharType="begin"/>
        </w:r>
        <w:r>
          <w:instrText>PAGE   \* MERGEFORMAT</w:instrText>
        </w:r>
        <w:r>
          <w:fldChar w:fldCharType="separate"/>
        </w:r>
        <w:r w:rsidR="00155830">
          <w:rPr>
            <w:noProof/>
          </w:rPr>
          <w:t>5</w:t>
        </w:r>
        <w:r>
          <w:fldChar w:fldCharType="end"/>
        </w:r>
      </w:p>
    </w:sdtContent>
  </w:sdt>
  <w:p w14:paraId="0FEE1103" w14:textId="77777777" w:rsidR="00BC6FB0" w:rsidRDefault="00BC6FB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6E89"/>
    <w:multiLevelType w:val="hybridMultilevel"/>
    <w:tmpl w:val="8334E18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09"/>
    <w:rsid w:val="000004B5"/>
    <w:rsid w:val="000010D5"/>
    <w:rsid w:val="0000437A"/>
    <w:rsid w:val="0001651E"/>
    <w:rsid w:val="00016D0E"/>
    <w:rsid w:val="00017443"/>
    <w:rsid w:val="000200FC"/>
    <w:rsid w:val="00020493"/>
    <w:rsid w:val="000215B3"/>
    <w:rsid w:val="000243FA"/>
    <w:rsid w:val="000360F3"/>
    <w:rsid w:val="00043524"/>
    <w:rsid w:val="000462E6"/>
    <w:rsid w:val="00057D87"/>
    <w:rsid w:val="00062A9C"/>
    <w:rsid w:val="00072301"/>
    <w:rsid w:val="0007452A"/>
    <w:rsid w:val="00081CAB"/>
    <w:rsid w:val="000962C1"/>
    <w:rsid w:val="000A16B8"/>
    <w:rsid w:val="000A4454"/>
    <w:rsid w:val="000A7798"/>
    <w:rsid w:val="000B5AD3"/>
    <w:rsid w:val="000B6992"/>
    <w:rsid w:val="000C7D25"/>
    <w:rsid w:val="000D14F5"/>
    <w:rsid w:val="000D561A"/>
    <w:rsid w:val="000E02E1"/>
    <w:rsid w:val="000E3660"/>
    <w:rsid w:val="000E3D8F"/>
    <w:rsid w:val="000E7984"/>
    <w:rsid w:val="000F037C"/>
    <w:rsid w:val="000F1056"/>
    <w:rsid w:val="000F68FD"/>
    <w:rsid w:val="000F7777"/>
    <w:rsid w:val="000F79E6"/>
    <w:rsid w:val="00106309"/>
    <w:rsid w:val="001109B8"/>
    <w:rsid w:val="00112377"/>
    <w:rsid w:val="00114747"/>
    <w:rsid w:val="00123D52"/>
    <w:rsid w:val="00125386"/>
    <w:rsid w:val="00125B18"/>
    <w:rsid w:val="00127655"/>
    <w:rsid w:val="00127FBB"/>
    <w:rsid w:val="00133CA7"/>
    <w:rsid w:val="0013720D"/>
    <w:rsid w:val="001445F1"/>
    <w:rsid w:val="00151697"/>
    <w:rsid w:val="00155830"/>
    <w:rsid w:val="00162952"/>
    <w:rsid w:val="001662E5"/>
    <w:rsid w:val="00167376"/>
    <w:rsid w:val="001766E5"/>
    <w:rsid w:val="00194B50"/>
    <w:rsid w:val="001A66EF"/>
    <w:rsid w:val="001A675C"/>
    <w:rsid w:val="001C4A74"/>
    <w:rsid w:val="001C6743"/>
    <w:rsid w:val="001D2248"/>
    <w:rsid w:val="001D5454"/>
    <w:rsid w:val="001D6E5D"/>
    <w:rsid w:val="001E609F"/>
    <w:rsid w:val="001F6BB9"/>
    <w:rsid w:val="002058DE"/>
    <w:rsid w:val="002059C0"/>
    <w:rsid w:val="00207859"/>
    <w:rsid w:val="00227DAE"/>
    <w:rsid w:val="00234809"/>
    <w:rsid w:val="00236CF0"/>
    <w:rsid w:val="0025727B"/>
    <w:rsid w:val="0026017B"/>
    <w:rsid w:val="00261E12"/>
    <w:rsid w:val="00262596"/>
    <w:rsid w:val="0026295A"/>
    <w:rsid w:val="00264BAB"/>
    <w:rsid w:val="00270160"/>
    <w:rsid w:val="00273125"/>
    <w:rsid w:val="002824F2"/>
    <w:rsid w:val="00293749"/>
    <w:rsid w:val="00294589"/>
    <w:rsid w:val="00297E42"/>
    <w:rsid w:val="002A4D80"/>
    <w:rsid w:val="002A6BAF"/>
    <w:rsid w:val="002B2E9C"/>
    <w:rsid w:val="002C0B4C"/>
    <w:rsid w:val="002C1A3C"/>
    <w:rsid w:val="002C77F4"/>
    <w:rsid w:val="002C7FDE"/>
    <w:rsid w:val="002E0C6A"/>
    <w:rsid w:val="002E1E4A"/>
    <w:rsid w:val="002E3F46"/>
    <w:rsid w:val="002E4BF8"/>
    <w:rsid w:val="002F7C2A"/>
    <w:rsid w:val="002F7E23"/>
    <w:rsid w:val="00303ED4"/>
    <w:rsid w:val="00305C62"/>
    <w:rsid w:val="00306138"/>
    <w:rsid w:val="003079B3"/>
    <w:rsid w:val="00315927"/>
    <w:rsid w:val="00330437"/>
    <w:rsid w:val="0033393D"/>
    <w:rsid w:val="00341010"/>
    <w:rsid w:val="00342E34"/>
    <w:rsid w:val="003467B9"/>
    <w:rsid w:val="003543B3"/>
    <w:rsid w:val="003608E5"/>
    <w:rsid w:val="0036098E"/>
    <w:rsid w:val="00363774"/>
    <w:rsid w:val="00364BE3"/>
    <w:rsid w:val="003746EF"/>
    <w:rsid w:val="00375D7E"/>
    <w:rsid w:val="0037606C"/>
    <w:rsid w:val="00385F4E"/>
    <w:rsid w:val="0039166B"/>
    <w:rsid w:val="00397C0E"/>
    <w:rsid w:val="00397C1C"/>
    <w:rsid w:val="003A0637"/>
    <w:rsid w:val="003A77E5"/>
    <w:rsid w:val="003B61B2"/>
    <w:rsid w:val="003B7639"/>
    <w:rsid w:val="003C7CB6"/>
    <w:rsid w:val="003D0B9A"/>
    <w:rsid w:val="003D0D48"/>
    <w:rsid w:val="003D1194"/>
    <w:rsid w:val="003D265D"/>
    <w:rsid w:val="003D48F8"/>
    <w:rsid w:val="003D78BA"/>
    <w:rsid w:val="003E1144"/>
    <w:rsid w:val="003E2AB5"/>
    <w:rsid w:val="003F1840"/>
    <w:rsid w:val="003F2684"/>
    <w:rsid w:val="003F6750"/>
    <w:rsid w:val="00400C9F"/>
    <w:rsid w:val="00404636"/>
    <w:rsid w:val="00412ED7"/>
    <w:rsid w:val="00416741"/>
    <w:rsid w:val="00416B83"/>
    <w:rsid w:val="004170F1"/>
    <w:rsid w:val="00421050"/>
    <w:rsid w:val="004220D0"/>
    <w:rsid w:val="0043179A"/>
    <w:rsid w:val="00431A8B"/>
    <w:rsid w:val="0043514B"/>
    <w:rsid w:val="00443E3F"/>
    <w:rsid w:val="00443F67"/>
    <w:rsid w:val="0045459C"/>
    <w:rsid w:val="0046111A"/>
    <w:rsid w:val="00463028"/>
    <w:rsid w:val="004720E9"/>
    <w:rsid w:val="00474A1F"/>
    <w:rsid w:val="00484021"/>
    <w:rsid w:val="0049242E"/>
    <w:rsid w:val="004A7255"/>
    <w:rsid w:val="004C0259"/>
    <w:rsid w:val="004C32B1"/>
    <w:rsid w:val="004C6C3E"/>
    <w:rsid w:val="004D5FD6"/>
    <w:rsid w:val="004D6561"/>
    <w:rsid w:val="004D6DA7"/>
    <w:rsid w:val="004E675F"/>
    <w:rsid w:val="004F08B1"/>
    <w:rsid w:val="004F2609"/>
    <w:rsid w:val="004F2DAD"/>
    <w:rsid w:val="004F38C0"/>
    <w:rsid w:val="0051339E"/>
    <w:rsid w:val="00517AC6"/>
    <w:rsid w:val="0052625B"/>
    <w:rsid w:val="00532132"/>
    <w:rsid w:val="005357E3"/>
    <w:rsid w:val="00541ADF"/>
    <w:rsid w:val="00542CF6"/>
    <w:rsid w:val="00560A42"/>
    <w:rsid w:val="00565161"/>
    <w:rsid w:val="005703E2"/>
    <w:rsid w:val="00571760"/>
    <w:rsid w:val="005733B8"/>
    <w:rsid w:val="005745EF"/>
    <w:rsid w:val="00580947"/>
    <w:rsid w:val="005866E7"/>
    <w:rsid w:val="00587CD3"/>
    <w:rsid w:val="005A34D4"/>
    <w:rsid w:val="005A60AB"/>
    <w:rsid w:val="005B495C"/>
    <w:rsid w:val="005B58B3"/>
    <w:rsid w:val="005C267E"/>
    <w:rsid w:val="005C634F"/>
    <w:rsid w:val="005D42A8"/>
    <w:rsid w:val="005D6240"/>
    <w:rsid w:val="005E12F1"/>
    <w:rsid w:val="005E36AC"/>
    <w:rsid w:val="005F18B4"/>
    <w:rsid w:val="00603D45"/>
    <w:rsid w:val="0062223F"/>
    <w:rsid w:val="00626AB4"/>
    <w:rsid w:val="006311CD"/>
    <w:rsid w:val="006321FC"/>
    <w:rsid w:val="00634A97"/>
    <w:rsid w:val="006354D5"/>
    <w:rsid w:val="006433AD"/>
    <w:rsid w:val="00644782"/>
    <w:rsid w:val="00653F43"/>
    <w:rsid w:val="00656980"/>
    <w:rsid w:val="006655C9"/>
    <w:rsid w:val="00686963"/>
    <w:rsid w:val="006A0E73"/>
    <w:rsid w:val="006A6FFE"/>
    <w:rsid w:val="006B09AF"/>
    <w:rsid w:val="006B7F72"/>
    <w:rsid w:val="006D3777"/>
    <w:rsid w:val="006D65F1"/>
    <w:rsid w:val="006E0CB9"/>
    <w:rsid w:val="006E6F67"/>
    <w:rsid w:val="006F4BA0"/>
    <w:rsid w:val="006F7195"/>
    <w:rsid w:val="007027D2"/>
    <w:rsid w:val="007200B1"/>
    <w:rsid w:val="0072092D"/>
    <w:rsid w:val="007307C2"/>
    <w:rsid w:val="0073626B"/>
    <w:rsid w:val="00744C75"/>
    <w:rsid w:val="00745707"/>
    <w:rsid w:val="00766FF6"/>
    <w:rsid w:val="00772933"/>
    <w:rsid w:val="007732E8"/>
    <w:rsid w:val="00773BB1"/>
    <w:rsid w:val="00780932"/>
    <w:rsid w:val="00786D7F"/>
    <w:rsid w:val="00791403"/>
    <w:rsid w:val="00793B0F"/>
    <w:rsid w:val="007A1DA4"/>
    <w:rsid w:val="007A4A1A"/>
    <w:rsid w:val="007B0DD9"/>
    <w:rsid w:val="007B3700"/>
    <w:rsid w:val="007B6018"/>
    <w:rsid w:val="007C4F98"/>
    <w:rsid w:val="007D34B0"/>
    <w:rsid w:val="007D43FE"/>
    <w:rsid w:val="007D750A"/>
    <w:rsid w:val="007E5FBD"/>
    <w:rsid w:val="007E6E95"/>
    <w:rsid w:val="007F6643"/>
    <w:rsid w:val="00801B9D"/>
    <w:rsid w:val="008116E0"/>
    <w:rsid w:val="00814260"/>
    <w:rsid w:val="00822541"/>
    <w:rsid w:val="008310F7"/>
    <w:rsid w:val="0084052B"/>
    <w:rsid w:val="0084075C"/>
    <w:rsid w:val="00845538"/>
    <w:rsid w:val="00845DB1"/>
    <w:rsid w:val="00861C18"/>
    <w:rsid w:val="008703BB"/>
    <w:rsid w:val="0087076E"/>
    <w:rsid w:val="008737CC"/>
    <w:rsid w:val="00881E8B"/>
    <w:rsid w:val="00882FC9"/>
    <w:rsid w:val="0089530C"/>
    <w:rsid w:val="00895EF1"/>
    <w:rsid w:val="00896465"/>
    <w:rsid w:val="00897ACA"/>
    <w:rsid w:val="008A3221"/>
    <w:rsid w:val="008B25E9"/>
    <w:rsid w:val="008B30CA"/>
    <w:rsid w:val="008B725B"/>
    <w:rsid w:val="008C13C2"/>
    <w:rsid w:val="008C5E6B"/>
    <w:rsid w:val="008C6222"/>
    <w:rsid w:val="008D22BB"/>
    <w:rsid w:val="008E2530"/>
    <w:rsid w:val="008E6CF4"/>
    <w:rsid w:val="008F364B"/>
    <w:rsid w:val="008F41FE"/>
    <w:rsid w:val="008F76FF"/>
    <w:rsid w:val="009106A7"/>
    <w:rsid w:val="00914E97"/>
    <w:rsid w:val="0091613B"/>
    <w:rsid w:val="0092141A"/>
    <w:rsid w:val="00923A1B"/>
    <w:rsid w:val="00923BB5"/>
    <w:rsid w:val="00927FE0"/>
    <w:rsid w:val="009310C5"/>
    <w:rsid w:val="0094234A"/>
    <w:rsid w:val="00942371"/>
    <w:rsid w:val="00942BE2"/>
    <w:rsid w:val="009450C6"/>
    <w:rsid w:val="009503D7"/>
    <w:rsid w:val="00952CFE"/>
    <w:rsid w:val="0095478D"/>
    <w:rsid w:val="009608F3"/>
    <w:rsid w:val="009652D6"/>
    <w:rsid w:val="009654E9"/>
    <w:rsid w:val="00970C9E"/>
    <w:rsid w:val="0097556F"/>
    <w:rsid w:val="009837E6"/>
    <w:rsid w:val="00990BC0"/>
    <w:rsid w:val="00991229"/>
    <w:rsid w:val="009917DC"/>
    <w:rsid w:val="00994064"/>
    <w:rsid w:val="00996753"/>
    <w:rsid w:val="009B2042"/>
    <w:rsid w:val="009C3615"/>
    <w:rsid w:val="009D19C3"/>
    <w:rsid w:val="009D39E8"/>
    <w:rsid w:val="009D6E77"/>
    <w:rsid w:val="009E12BA"/>
    <w:rsid w:val="009E5808"/>
    <w:rsid w:val="009F170A"/>
    <w:rsid w:val="00A10946"/>
    <w:rsid w:val="00A12A82"/>
    <w:rsid w:val="00A13010"/>
    <w:rsid w:val="00A14B97"/>
    <w:rsid w:val="00A14EC2"/>
    <w:rsid w:val="00A1563E"/>
    <w:rsid w:val="00A36C1C"/>
    <w:rsid w:val="00A508DC"/>
    <w:rsid w:val="00A52D27"/>
    <w:rsid w:val="00A55060"/>
    <w:rsid w:val="00A6688B"/>
    <w:rsid w:val="00A66BE3"/>
    <w:rsid w:val="00A706FB"/>
    <w:rsid w:val="00A717A5"/>
    <w:rsid w:val="00A92618"/>
    <w:rsid w:val="00A95230"/>
    <w:rsid w:val="00AA2898"/>
    <w:rsid w:val="00AB10D4"/>
    <w:rsid w:val="00AB4D23"/>
    <w:rsid w:val="00AB7504"/>
    <w:rsid w:val="00AC703A"/>
    <w:rsid w:val="00AD44A7"/>
    <w:rsid w:val="00AD58E3"/>
    <w:rsid w:val="00AD5DC5"/>
    <w:rsid w:val="00AF015D"/>
    <w:rsid w:val="00AF3BCE"/>
    <w:rsid w:val="00AF5786"/>
    <w:rsid w:val="00AF7936"/>
    <w:rsid w:val="00B01040"/>
    <w:rsid w:val="00B04753"/>
    <w:rsid w:val="00B12425"/>
    <w:rsid w:val="00B13326"/>
    <w:rsid w:val="00B165C2"/>
    <w:rsid w:val="00B20346"/>
    <w:rsid w:val="00B25C9D"/>
    <w:rsid w:val="00B50FE1"/>
    <w:rsid w:val="00B55532"/>
    <w:rsid w:val="00B67325"/>
    <w:rsid w:val="00B72ABE"/>
    <w:rsid w:val="00B72D9F"/>
    <w:rsid w:val="00B7350C"/>
    <w:rsid w:val="00B760AF"/>
    <w:rsid w:val="00B76C86"/>
    <w:rsid w:val="00B80F08"/>
    <w:rsid w:val="00B816A4"/>
    <w:rsid w:val="00B85629"/>
    <w:rsid w:val="00B90FF2"/>
    <w:rsid w:val="00B91893"/>
    <w:rsid w:val="00B92CAB"/>
    <w:rsid w:val="00B94976"/>
    <w:rsid w:val="00BA099E"/>
    <w:rsid w:val="00BA13DC"/>
    <w:rsid w:val="00BB09E8"/>
    <w:rsid w:val="00BB7820"/>
    <w:rsid w:val="00BC6FB0"/>
    <w:rsid w:val="00BD34CC"/>
    <w:rsid w:val="00BE70BB"/>
    <w:rsid w:val="00BE7C23"/>
    <w:rsid w:val="00BF122A"/>
    <w:rsid w:val="00C22587"/>
    <w:rsid w:val="00C24D22"/>
    <w:rsid w:val="00C24E42"/>
    <w:rsid w:val="00C355D5"/>
    <w:rsid w:val="00C40A31"/>
    <w:rsid w:val="00C45302"/>
    <w:rsid w:val="00C50330"/>
    <w:rsid w:val="00C54DA6"/>
    <w:rsid w:val="00C63AFF"/>
    <w:rsid w:val="00C64FD0"/>
    <w:rsid w:val="00C73EB2"/>
    <w:rsid w:val="00C825E2"/>
    <w:rsid w:val="00C831B0"/>
    <w:rsid w:val="00C83A08"/>
    <w:rsid w:val="00C84DA0"/>
    <w:rsid w:val="00C9543D"/>
    <w:rsid w:val="00CB4C64"/>
    <w:rsid w:val="00CB5B15"/>
    <w:rsid w:val="00CB681C"/>
    <w:rsid w:val="00CC0642"/>
    <w:rsid w:val="00CC2D19"/>
    <w:rsid w:val="00CC7416"/>
    <w:rsid w:val="00CD291D"/>
    <w:rsid w:val="00CD7E14"/>
    <w:rsid w:val="00CE35EB"/>
    <w:rsid w:val="00CE7570"/>
    <w:rsid w:val="00CF2818"/>
    <w:rsid w:val="00CF52DA"/>
    <w:rsid w:val="00D11A76"/>
    <w:rsid w:val="00D13E88"/>
    <w:rsid w:val="00D1576C"/>
    <w:rsid w:val="00D264CE"/>
    <w:rsid w:val="00D2774E"/>
    <w:rsid w:val="00D279EA"/>
    <w:rsid w:val="00D30E15"/>
    <w:rsid w:val="00D41103"/>
    <w:rsid w:val="00D45CD4"/>
    <w:rsid w:val="00D5052A"/>
    <w:rsid w:val="00D63DD0"/>
    <w:rsid w:val="00D65C5A"/>
    <w:rsid w:val="00D65F86"/>
    <w:rsid w:val="00D75C98"/>
    <w:rsid w:val="00D81F73"/>
    <w:rsid w:val="00D8478F"/>
    <w:rsid w:val="00D9482A"/>
    <w:rsid w:val="00DA40B7"/>
    <w:rsid w:val="00DA4577"/>
    <w:rsid w:val="00DA74F0"/>
    <w:rsid w:val="00DB377C"/>
    <w:rsid w:val="00DB3DCF"/>
    <w:rsid w:val="00DB6405"/>
    <w:rsid w:val="00DC4F91"/>
    <w:rsid w:val="00DD701A"/>
    <w:rsid w:val="00DD78F8"/>
    <w:rsid w:val="00DD7980"/>
    <w:rsid w:val="00DE73D3"/>
    <w:rsid w:val="00DE73E1"/>
    <w:rsid w:val="00DF5F7A"/>
    <w:rsid w:val="00E05075"/>
    <w:rsid w:val="00E10AFA"/>
    <w:rsid w:val="00E10F24"/>
    <w:rsid w:val="00E16452"/>
    <w:rsid w:val="00E209A1"/>
    <w:rsid w:val="00E20D29"/>
    <w:rsid w:val="00E253E9"/>
    <w:rsid w:val="00E31E2C"/>
    <w:rsid w:val="00E36195"/>
    <w:rsid w:val="00E37700"/>
    <w:rsid w:val="00E403E4"/>
    <w:rsid w:val="00E60697"/>
    <w:rsid w:val="00E73D80"/>
    <w:rsid w:val="00E77167"/>
    <w:rsid w:val="00E935CB"/>
    <w:rsid w:val="00E965F4"/>
    <w:rsid w:val="00EA28F8"/>
    <w:rsid w:val="00EA31C6"/>
    <w:rsid w:val="00EB4B82"/>
    <w:rsid w:val="00ED270D"/>
    <w:rsid w:val="00ED569A"/>
    <w:rsid w:val="00ED7979"/>
    <w:rsid w:val="00EE2397"/>
    <w:rsid w:val="00EE4D78"/>
    <w:rsid w:val="00EF158A"/>
    <w:rsid w:val="00F0382C"/>
    <w:rsid w:val="00F11F00"/>
    <w:rsid w:val="00F15E74"/>
    <w:rsid w:val="00F22633"/>
    <w:rsid w:val="00F2472E"/>
    <w:rsid w:val="00F31B66"/>
    <w:rsid w:val="00F37126"/>
    <w:rsid w:val="00F44252"/>
    <w:rsid w:val="00F44E9C"/>
    <w:rsid w:val="00F50312"/>
    <w:rsid w:val="00F52673"/>
    <w:rsid w:val="00F53CC6"/>
    <w:rsid w:val="00F5798D"/>
    <w:rsid w:val="00F60F5D"/>
    <w:rsid w:val="00F64FA2"/>
    <w:rsid w:val="00F65BB2"/>
    <w:rsid w:val="00F74219"/>
    <w:rsid w:val="00F74693"/>
    <w:rsid w:val="00F85FB2"/>
    <w:rsid w:val="00F923CE"/>
    <w:rsid w:val="00F95AA9"/>
    <w:rsid w:val="00FA0481"/>
    <w:rsid w:val="00FA05CF"/>
    <w:rsid w:val="00FB0A63"/>
    <w:rsid w:val="00FB6607"/>
    <w:rsid w:val="00FC1E38"/>
    <w:rsid w:val="00FC42F1"/>
    <w:rsid w:val="00FC7558"/>
    <w:rsid w:val="00FE5AC8"/>
    <w:rsid w:val="00FE619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B187"/>
  <w15:docId w15:val="{80B50730-2605-4A5D-8707-E96D4A2B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8E6CF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E6CF4"/>
  </w:style>
  <w:style w:type="paragraph" w:styleId="Rodap">
    <w:name w:val="footer"/>
    <w:basedOn w:val="Normal"/>
    <w:link w:val="RodapCarter"/>
    <w:uiPriority w:val="99"/>
    <w:unhideWhenUsed/>
    <w:rsid w:val="008E6CF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E6CF4"/>
  </w:style>
  <w:style w:type="character" w:styleId="Hiperligao">
    <w:name w:val="Hyperlink"/>
    <w:basedOn w:val="Tipodeletrapredefinidodopargrafo"/>
    <w:uiPriority w:val="99"/>
    <w:unhideWhenUsed/>
    <w:rsid w:val="00F64FA2"/>
    <w:rPr>
      <w:color w:val="0000FF"/>
      <w:u w:val="single"/>
    </w:rPr>
  </w:style>
  <w:style w:type="table" w:customStyle="1" w:styleId="TabelaSimples21">
    <w:name w:val="Tabela Simples 21"/>
    <w:basedOn w:val="Tabelanormal"/>
    <w:uiPriority w:val="42"/>
    <w:rsid w:val="00EA28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Refdecomentrio">
    <w:name w:val="annotation reference"/>
    <w:basedOn w:val="Tipodeletrapredefinidodopargrafo"/>
    <w:uiPriority w:val="99"/>
    <w:semiHidden/>
    <w:unhideWhenUsed/>
    <w:rsid w:val="006311CD"/>
    <w:rPr>
      <w:sz w:val="16"/>
      <w:szCs w:val="16"/>
    </w:rPr>
  </w:style>
  <w:style w:type="paragraph" w:styleId="Textodecomentrio">
    <w:name w:val="annotation text"/>
    <w:basedOn w:val="Normal"/>
    <w:link w:val="TextodecomentrioCarter"/>
    <w:uiPriority w:val="99"/>
    <w:semiHidden/>
    <w:unhideWhenUsed/>
    <w:rsid w:val="006311C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6311CD"/>
    <w:rPr>
      <w:sz w:val="20"/>
      <w:szCs w:val="20"/>
    </w:rPr>
  </w:style>
  <w:style w:type="paragraph" w:styleId="Textodebalo">
    <w:name w:val="Balloon Text"/>
    <w:basedOn w:val="Normal"/>
    <w:link w:val="TextodebaloCarter"/>
    <w:uiPriority w:val="99"/>
    <w:semiHidden/>
    <w:unhideWhenUsed/>
    <w:rsid w:val="006311CD"/>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6311CD"/>
    <w:rPr>
      <w:rFonts w:ascii="Segoe UI" w:hAnsi="Segoe UI" w:cs="Segoe UI"/>
      <w:sz w:val="18"/>
      <w:szCs w:val="18"/>
    </w:rPr>
  </w:style>
  <w:style w:type="table" w:styleId="Tabelacomgrelha">
    <w:name w:val="Table Grid"/>
    <w:basedOn w:val="Tabelanormal"/>
    <w:uiPriority w:val="59"/>
    <w:rsid w:val="00F92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untodecomentrio">
    <w:name w:val="annotation subject"/>
    <w:basedOn w:val="Textodecomentrio"/>
    <w:next w:val="Textodecomentrio"/>
    <w:link w:val="AssuntodecomentrioCarter"/>
    <w:uiPriority w:val="99"/>
    <w:semiHidden/>
    <w:unhideWhenUsed/>
    <w:rsid w:val="00780932"/>
    <w:rPr>
      <w:b/>
      <w:bCs/>
    </w:rPr>
  </w:style>
  <w:style w:type="character" w:customStyle="1" w:styleId="AssuntodecomentrioCarter">
    <w:name w:val="Assunto de comentário Caráter"/>
    <w:basedOn w:val="TextodecomentrioCarter"/>
    <w:link w:val="Assuntodecomentrio"/>
    <w:uiPriority w:val="99"/>
    <w:semiHidden/>
    <w:rsid w:val="00780932"/>
    <w:rPr>
      <w:b/>
      <w:bCs/>
      <w:sz w:val="20"/>
      <w:szCs w:val="20"/>
    </w:rPr>
  </w:style>
  <w:style w:type="table" w:customStyle="1" w:styleId="TabelaSimples22">
    <w:name w:val="Tabela Simples 22"/>
    <w:basedOn w:val="Tabelanormal"/>
    <w:uiPriority w:val="42"/>
    <w:rsid w:val="00D65F8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emEspaamento">
    <w:name w:val="No Spacing"/>
    <w:uiPriority w:val="1"/>
    <w:qFormat/>
    <w:rsid w:val="00AB7504"/>
    <w:pPr>
      <w:spacing w:after="0" w:line="240" w:lineRule="auto"/>
    </w:pPr>
  </w:style>
  <w:style w:type="paragraph" w:styleId="Reviso">
    <w:name w:val="Revision"/>
    <w:hidden/>
    <w:uiPriority w:val="99"/>
    <w:semiHidden/>
    <w:rsid w:val="003E1144"/>
    <w:pPr>
      <w:spacing w:after="0" w:line="240" w:lineRule="auto"/>
    </w:pPr>
  </w:style>
  <w:style w:type="character" w:styleId="Nmerodelinha">
    <w:name w:val="line number"/>
    <w:basedOn w:val="Tipodeletrapredefinidodopargrafo"/>
    <w:uiPriority w:val="99"/>
    <w:semiHidden/>
    <w:unhideWhenUsed/>
    <w:rsid w:val="00A14B97"/>
  </w:style>
  <w:style w:type="table" w:customStyle="1" w:styleId="TabelacomGrelhaClara1">
    <w:name w:val="Tabela com Grelha Clara1"/>
    <w:basedOn w:val="Tabelanormal"/>
    <w:uiPriority w:val="40"/>
    <w:rsid w:val="005321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grafodaLista">
    <w:name w:val="List Paragraph"/>
    <w:basedOn w:val="Normal"/>
    <w:uiPriority w:val="34"/>
    <w:qFormat/>
    <w:rsid w:val="00BD3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becasis@ipolisboa.min-saude.pt"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7253D-A59A-400F-96F9-FFD0F60C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5751</Words>
  <Characters>31060</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Abecasis</dc:creator>
  <cp:lastModifiedBy>pai</cp:lastModifiedBy>
  <cp:revision>9</cp:revision>
  <cp:lastPrinted>2019-07-01T11:03:00Z</cp:lastPrinted>
  <dcterms:created xsi:type="dcterms:W3CDTF">2019-07-01T11:03:00Z</dcterms:created>
  <dcterms:modified xsi:type="dcterms:W3CDTF">2019-08-06T20:32:00Z</dcterms:modified>
</cp:coreProperties>
</file>