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38" w:rsidRPr="003A19BB" w:rsidRDefault="00621838" w:rsidP="00621838">
      <w:pPr>
        <w:spacing w:line="480" w:lineRule="auto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3A19BB">
        <w:rPr>
          <w:rFonts w:ascii="Arial" w:hAnsi="Arial" w:cs="Arial"/>
          <w:b/>
          <w:sz w:val="24"/>
          <w:lang w:val="en-GB"/>
        </w:rPr>
        <w:t>Tables</w:t>
      </w:r>
    </w:p>
    <w:p w:rsidR="00621838" w:rsidRPr="00F620A0" w:rsidRDefault="00621838" w:rsidP="00621838">
      <w:pPr>
        <w:rPr>
          <w:rFonts w:ascii="Arial" w:hAnsi="Arial" w:cs="Arial"/>
          <w:sz w:val="24"/>
          <w:szCs w:val="24"/>
          <w:highlight w:val="green"/>
          <w:lang w:val="en-GB"/>
        </w:rPr>
      </w:pPr>
      <w:r w:rsidRPr="00F620A0">
        <w:rPr>
          <w:rFonts w:ascii="Arial" w:hAnsi="Arial" w:cs="Arial"/>
          <w:sz w:val="24"/>
          <w:szCs w:val="24"/>
          <w:highlight w:val="green"/>
          <w:lang w:val="en-GB"/>
        </w:rPr>
        <w:t xml:space="preserve">Table 1. Clinical diagnosis and known aetiologies of the 29 patients.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21838" w:rsidRPr="00F620A0" w:rsidTr="005D69AF">
        <w:trPr>
          <w:trHeight w:val="1383"/>
        </w:trPr>
        <w:tc>
          <w:tcPr>
            <w:tcW w:w="8494" w:type="dxa"/>
          </w:tcPr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>Lennox-Gastaut syndrome (9)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Style w:val="nfase"/>
                <w:rFonts w:ascii="Arial" w:hAnsi="Arial" w:cs="Arial"/>
                <w:i w:val="0"/>
                <w:iCs w:val="0"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Postinfectious</w:t>
            </w:r>
            <w:r w:rsidRPr="00F620A0">
              <w:rPr>
                <w:rFonts w:ascii="Arial" w:hAnsi="Arial" w:cs="Arial"/>
                <w:color w:val="FF0000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(3)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Style w:val="nfase"/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del  22q11.21 (1)*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Style w:val="st"/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DB5D9B">
              <w:rPr>
                <w:rStyle w:val="nfase"/>
                <w:rFonts w:ascii="Arial" w:hAnsi="Arial" w:cs="Arial"/>
                <w:i w:val="0"/>
                <w:sz w:val="24"/>
                <w:szCs w:val="24"/>
                <w:highlight w:val="green"/>
                <w:lang w:val="en-GB"/>
              </w:rPr>
              <w:t>Focal cortical</w:t>
            </w:r>
            <w:r w:rsidRPr="00DB5D9B">
              <w:rPr>
                <w:rStyle w:val="st"/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dysplasia</w:t>
            </w:r>
            <w:r w:rsidRPr="00F620A0">
              <w:rPr>
                <w:rStyle w:val="st"/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type II (1)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Multifocal cortical dysplasia (1)</w:t>
            </w:r>
          </w:p>
          <w:p w:rsidR="00621838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F620A0">
              <w:rPr>
                <w:rFonts w:ascii="Arial" w:hAnsi="Arial" w:cs="Arial"/>
                <w:i/>
                <w:sz w:val="24"/>
                <w:szCs w:val="24"/>
                <w:highlight w:val="green"/>
                <w:lang w:val="en-GB"/>
              </w:rPr>
              <w:t>SYNGAP1</w:t>
            </w: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mutation (1)</w:t>
            </w:r>
          </w:p>
          <w:p w:rsidR="00DB5D9B" w:rsidRPr="00DB5D9B" w:rsidRDefault="00DB5D9B" w:rsidP="00DB5D9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E4620F">
              <w:rPr>
                <w:rFonts w:ascii="Arial" w:hAnsi="Arial" w:cs="Arial"/>
                <w:i/>
                <w:sz w:val="24"/>
                <w:szCs w:val="24"/>
                <w:highlight w:val="green"/>
                <w:lang w:val="en-GB"/>
              </w:rPr>
              <w:t xml:space="preserve">No defined aetiology </w:t>
            </w: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(2)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>West syndrome (7)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Perinatal stroke (2)</w:t>
            </w: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    </w:t>
            </w:r>
          </w:p>
          <w:p w:rsidR="00621838" w:rsidRPr="00E97E3B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fr-FR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E97E3B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>MCD (2)*</w:t>
            </w:r>
          </w:p>
          <w:p w:rsidR="00621838" w:rsidRPr="00E97E3B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</w:pPr>
            <w:r w:rsidRPr="00E97E3B">
              <w:rPr>
                <w:rFonts w:ascii="Arial" w:hAnsi="Arial" w:cs="Arial"/>
                <w:b/>
                <w:sz w:val="24"/>
                <w:szCs w:val="24"/>
                <w:highlight w:val="green"/>
                <w:lang w:val="fr-FR"/>
              </w:rPr>
              <w:t xml:space="preserve">        </w:t>
            </w:r>
            <w:r w:rsidRPr="00E97E3B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>PEHO syndrome (1)*</w:t>
            </w:r>
          </w:p>
          <w:p w:rsidR="00621838" w:rsidRPr="00E97E3B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</w:pPr>
            <w:r w:rsidRPr="00E97E3B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 xml:space="preserve">        </w:t>
            </w:r>
            <w:r w:rsidRPr="00E97E3B">
              <w:rPr>
                <w:rFonts w:ascii="Arial" w:hAnsi="Arial" w:cs="Arial"/>
                <w:i/>
                <w:sz w:val="24"/>
                <w:szCs w:val="24"/>
                <w:highlight w:val="green"/>
                <w:lang w:val="fr-FR"/>
              </w:rPr>
              <w:t>MAGI 2</w:t>
            </w:r>
            <w:r w:rsidRPr="00E97E3B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 xml:space="preserve"> mutation (1)*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green"/>
                <w:lang w:val="en-GB"/>
              </w:rPr>
            </w:pPr>
            <w:r w:rsidRPr="00E97E3B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 xml:space="preserve">        </w:t>
            </w:r>
            <w:r w:rsidRPr="00F620A0">
              <w:rPr>
                <w:rFonts w:ascii="Arial" w:hAnsi="Arial" w:cs="Arial"/>
                <w:iCs/>
                <w:sz w:val="24"/>
                <w:szCs w:val="24"/>
                <w:highlight w:val="green"/>
                <w:lang w:val="en-GB"/>
              </w:rPr>
              <w:t>Tetrasomy 15q 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Epilepsy with </w:t>
            </w: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  <w:lang w:val="en-GB"/>
              </w:rPr>
              <w:t>myoclonic</w:t>
            </w: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>-</w:t>
            </w: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  <w:lang w:val="en-GB"/>
              </w:rPr>
              <w:t>atonic seizures (4)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  <w:lang w:val="en-GB"/>
              </w:rPr>
              <w:t>Ohtahara syndrome (2)</w:t>
            </w:r>
          </w:p>
          <w:p w:rsidR="00621838" w:rsidRDefault="00621838" w:rsidP="005D69AF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       </w:t>
            </w:r>
            <w:r w:rsidRPr="00F620A0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Classic lissencephaly due to mutation (1)</w:t>
            </w:r>
          </w:p>
          <w:p w:rsidR="00DB5D9B" w:rsidRPr="00DB5D9B" w:rsidRDefault="00DB5D9B" w:rsidP="00DB5D9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       </w:t>
            </w:r>
            <w:r w:rsidRPr="00E4620F">
              <w:rPr>
                <w:rFonts w:ascii="Arial" w:hAnsi="Arial" w:cs="Arial"/>
                <w:i/>
                <w:sz w:val="24"/>
                <w:szCs w:val="24"/>
                <w:highlight w:val="green"/>
                <w:lang w:val="en-GB"/>
              </w:rPr>
              <w:t xml:space="preserve">No defined aetiology </w:t>
            </w: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</w:rPr>
              <w:t>Myoclonic epilepsy</w:t>
            </w:r>
            <w:r w:rsidRPr="00F620A0"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  <w:t xml:space="preserve"> in infancy</w:t>
            </w:r>
            <w:r w:rsidRPr="00F620A0">
              <w:rPr>
                <w:rStyle w:val="st"/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Pr="00F620A0"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  <w:t>(2)</w:t>
            </w:r>
            <w:r w:rsidRPr="00F620A0">
              <w:rPr>
                <w:rStyle w:val="st"/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  <w:lang w:val="en-GB"/>
              </w:rPr>
              <w:t>Landau-Kleffner syndrome 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Fonts w:ascii="Arial" w:hAnsi="Arial" w:cs="Arial"/>
                <w:b/>
                <w:iCs/>
                <w:sz w:val="24"/>
                <w:szCs w:val="24"/>
                <w:highlight w:val="green"/>
                <w:lang w:val="en-GB"/>
              </w:rPr>
              <w:t>Dravet syndrome 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  <w:t>Focal epilepsy (1)</w:t>
            </w:r>
          </w:p>
          <w:p w:rsidR="00621838" w:rsidRPr="00F620A0" w:rsidRDefault="00621838" w:rsidP="005D69AF">
            <w:pPr>
              <w:pStyle w:val="PargrafodaLista"/>
              <w:spacing w:after="0" w:line="240" w:lineRule="auto"/>
              <w:rPr>
                <w:rStyle w:val="st"/>
                <w:rFonts w:ascii="Arial" w:hAnsi="Arial" w:cs="Arial"/>
                <w:b/>
                <w:i/>
                <w:sz w:val="24"/>
                <w:szCs w:val="24"/>
                <w:highlight w:val="green"/>
              </w:rPr>
            </w:pPr>
            <w:r w:rsidRPr="00F620A0">
              <w:rPr>
                <w:rStyle w:val="st"/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      </w:t>
            </w:r>
            <w:r w:rsidRPr="00DB5D9B">
              <w:rPr>
                <w:rStyle w:val="nfase"/>
                <w:rFonts w:ascii="Arial" w:hAnsi="Arial" w:cs="Arial"/>
                <w:i w:val="0"/>
                <w:sz w:val="24"/>
                <w:szCs w:val="24"/>
                <w:highlight w:val="green"/>
              </w:rPr>
              <w:t>Tuberous sclerosis</w:t>
            </w:r>
            <w:r w:rsidRPr="00F620A0">
              <w:rPr>
                <w:rStyle w:val="st"/>
                <w:rFonts w:ascii="Arial" w:hAnsi="Arial" w:cs="Arial"/>
                <w:i/>
                <w:sz w:val="24"/>
                <w:szCs w:val="24"/>
                <w:highlight w:val="green"/>
              </w:rPr>
              <w:t xml:space="preserve"> </w:t>
            </w:r>
            <w:r w:rsidRPr="00F620A0">
              <w:rPr>
                <w:rStyle w:val="st"/>
                <w:rFonts w:ascii="Arial" w:hAnsi="Arial" w:cs="Arial"/>
                <w:sz w:val="24"/>
                <w:szCs w:val="24"/>
                <w:highlight w:val="green"/>
              </w:rPr>
              <w:t>complex 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Generalized absence epilepsy (1)</w:t>
            </w:r>
          </w:p>
          <w:p w:rsidR="00621838" w:rsidRPr="00F620A0" w:rsidRDefault="00621838" w:rsidP="006218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620A0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FIRES (1)*</w:t>
            </w:r>
          </w:p>
        </w:tc>
      </w:tr>
    </w:tbl>
    <w:p w:rsidR="00621838" w:rsidRPr="00BA62CD" w:rsidRDefault="00621838" w:rsidP="00621838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620A0">
        <w:rPr>
          <w:rFonts w:ascii="Arial" w:hAnsi="Arial" w:cs="Arial"/>
          <w:sz w:val="24"/>
          <w:szCs w:val="24"/>
          <w:highlight w:val="green"/>
          <w:lang w:val="en-US"/>
        </w:rPr>
        <w:t xml:space="preserve">*del – deletion; FIRES – Febrile Infection-Related Epilepsy Syndrome; </w:t>
      </w:r>
      <w:r w:rsidRPr="00F620A0">
        <w:rPr>
          <w:rFonts w:ascii="Arial" w:hAnsi="Arial" w:cs="Arial"/>
          <w:sz w:val="24"/>
          <w:szCs w:val="24"/>
          <w:highlight w:val="green"/>
          <w:lang w:val="en-GB"/>
        </w:rPr>
        <w:t xml:space="preserve">MAGI 2 - </w:t>
      </w:r>
      <w:r w:rsidRPr="00F620A0">
        <w:rPr>
          <w:rFonts w:ascii="Arial" w:hAnsi="Arial" w:cs="Arial"/>
          <w:sz w:val="24"/>
          <w:szCs w:val="24"/>
          <w:highlight w:val="green"/>
          <w:lang w:val="en-US"/>
        </w:rPr>
        <w:t>Membrane-Associated Guanylate kinase Inverted 2</w:t>
      </w:r>
      <w:r w:rsidRPr="00F620A0">
        <w:rPr>
          <w:rFonts w:ascii="Arial" w:hAnsi="Arial" w:cs="Arial"/>
          <w:sz w:val="24"/>
          <w:szCs w:val="24"/>
          <w:highlight w:val="green"/>
          <w:lang w:val="en-GB"/>
        </w:rPr>
        <w:t xml:space="preserve">; </w:t>
      </w:r>
      <w:r w:rsidRPr="00F620A0">
        <w:rPr>
          <w:rFonts w:ascii="Arial" w:hAnsi="Arial" w:cs="Arial"/>
          <w:sz w:val="24"/>
          <w:szCs w:val="24"/>
          <w:highlight w:val="green"/>
          <w:lang w:val="en-US"/>
        </w:rPr>
        <w:t xml:space="preserve">MCD - </w:t>
      </w:r>
      <w:r w:rsidRPr="00F620A0">
        <w:rPr>
          <w:rStyle w:val="nfase"/>
          <w:rFonts w:ascii="Arial" w:hAnsi="Arial" w:cs="Arial"/>
          <w:sz w:val="24"/>
          <w:szCs w:val="24"/>
          <w:highlight w:val="green"/>
          <w:lang w:val="en-US"/>
        </w:rPr>
        <w:t>Malformations</w:t>
      </w:r>
      <w:r w:rsidRPr="00154D5E">
        <w:rPr>
          <w:rStyle w:val="st"/>
          <w:rFonts w:ascii="Arial" w:hAnsi="Arial" w:cs="Arial"/>
          <w:sz w:val="24"/>
          <w:szCs w:val="24"/>
          <w:highlight w:val="green"/>
          <w:lang w:val="en-US"/>
        </w:rPr>
        <w:t xml:space="preserve"> of</w:t>
      </w:r>
      <w:r w:rsidRPr="00F620A0">
        <w:rPr>
          <w:rStyle w:val="st"/>
          <w:rFonts w:ascii="Arial" w:hAnsi="Arial" w:cs="Arial"/>
          <w:i/>
          <w:sz w:val="24"/>
          <w:szCs w:val="24"/>
          <w:highlight w:val="green"/>
          <w:lang w:val="en-US"/>
        </w:rPr>
        <w:t xml:space="preserve"> </w:t>
      </w:r>
      <w:r w:rsidRPr="00F620A0">
        <w:rPr>
          <w:rStyle w:val="nfase"/>
          <w:rFonts w:ascii="Arial" w:hAnsi="Arial" w:cs="Arial"/>
          <w:sz w:val="24"/>
          <w:szCs w:val="24"/>
          <w:highlight w:val="green"/>
          <w:lang w:val="en-US"/>
        </w:rPr>
        <w:t>Cortical Development;</w:t>
      </w:r>
      <w:r w:rsidRPr="00F620A0">
        <w:rPr>
          <w:rStyle w:val="st"/>
          <w:rFonts w:ascii="Arial" w:hAnsi="Arial" w:cs="Arial"/>
          <w:sz w:val="24"/>
          <w:szCs w:val="24"/>
          <w:highlight w:val="green"/>
          <w:lang w:val="en-US"/>
        </w:rPr>
        <w:t xml:space="preserve"> </w:t>
      </w:r>
      <w:r w:rsidRPr="00154D5E">
        <w:rPr>
          <w:rFonts w:ascii="Arial" w:hAnsi="Arial" w:cs="Arial"/>
          <w:sz w:val="24"/>
          <w:szCs w:val="24"/>
          <w:highlight w:val="green"/>
          <w:lang w:val="en-US"/>
        </w:rPr>
        <w:t>PEHO</w:t>
      </w:r>
      <w:r w:rsidRPr="00F620A0">
        <w:rPr>
          <w:rFonts w:ascii="Arial" w:hAnsi="Arial" w:cs="Arial"/>
          <w:sz w:val="24"/>
          <w:szCs w:val="24"/>
          <w:highlight w:val="green"/>
          <w:lang w:val="en-US"/>
        </w:rPr>
        <w:t xml:space="preserve"> - </w:t>
      </w:r>
      <w:r w:rsidRPr="00F620A0">
        <w:rPr>
          <w:rStyle w:val="st"/>
          <w:rFonts w:ascii="Arial" w:hAnsi="Arial" w:cs="Arial"/>
          <w:sz w:val="24"/>
          <w:szCs w:val="24"/>
          <w:highlight w:val="green"/>
          <w:lang w:val="en-US"/>
        </w:rPr>
        <w:t>Progressive encephalopathy with Edema, Hypsarrhythmia and Optic atrophy</w:t>
      </w:r>
      <w:r w:rsidRPr="00F620A0">
        <w:rPr>
          <w:rFonts w:ascii="Arial" w:hAnsi="Arial" w:cs="Arial"/>
          <w:b/>
          <w:sz w:val="24"/>
          <w:szCs w:val="24"/>
          <w:highlight w:val="green"/>
          <w:lang w:val="en-US"/>
        </w:rPr>
        <w:t>.</w:t>
      </w:r>
      <w:r w:rsidRPr="00BA62C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621838" w:rsidRDefault="00621838" w:rsidP="0062183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21838" w:rsidRPr="00753B57" w:rsidRDefault="00621838" w:rsidP="00621838">
      <w:pPr>
        <w:jc w:val="both"/>
        <w:rPr>
          <w:rFonts w:ascii="Arial" w:hAnsi="Arial" w:cs="Arial"/>
          <w:sz w:val="24"/>
          <w:szCs w:val="24"/>
          <w:highlight w:val="green"/>
          <w:lang w:val="en-GB"/>
        </w:rPr>
      </w:pPr>
      <w:r w:rsidRPr="00753B57">
        <w:rPr>
          <w:rFonts w:ascii="Arial" w:hAnsi="Arial" w:cs="Arial"/>
          <w:sz w:val="24"/>
          <w:szCs w:val="24"/>
          <w:highlight w:val="green"/>
          <w:lang w:val="en-GB"/>
        </w:rPr>
        <w:t xml:space="preserve">Table 2. Efficacy by electroclinical diagnosis (ILAE classification), in the 29 patients on KD for more than three months.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3"/>
        <w:gridCol w:w="676"/>
        <w:gridCol w:w="694"/>
        <w:gridCol w:w="694"/>
        <w:gridCol w:w="736"/>
        <w:gridCol w:w="694"/>
        <w:gridCol w:w="700"/>
        <w:gridCol w:w="694"/>
        <w:gridCol w:w="694"/>
        <w:gridCol w:w="676"/>
        <w:gridCol w:w="804"/>
        <w:gridCol w:w="579"/>
      </w:tblGrid>
      <w:tr w:rsidR="00621838" w:rsidRPr="00753B57" w:rsidTr="005D69AF">
        <w:tc>
          <w:tcPr>
            <w:tcW w:w="1125" w:type="dxa"/>
            <w:gridSpan w:val="2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Outcomes of Efficacy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Lennox-Gastaut syndrome (n=9)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West syndrome (n=7)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Epilepsy with myoclonic-atonic seizures (n=4)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Ohtahara syndrome (n=2)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Myoclonic epilepsy in infancy (n=2)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Landau-Kleffner syndrome (n=1)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Dravet syndrome (n=1)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Tuberous sclerosis complex (n=1)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Generalized absence epilepsy (n=1)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FIRES* (n=1)</w:t>
            </w:r>
          </w:p>
        </w:tc>
      </w:tr>
      <w:tr w:rsidR="00621838" w:rsidRPr="00753B57" w:rsidTr="005D69AF">
        <w:trPr>
          <w:trHeight w:val="225"/>
        </w:trPr>
        <w:tc>
          <w:tcPr>
            <w:tcW w:w="906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lastRenderedPageBreak/>
              <w:t>Seizure control</w:t>
            </w: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100% seizure reduction 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3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225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&gt;90% seizure reduction 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225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50-90% seizure reduction 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3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</w:tr>
      <w:tr w:rsidR="00621838" w:rsidRPr="00753B57" w:rsidTr="005D69AF">
        <w:trPr>
          <w:trHeight w:val="225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&lt;50% seizure reduction 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225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0% seizure reduction 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Improvement in awareness</w:t>
            </w: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Marked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7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5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3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Moderate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None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Improveme</w:t>
            </w: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lastRenderedPageBreak/>
              <w:t>nt in behaviour</w:t>
            </w: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lastRenderedPageBreak/>
              <w:t>Marked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6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5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4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Moderate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</w:tr>
      <w:tr w:rsidR="00621838" w:rsidRPr="00753B57" w:rsidTr="005D69AF">
        <w:trPr>
          <w:trHeight w:val="460"/>
        </w:trPr>
        <w:tc>
          <w:tcPr>
            <w:tcW w:w="906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219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None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2</w:t>
            </w:r>
          </w:p>
        </w:tc>
        <w:tc>
          <w:tcPr>
            <w:tcW w:w="78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</w:t>
            </w:r>
          </w:p>
        </w:tc>
        <w:tc>
          <w:tcPr>
            <w:tcW w:w="741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3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715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853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  <w:tc>
          <w:tcPr>
            <w:tcW w:w="61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</w:t>
            </w:r>
          </w:p>
        </w:tc>
      </w:tr>
    </w:tbl>
    <w:p w:rsidR="00621838" w:rsidRPr="00753B57" w:rsidRDefault="00621838" w:rsidP="00621838">
      <w:pPr>
        <w:jc w:val="both"/>
        <w:rPr>
          <w:rFonts w:ascii="Arial" w:hAnsi="Arial" w:cs="Arial"/>
          <w:sz w:val="24"/>
          <w:szCs w:val="24"/>
          <w:highlight w:val="green"/>
          <w:lang w:val="en-GB"/>
        </w:rPr>
      </w:pPr>
      <w:r w:rsidRPr="00753B57">
        <w:rPr>
          <w:rFonts w:ascii="Arial" w:hAnsi="Arial" w:cs="Arial"/>
          <w:sz w:val="24"/>
          <w:szCs w:val="24"/>
          <w:highlight w:val="green"/>
          <w:lang w:val="en-GB"/>
        </w:rPr>
        <w:t>*</w:t>
      </w:r>
      <w:r w:rsidRPr="00753B57">
        <w:rPr>
          <w:rFonts w:ascii="Arial" w:hAnsi="Arial" w:cs="Arial"/>
          <w:sz w:val="24"/>
          <w:szCs w:val="24"/>
          <w:highlight w:val="green"/>
          <w:lang w:val="en-US"/>
        </w:rPr>
        <w:t>FIRES – Febrile Infection-Related Epilepsy Syndrome</w:t>
      </w:r>
    </w:p>
    <w:p w:rsidR="00621838" w:rsidRPr="008C4C20" w:rsidRDefault="00621838" w:rsidP="00621838">
      <w:pPr>
        <w:rPr>
          <w:rFonts w:ascii="Arial" w:hAnsi="Arial" w:cs="Arial"/>
          <w:sz w:val="24"/>
          <w:szCs w:val="24"/>
          <w:highlight w:val="yellow"/>
          <w:lang w:val="en-GB"/>
        </w:rPr>
      </w:pPr>
    </w:p>
    <w:p w:rsidR="00621838" w:rsidRDefault="00621838" w:rsidP="00621838">
      <w:pPr>
        <w:rPr>
          <w:rFonts w:ascii="Arial" w:hAnsi="Arial" w:cs="Arial"/>
          <w:sz w:val="24"/>
          <w:szCs w:val="24"/>
          <w:highlight w:val="green"/>
          <w:lang w:val="en-GB"/>
        </w:rPr>
      </w:pPr>
      <w:r w:rsidRPr="003E2ED8">
        <w:rPr>
          <w:rFonts w:ascii="Arial" w:hAnsi="Arial" w:cs="Arial"/>
          <w:sz w:val="24"/>
          <w:szCs w:val="24"/>
          <w:highlight w:val="green"/>
          <w:lang w:val="en-GB"/>
        </w:rPr>
        <w:t xml:space="preserve">Table 3. Efficacy by pathogenic mutations and chromosome abnormalities identified in seven </w:t>
      </w:r>
      <w:r>
        <w:rPr>
          <w:rFonts w:ascii="Arial" w:hAnsi="Arial" w:cs="Arial"/>
          <w:sz w:val="24"/>
          <w:szCs w:val="24"/>
          <w:highlight w:val="green"/>
          <w:lang w:val="en-GB"/>
        </w:rPr>
        <w:t xml:space="preserve">of the 29 </w:t>
      </w:r>
      <w:r w:rsidRPr="003E2ED8">
        <w:rPr>
          <w:rFonts w:ascii="Arial" w:hAnsi="Arial" w:cs="Arial"/>
          <w:sz w:val="24"/>
          <w:szCs w:val="24"/>
          <w:highlight w:val="green"/>
          <w:lang w:val="en-GB"/>
        </w:rPr>
        <w:t xml:space="preserve">patients.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4"/>
        <w:gridCol w:w="982"/>
        <w:gridCol w:w="1072"/>
        <w:gridCol w:w="821"/>
        <w:gridCol w:w="760"/>
        <w:gridCol w:w="780"/>
        <w:gridCol w:w="760"/>
        <w:gridCol w:w="1072"/>
        <w:gridCol w:w="973"/>
      </w:tblGrid>
      <w:tr w:rsidR="00621838" w:rsidRPr="006B2D71" w:rsidTr="005D69AF">
        <w:tc>
          <w:tcPr>
            <w:tcW w:w="1529" w:type="dxa"/>
            <w:gridSpan w:val="2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Outcomes of Efficacy</w:t>
            </w:r>
          </w:p>
        </w:tc>
        <w:tc>
          <w:tcPr>
            <w:tcW w:w="694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SYNGAP1 gene</w:t>
            </w:r>
          </w:p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(n=1)</w:t>
            </w:r>
          </w:p>
        </w:tc>
        <w:tc>
          <w:tcPr>
            <w:tcW w:w="694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SCN9A gene** (n=1)</w:t>
            </w:r>
          </w:p>
        </w:tc>
        <w:tc>
          <w:tcPr>
            <w:tcW w:w="736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TSC1 gene**  (n=1)</w:t>
            </w:r>
          </w:p>
        </w:tc>
        <w:tc>
          <w:tcPr>
            <w:tcW w:w="694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MAGI2 gene** (n=1)</w:t>
            </w:r>
          </w:p>
        </w:tc>
        <w:tc>
          <w:tcPr>
            <w:tcW w:w="700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LIS gene** (n=1)</w:t>
            </w:r>
          </w:p>
        </w:tc>
        <w:tc>
          <w:tcPr>
            <w:tcW w:w="694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Fonts w:ascii="Arial" w:hAnsi="Arial" w:cs="Arial"/>
                <w:iCs/>
                <w:sz w:val="24"/>
                <w:szCs w:val="24"/>
                <w:highlight w:val="green"/>
                <w:lang w:val="en-GB"/>
              </w:rPr>
              <w:t xml:space="preserve">Tetrasomy 15q </w:t>
            </w: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(n=1)</w:t>
            </w:r>
          </w:p>
        </w:tc>
        <w:tc>
          <w:tcPr>
            <w:tcW w:w="694" w:type="dxa"/>
          </w:tcPr>
          <w:p w:rsidR="00621838" w:rsidRPr="006B2D71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6B2D71">
              <w:rPr>
                <w:rStyle w:val="nfase"/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del  22q11.21 </w:t>
            </w:r>
            <w:r w:rsidRPr="006B2D71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(n=1)</w:t>
            </w:r>
          </w:p>
        </w:tc>
      </w:tr>
      <w:tr w:rsidR="00621838" w:rsidRPr="00753B57" w:rsidTr="005D69AF">
        <w:trPr>
          <w:trHeight w:val="225"/>
        </w:trPr>
        <w:tc>
          <w:tcPr>
            <w:tcW w:w="853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Seizure control</w:t>
            </w: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100% seizure reduction 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</w:tr>
      <w:tr w:rsidR="00621838" w:rsidRPr="00753B57" w:rsidTr="005D69AF">
        <w:trPr>
          <w:trHeight w:val="225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&gt;90% seizure reduction 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225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50-90% seizure reduction 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225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&lt;50% seizure reduction 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225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0% seizure reduction 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Improvement in awareness</w:t>
            </w: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Marked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Moderate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None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 w:val="restart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lastRenderedPageBreak/>
              <w:t>Improvement in behaviour</w:t>
            </w: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Marked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Moderate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  <w:tr w:rsidR="00621838" w:rsidRPr="00753B57" w:rsidTr="005D69AF">
        <w:trPr>
          <w:trHeight w:val="460"/>
        </w:trPr>
        <w:tc>
          <w:tcPr>
            <w:tcW w:w="853" w:type="dxa"/>
            <w:vMerge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7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 w:rsidRPr="00753B57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None</w:t>
            </w: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736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X</w:t>
            </w:r>
          </w:p>
        </w:tc>
        <w:tc>
          <w:tcPr>
            <w:tcW w:w="700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694" w:type="dxa"/>
          </w:tcPr>
          <w:p w:rsidR="00621838" w:rsidRPr="00753B57" w:rsidRDefault="00621838" w:rsidP="005D69AF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</w:tr>
    </w:tbl>
    <w:p w:rsidR="00621838" w:rsidRPr="0048201C" w:rsidRDefault="00621838" w:rsidP="00621838">
      <w:pPr>
        <w:rPr>
          <w:rFonts w:ascii="Arial" w:hAnsi="Arial" w:cs="Arial"/>
          <w:sz w:val="24"/>
          <w:szCs w:val="24"/>
          <w:highlight w:val="green"/>
          <w:lang w:val="en-GB"/>
        </w:rPr>
      </w:pPr>
      <w:r w:rsidRPr="0048201C">
        <w:rPr>
          <w:rFonts w:ascii="Arial" w:hAnsi="Arial" w:cs="Arial"/>
          <w:sz w:val="24"/>
          <w:szCs w:val="24"/>
          <w:highlight w:val="green"/>
          <w:lang w:val="en-GB"/>
        </w:rPr>
        <w:t>**LIS - L</w:t>
      </w:r>
      <w:r w:rsidRPr="0048201C">
        <w:rPr>
          <w:rFonts w:ascii="Arial" w:hAnsi="Arial" w:cs="Arial"/>
          <w:sz w:val="24"/>
          <w:szCs w:val="24"/>
          <w:highlight w:val="green"/>
          <w:lang w:val="en-US"/>
        </w:rPr>
        <w:t>issencephaly</w:t>
      </w:r>
      <w:r w:rsidRPr="0048201C">
        <w:rPr>
          <w:rFonts w:ascii="Arial" w:hAnsi="Arial" w:cs="Arial"/>
          <w:sz w:val="24"/>
          <w:szCs w:val="24"/>
          <w:highlight w:val="green"/>
          <w:lang w:val="en-GB"/>
        </w:rPr>
        <w:t xml:space="preserve">; MAGI2 - </w:t>
      </w:r>
      <w:r w:rsidRPr="0048201C">
        <w:rPr>
          <w:rFonts w:ascii="Arial" w:hAnsi="Arial" w:cs="Arial"/>
          <w:sz w:val="24"/>
          <w:szCs w:val="24"/>
          <w:highlight w:val="green"/>
          <w:lang w:val="en-US"/>
        </w:rPr>
        <w:t>Membrane-Associated Guanylate kinase Inverted 2</w:t>
      </w:r>
      <w:r w:rsidRPr="0048201C">
        <w:rPr>
          <w:rFonts w:ascii="Arial" w:hAnsi="Arial" w:cs="Arial"/>
          <w:sz w:val="24"/>
          <w:szCs w:val="24"/>
          <w:highlight w:val="green"/>
          <w:lang w:val="en-GB"/>
        </w:rPr>
        <w:t xml:space="preserve">; </w:t>
      </w:r>
      <w:r w:rsidRPr="0048201C">
        <w:rPr>
          <w:rFonts w:ascii="Arial" w:hAnsi="Arial" w:cs="Arial"/>
          <w:sz w:val="24"/>
          <w:szCs w:val="24"/>
          <w:highlight w:val="green"/>
          <w:lang w:val="en-US"/>
        </w:rPr>
        <w:t xml:space="preserve">SCN9A - Sodium Voltage-Gated Channel Alpha Subunit 9 (FIRES); </w:t>
      </w:r>
      <w:r w:rsidRPr="0048201C">
        <w:rPr>
          <w:rFonts w:ascii="Arial" w:hAnsi="Arial" w:cs="Arial"/>
          <w:sz w:val="24"/>
          <w:szCs w:val="24"/>
          <w:highlight w:val="green"/>
          <w:lang w:val="en-GB"/>
        </w:rPr>
        <w:t>TSC1 - Tuberous Sclerosis 1.</w:t>
      </w:r>
    </w:p>
    <w:p w:rsidR="00621838" w:rsidRPr="008C4C20" w:rsidRDefault="00621838" w:rsidP="00621838">
      <w:pPr>
        <w:rPr>
          <w:rFonts w:ascii="Arial" w:hAnsi="Arial" w:cs="Arial"/>
          <w:sz w:val="24"/>
          <w:szCs w:val="24"/>
          <w:highlight w:val="yellow"/>
          <w:lang w:val="en-GB"/>
        </w:rPr>
      </w:pPr>
    </w:p>
    <w:p w:rsidR="00621838" w:rsidRPr="007A06F1" w:rsidRDefault="00621838" w:rsidP="00621838">
      <w:pPr>
        <w:rPr>
          <w:rFonts w:ascii="Arial" w:hAnsi="Arial" w:cs="Arial"/>
          <w:sz w:val="24"/>
          <w:szCs w:val="24"/>
          <w:highlight w:val="green"/>
          <w:lang w:val="en-GB"/>
        </w:rPr>
      </w:pPr>
      <w:r w:rsidRPr="007A06F1">
        <w:rPr>
          <w:rFonts w:ascii="Arial" w:hAnsi="Arial" w:cs="Arial"/>
          <w:sz w:val="24"/>
          <w:szCs w:val="24"/>
          <w:highlight w:val="green"/>
          <w:lang w:val="en-GB"/>
        </w:rPr>
        <w:t>Table 4. Acute and chronic secondary effects of the KD (n=29).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621838" w:rsidRPr="008C4C20" w:rsidTr="005D69AF">
        <w:tc>
          <w:tcPr>
            <w:tcW w:w="7650" w:type="dxa"/>
            <w:shd w:val="clear" w:color="auto" w:fill="F2F2F2"/>
          </w:tcPr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EC62E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Acute secondary effects </w:t>
            </w:r>
            <w:r w:rsidRPr="00EC62E5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 xml:space="preserve">(n=26) </w:t>
            </w:r>
          </w:p>
        </w:tc>
      </w:tr>
      <w:tr w:rsidR="00621838" w:rsidRPr="008C4C20" w:rsidTr="005D69AF">
        <w:trPr>
          <w:trHeight w:val="458"/>
        </w:trPr>
        <w:tc>
          <w:tcPr>
            <w:tcW w:w="7650" w:type="dxa"/>
            <w:vMerge w:val="restart"/>
          </w:tcPr>
          <w:p w:rsidR="00621838" w:rsidRPr="00532C88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32C88">
              <w:rPr>
                <w:rFonts w:ascii="Arial" w:hAnsi="Arial" w:cs="Arial"/>
                <w:b/>
                <w:sz w:val="24"/>
                <w:szCs w:val="24"/>
              </w:rPr>
              <w:t xml:space="preserve">Hypoglycemia </w:t>
            </w:r>
            <w:r w:rsidRPr="00532C88">
              <w:rPr>
                <w:rFonts w:ascii="Arial" w:hAnsi="Arial" w:cs="Arial"/>
                <w:sz w:val="24"/>
                <w:szCs w:val="24"/>
                <w:highlight w:val="green"/>
              </w:rPr>
              <w:t xml:space="preserve">6 </w:t>
            </w:r>
          </w:p>
          <w:p w:rsidR="00621838" w:rsidRPr="00532C88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32C88">
              <w:rPr>
                <w:rFonts w:ascii="Arial" w:hAnsi="Arial" w:cs="Arial"/>
                <w:b/>
                <w:sz w:val="24"/>
                <w:szCs w:val="24"/>
              </w:rPr>
              <w:t xml:space="preserve">Vomits/ Nausea </w:t>
            </w:r>
            <w:r w:rsidRPr="00532C88">
              <w:rPr>
                <w:rFonts w:ascii="Arial" w:hAnsi="Arial" w:cs="Arial"/>
                <w:sz w:val="24"/>
                <w:szCs w:val="24"/>
                <w:highlight w:val="green"/>
              </w:rPr>
              <w:t>5</w:t>
            </w:r>
            <w:r w:rsidRPr="00532C8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532C8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:rsidR="00621838" w:rsidRPr="00532C88" w:rsidRDefault="00621838" w:rsidP="005D69A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32C88">
              <w:rPr>
                <w:rFonts w:ascii="Arial" w:hAnsi="Arial" w:cs="Arial"/>
                <w:b/>
                <w:sz w:val="24"/>
                <w:szCs w:val="24"/>
              </w:rPr>
              <w:t xml:space="preserve">Lethargy </w:t>
            </w:r>
            <w:r w:rsidRPr="00532C88">
              <w:rPr>
                <w:rFonts w:ascii="Arial" w:hAnsi="Arial" w:cs="Arial"/>
                <w:sz w:val="24"/>
                <w:szCs w:val="24"/>
                <w:highlight w:val="green"/>
              </w:rPr>
              <w:t>4</w:t>
            </w:r>
          </w:p>
          <w:p w:rsidR="00621838" w:rsidRDefault="00621838" w:rsidP="005D69AF">
            <w:pPr>
              <w:rPr>
                <w:rFonts w:ascii="Arial" w:hAnsi="Arial" w:cs="Arial"/>
                <w:sz w:val="24"/>
                <w:szCs w:val="24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 xml:space="preserve">Acidosis </w:t>
            </w:r>
            <w:r w:rsidRPr="0047255B">
              <w:rPr>
                <w:rFonts w:ascii="Arial" w:hAnsi="Arial" w:cs="Arial"/>
                <w:sz w:val="24"/>
                <w:szCs w:val="24"/>
                <w:highlight w:val="green"/>
              </w:rPr>
              <w:t>3</w:t>
            </w:r>
          </w:p>
          <w:p w:rsidR="00621838" w:rsidRPr="0047255B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Food refusal </w:t>
            </w:r>
            <w:r w:rsidRPr="0047255B">
              <w:rPr>
                <w:rFonts w:ascii="Arial" w:hAnsi="Arial" w:cs="Arial"/>
                <w:sz w:val="24"/>
                <w:szCs w:val="24"/>
                <w:highlight w:val="green"/>
                <w:lang w:val="en-US"/>
              </w:rPr>
              <w:t>2</w:t>
            </w:r>
          </w:p>
        </w:tc>
      </w:tr>
      <w:tr w:rsidR="00621838" w:rsidRPr="008C4C20" w:rsidTr="005D69AF">
        <w:trPr>
          <w:trHeight w:val="458"/>
        </w:trPr>
        <w:tc>
          <w:tcPr>
            <w:tcW w:w="7650" w:type="dxa"/>
            <w:vMerge/>
          </w:tcPr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21838" w:rsidRPr="008C4C20" w:rsidTr="005D69AF">
        <w:trPr>
          <w:trHeight w:val="458"/>
        </w:trPr>
        <w:tc>
          <w:tcPr>
            <w:tcW w:w="7650" w:type="dxa"/>
            <w:vMerge/>
          </w:tcPr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</w:p>
        </w:tc>
      </w:tr>
      <w:tr w:rsidR="00621838" w:rsidRPr="008C4C20" w:rsidTr="005D69AF">
        <w:tc>
          <w:tcPr>
            <w:tcW w:w="7650" w:type="dxa"/>
            <w:shd w:val="clear" w:color="auto" w:fill="F2F2F2"/>
          </w:tcPr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EC62E5">
              <w:rPr>
                <w:rFonts w:ascii="Arial" w:hAnsi="Arial" w:cs="Arial"/>
                <w:b/>
                <w:sz w:val="24"/>
                <w:szCs w:val="24"/>
                <w:lang w:val="en-GB"/>
              </w:rPr>
              <w:t>Chronic secondary effects (</w:t>
            </w:r>
            <w:r w:rsidRPr="00EC62E5">
              <w:rPr>
                <w:rFonts w:ascii="Arial" w:hAnsi="Arial" w:cs="Arial"/>
                <w:b/>
                <w:sz w:val="24"/>
                <w:szCs w:val="24"/>
                <w:highlight w:val="green"/>
                <w:lang w:val="en-GB"/>
              </w:rPr>
              <w:t>n=29)</w:t>
            </w:r>
          </w:p>
        </w:tc>
      </w:tr>
      <w:tr w:rsidR="00621838" w:rsidRPr="00BA62CD" w:rsidTr="005D69AF">
        <w:trPr>
          <w:trHeight w:val="450"/>
        </w:trPr>
        <w:tc>
          <w:tcPr>
            <w:tcW w:w="7650" w:type="dxa"/>
          </w:tcPr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Hypercholesterolemia</w:t>
            </w:r>
            <w:r w:rsidRPr="00C37E6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C37E63">
              <w:rPr>
                <w:rFonts w:ascii="Arial" w:hAnsi="Arial" w:cs="Arial"/>
                <w:sz w:val="24"/>
                <w:szCs w:val="24"/>
                <w:highlight w:val="green"/>
              </w:rPr>
              <w:t xml:space="preserve">23 </w:t>
            </w:r>
          </w:p>
          <w:p w:rsidR="00621838" w:rsidRPr="008C4C20" w:rsidRDefault="00621838" w:rsidP="005D69A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 xml:space="preserve">Hypertrigleceridemia </w:t>
            </w:r>
            <w:r w:rsidRPr="00C37E63">
              <w:rPr>
                <w:rFonts w:ascii="Arial" w:hAnsi="Arial" w:cs="Arial"/>
                <w:sz w:val="24"/>
                <w:szCs w:val="24"/>
                <w:highlight w:val="green"/>
              </w:rPr>
              <w:t>21</w:t>
            </w:r>
          </w:p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Hypercalciuria</w:t>
            </w:r>
            <w:r w:rsidRPr="00C3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7E63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  <w:p w:rsidR="00621838" w:rsidRPr="00E7485F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Hyperurecimia</w:t>
            </w:r>
            <w:r w:rsidRPr="00E7485F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E7485F">
              <w:rPr>
                <w:rFonts w:ascii="Arial" w:hAnsi="Arial" w:cs="Arial"/>
                <w:sz w:val="24"/>
                <w:szCs w:val="24"/>
                <w:highlight w:val="green"/>
              </w:rPr>
              <w:t xml:space="preserve">12 </w:t>
            </w:r>
          </w:p>
          <w:p w:rsidR="00621838" w:rsidRPr="00C37E63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Hyperphosphatemia</w:t>
            </w:r>
            <w:r w:rsidRPr="00C37E6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C37E63">
              <w:rPr>
                <w:rFonts w:ascii="Arial" w:hAnsi="Arial" w:cs="Arial"/>
                <w:sz w:val="24"/>
                <w:szCs w:val="24"/>
                <w:highlight w:val="green"/>
              </w:rPr>
              <w:t>10</w:t>
            </w:r>
            <w:r w:rsidRPr="00C37E6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</w:p>
          <w:p w:rsidR="00621838" w:rsidRPr="006101BC" w:rsidRDefault="00621838" w:rsidP="005D69AF">
            <w:pPr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</w:pPr>
            <w:r w:rsidRPr="006101B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Constipation </w:t>
            </w:r>
            <w:r w:rsidRPr="006101BC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>9 -</w:t>
            </w:r>
            <w:r w:rsidRPr="006101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6101B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de novo </w:t>
            </w:r>
            <w:r w:rsidRPr="006101BC">
              <w:rPr>
                <w:rFonts w:ascii="Arial" w:hAnsi="Arial" w:cs="Arial"/>
                <w:sz w:val="24"/>
                <w:szCs w:val="24"/>
                <w:highlight w:val="green"/>
                <w:lang w:val="fr-FR"/>
              </w:rPr>
              <w:t xml:space="preserve">1 </w:t>
            </w:r>
          </w:p>
          <w:p w:rsidR="00621838" w:rsidRPr="006101BC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</w:pPr>
            <w:r w:rsidRPr="006101B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Urine crystals </w:t>
            </w:r>
            <w:r w:rsidRPr="006101BC">
              <w:rPr>
                <w:rFonts w:ascii="Arial" w:hAnsi="Arial" w:cs="Arial"/>
                <w:sz w:val="24"/>
                <w:szCs w:val="24"/>
                <w:lang w:val="fr-FR"/>
              </w:rPr>
              <w:t>9</w:t>
            </w:r>
            <w:r w:rsidRPr="006101BC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 xml:space="preserve"> </w:t>
            </w:r>
          </w:p>
          <w:p w:rsidR="00621838" w:rsidRDefault="00621838" w:rsidP="005D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Hypercalcemia</w:t>
            </w:r>
            <w:r w:rsidRPr="00A03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3E3A">
              <w:rPr>
                <w:rFonts w:ascii="Arial" w:hAnsi="Arial" w:cs="Arial"/>
                <w:sz w:val="24"/>
                <w:szCs w:val="24"/>
              </w:rPr>
              <w:t>7</w:t>
            </w:r>
            <w:r w:rsidRPr="00A03E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 xml:space="preserve">Carnitine deficit </w:t>
            </w:r>
            <w:r w:rsidRPr="00C37E63">
              <w:rPr>
                <w:rFonts w:ascii="Arial" w:hAnsi="Arial" w:cs="Arial"/>
                <w:sz w:val="24"/>
                <w:szCs w:val="24"/>
                <w:highlight w:val="green"/>
              </w:rPr>
              <w:t>6</w:t>
            </w:r>
          </w:p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>Hypomagnesemia</w:t>
            </w:r>
            <w:r w:rsidRPr="008E5D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5DE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621838" w:rsidRPr="008C4C20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7255B">
              <w:rPr>
                <w:rFonts w:ascii="Arial" w:hAnsi="Arial" w:cs="Arial"/>
                <w:b/>
                <w:sz w:val="24"/>
                <w:szCs w:val="24"/>
              </w:rPr>
              <w:t xml:space="preserve">Zinc deficit </w:t>
            </w:r>
            <w:r w:rsidRPr="008E5DE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:rsidR="00621838" w:rsidRPr="00621838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62183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Vitamin D deficit </w:t>
            </w:r>
            <w:r w:rsidRPr="00621838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</w:p>
          <w:p w:rsidR="00621838" w:rsidRPr="00621838" w:rsidRDefault="00621838" w:rsidP="005D69AF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62183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Calcium deficit </w:t>
            </w:r>
            <w:r w:rsidRPr="00621838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</w:p>
          <w:p w:rsidR="00621838" w:rsidRPr="00621838" w:rsidRDefault="00621838" w:rsidP="005D69AF">
            <w:pPr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r w:rsidRPr="0062183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Hypophosphatemia </w:t>
            </w:r>
            <w:r w:rsidRPr="00621838"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</w:p>
          <w:p w:rsidR="00621838" w:rsidRPr="001F12E8" w:rsidRDefault="00621838" w:rsidP="005D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2E5">
              <w:rPr>
                <w:rFonts w:ascii="Arial" w:hAnsi="Arial" w:cs="Arial"/>
                <w:b/>
                <w:sz w:val="24"/>
                <w:szCs w:val="24"/>
              </w:rPr>
              <w:t>Anemia</w:t>
            </w:r>
            <w:r w:rsidRPr="00EC62E5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</w:tr>
    </w:tbl>
    <w:p w:rsidR="00621838" w:rsidRPr="00213E2D" w:rsidRDefault="00621838" w:rsidP="00621838">
      <w:pPr>
        <w:rPr>
          <w:rFonts w:ascii="Arial" w:hAnsi="Arial" w:cs="Arial"/>
          <w:b/>
        </w:rPr>
      </w:pPr>
    </w:p>
    <w:p w:rsidR="00621838" w:rsidRPr="00213E2D" w:rsidRDefault="00621838" w:rsidP="00621838">
      <w:pPr>
        <w:rPr>
          <w:rFonts w:ascii="Arial" w:hAnsi="Arial" w:cs="Arial"/>
          <w:b/>
        </w:rPr>
      </w:pPr>
    </w:p>
    <w:sectPr w:rsidR="00621838" w:rsidRPr="00213E2D" w:rsidSect="0078305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341" w:rsidRDefault="00481341">
      <w:pPr>
        <w:spacing w:after="0" w:line="240" w:lineRule="auto"/>
      </w:pPr>
      <w:r>
        <w:separator/>
      </w:r>
    </w:p>
  </w:endnote>
  <w:endnote w:type="continuationSeparator" w:id="0">
    <w:p w:rsidR="00481341" w:rsidRDefault="0048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152915"/>
      <w:docPartObj>
        <w:docPartGallery w:val="Page Numbers (Bottom of Page)"/>
        <w:docPartUnique/>
      </w:docPartObj>
    </w:sdtPr>
    <w:sdtEndPr/>
    <w:sdtContent>
      <w:p w:rsidR="00562806" w:rsidRDefault="00621838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2806" w:rsidRDefault="004813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341" w:rsidRDefault="00481341">
      <w:pPr>
        <w:spacing w:after="0" w:line="240" w:lineRule="auto"/>
      </w:pPr>
      <w:r>
        <w:separator/>
      </w:r>
    </w:p>
  </w:footnote>
  <w:footnote w:type="continuationSeparator" w:id="0">
    <w:p w:rsidR="00481341" w:rsidRDefault="0048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D3C3B"/>
    <w:multiLevelType w:val="hybridMultilevel"/>
    <w:tmpl w:val="A1385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8"/>
    <w:rsid w:val="00141887"/>
    <w:rsid w:val="00481341"/>
    <w:rsid w:val="00621838"/>
    <w:rsid w:val="007622BA"/>
    <w:rsid w:val="007C04A5"/>
    <w:rsid w:val="00D32F9D"/>
    <w:rsid w:val="00D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4C4A-81FE-4390-B0DC-4B0964DC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8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621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1838"/>
  </w:style>
  <w:style w:type="paragraph" w:styleId="PargrafodaLista">
    <w:name w:val="List Paragraph"/>
    <w:basedOn w:val="Normal"/>
    <w:uiPriority w:val="34"/>
    <w:qFormat/>
    <w:rsid w:val="0062183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Tipodeletrapredefinidodopargrafo"/>
    <w:rsid w:val="00621838"/>
  </w:style>
  <w:style w:type="character" w:styleId="nfase">
    <w:name w:val="Emphasis"/>
    <w:uiPriority w:val="20"/>
    <w:qFormat/>
    <w:rsid w:val="00621838"/>
    <w:rPr>
      <w:i/>
      <w:iCs/>
    </w:rPr>
  </w:style>
  <w:style w:type="table" w:styleId="TabelacomGrelha">
    <w:name w:val="Table Grid"/>
    <w:basedOn w:val="Tabelanormal"/>
    <w:uiPriority w:val="39"/>
    <w:rsid w:val="0062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Luz</dc:creator>
  <cp:keywords/>
  <dc:description/>
  <cp:lastModifiedBy>Inês Luz</cp:lastModifiedBy>
  <cp:revision>2</cp:revision>
  <dcterms:created xsi:type="dcterms:W3CDTF">2019-04-13T14:44:00Z</dcterms:created>
  <dcterms:modified xsi:type="dcterms:W3CDTF">2019-04-13T14:44:00Z</dcterms:modified>
</cp:coreProperties>
</file>