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E781C" w14:textId="77777777" w:rsidR="00BC561B" w:rsidRPr="00BC561B" w:rsidRDefault="00BC561B" w:rsidP="00BC561B">
      <w:pPr>
        <w:pStyle w:val="Ttulo2"/>
      </w:pPr>
      <w:r w:rsidRPr="00BC561B">
        <w:t>TÍTULO</w:t>
      </w:r>
    </w:p>
    <w:p w14:paraId="763A8F75" w14:textId="7272541A" w:rsidR="00BC561B" w:rsidRPr="00BC561B" w:rsidRDefault="00BC561B" w:rsidP="00BC561B">
      <w:pPr>
        <w:jc w:val="left"/>
      </w:pPr>
      <w:proofErr w:type="spellStart"/>
      <w:r w:rsidRPr="00BC561B">
        <w:t>Fasceíte</w:t>
      </w:r>
      <w:proofErr w:type="spellEnd"/>
      <w:r w:rsidRPr="00BC561B">
        <w:t xml:space="preserve"> necrotizante causada por </w:t>
      </w:r>
      <w:proofErr w:type="spellStart"/>
      <w:r w:rsidRPr="00BC561B">
        <w:rPr>
          <w:i/>
        </w:rPr>
        <w:t>Photobacterium</w:t>
      </w:r>
      <w:proofErr w:type="spellEnd"/>
      <w:r w:rsidRPr="00BC561B">
        <w:rPr>
          <w:i/>
        </w:rPr>
        <w:t xml:space="preserve"> </w:t>
      </w:r>
      <w:proofErr w:type="spellStart"/>
      <w:r w:rsidRPr="00BC561B">
        <w:rPr>
          <w:i/>
        </w:rPr>
        <w:t>damselae</w:t>
      </w:r>
      <w:proofErr w:type="spellEnd"/>
      <w:r w:rsidRPr="00BC561B">
        <w:t>: o primeiro caso descrito em Portugal e uma revisão do tema</w:t>
      </w:r>
    </w:p>
    <w:p w14:paraId="6DBA1115" w14:textId="47467D1D" w:rsidR="00BC561B" w:rsidRPr="00BC561B" w:rsidRDefault="00BC561B" w:rsidP="00BC561B">
      <w:pPr>
        <w:pStyle w:val="Ttulo2"/>
        <w:rPr>
          <w:lang w:val="en-US"/>
        </w:rPr>
      </w:pPr>
      <w:r w:rsidRPr="00BC561B">
        <w:rPr>
          <w:lang w:val="en-US"/>
        </w:rPr>
        <w:t>TITLE</w:t>
      </w:r>
    </w:p>
    <w:p w14:paraId="162E4BDE" w14:textId="77777777" w:rsidR="00BC561B" w:rsidRPr="00BC561B" w:rsidRDefault="00BC561B" w:rsidP="00BC561B">
      <w:pPr>
        <w:jc w:val="left"/>
        <w:rPr>
          <w:lang w:val="en-US"/>
        </w:rPr>
      </w:pPr>
      <w:r w:rsidRPr="00BC561B">
        <w:rPr>
          <w:lang w:val="en-US"/>
        </w:rPr>
        <w:t xml:space="preserve">Necrotizing fasciitis caused by Photobacterium </w:t>
      </w:r>
      <w:proofErr w:type="spellStart"/>
      <w:r w:rsidRPr="00BC561B">
        <w:rPr>
          <w:lang w:val="en-US"/>
        </w:rPr>
        <w:t>damselae</w:t>
      </w:r>
      <w:proofErr w:type="spellEnd"/>
      <w:r w:rsidRPr="00BC561B">
        <w:rPr>
          <w:lang w:val="en-US"/>
        </w:rPr>
        <w:t>: the first report in Portugal and a review</w:t>
      </w:r>
    </w:p>
    <w:p w14:paraId="62C10F08" w14:textId="77777777" w:rsidR="00BC561B" w:rsidRDefault="00BC561B" w:rsidP="00BC561B">
      <w:pPr>
        <w:jc w:val="left"/>
      </w:pPr>
    </w:p>
    <w:p w14:paraId="612DF2AF" w14:textId="27116E4C" w:rsidR="00BC561B" w:rsidRPr="00BC561B" w:rsidRDefault="00BC561B" w:rsidP="00BC561B">
      <w:pPr>
        <w:jc w:val="left"/>
      </w:pPr>
      <w:r w:rsidRPr="00BC561B">
        <w:t>b) Autoria:</w:t>
      </w:r>
    </w:p>
    <w:p w14:paraId="3AC404AF" w14:textId="6B24FB2D" w:rsidR="00BC561B" w:rsidRPr="00BC561B" w:rsidRDefault="00BC561B" w:rsidP="00BC561B">
      <w:pPr>
        <w:jc w:val="left"/>
      </w:pPr>
      <w:r w:rsidRPr="00BC561B">
        <w:t xml:space="preserve">- Dr. Diogo Guimarães, </w:t>
      </w:r>
      <w:r>
        <w:t>Médico Interno de</w:t>
      </w:r>
      <w:r w:rsidRPr="00BC561B">
        <w:t xml:space="preserve"> Cirurgia Plástica</w:t>
      </w:r>
      <w:r>
        <w:t xml:space="preserve"> Reconstrutiva e Estética</w:t>
      </w:r>
      <w:r w:rsidRPr="00BC561B">
        <w:t xml:space="preserve"> </w:t>
      </w:r>
      <w:r>
        <w:t>no</w:t>
      </w:r>
      <w:r w:rsidRPr="00BC561B">
        <w:t xml:space="preserve"> Centro Hospitalar </w:t>
      </w:r>
      <w:r>
        <w:t xml:space="preserve">Universitário </w:t>
      </w:r>
      <w:r w:rsidRPr="00BC561B">
        <w:t>Lisboa Central, Lisboa, Portugal</w:t>
      </w:r>
    </w:p>
    <w:p w14:paraId="0CF470A3" w14:textId="26B905FE" w:rsidR="00BC561B" w:rsidRPr="00BC561B" w:rsidRDefault="00BC561B" w:rsidP="00BC561B">
      <w:pPr>
        <w:jc w:val="left"/>
      </w:pPr>
      <w:r w:rsidRPr="00BC561B">
        <w:t xml:space="preserve">- </w:t>
      </w:r>
      <w:proofErr w:type="spellStart"/>
      <w:r w:rsidRPr="00BC561B">
        <w:t>Dr</w:t>
      </w:r>
      <w:proofErr w:type="spellEnd"/>
      <w:r w:rsidRPr="00BC561B">
        <w:t xml:space="preserve"> Luís Ribeiro, </w:t>
      </w:r>
      <w:r>
        <w:t>Médico Interno de</w:t>
      </w:r>
      <w:r w:rsidRPr="00BC561B">
        <w:t xml:space="preserve"> Cirurgia Plástica</w:t>
      </w:r>
      <w:r>
        <w:t xml:space="preserve"> Reconstrutiva e Estética</w:t>
      </w:r>
      <w:r w:rsidRPr="00BC561B">
        <w:t xml:space="preserve"> </w:t>
      </w:r>
      <w:r>
        <w:t>no</w:t>
      </w:r>
      <w:r w:rsidRPr="00BC561B">
        <w:t xml:space="preserve"> Centro Hospitalar </w:t>
      </w:r>
      <w:r>
        <w:t xml:space="preserve">Universitário </w:t>
      </w:r>
      <w:r w:rsidRPr="00BC561B">
        <w:t>Lisboa Central, Lisboa, Portugal</w:t>
      </w:r>
    </w:p>
    <w:p w14:paraId="45FFFC2E" w14:textId="77777777" w:rsidR="00BC561B" w:rsidRPr="00BC561B" w:rsidRDefault="00BC561B" w:rsidP="00BC561B">
      <w:pPr>
        <w:jc w:val="left"/>
      </w:pPr>
      <w:r w:rsidRPr="00BC561B">
        <w:t xml:space="preserve">- Dr. Luís Vieira, </w:t>
      </w:r>
      <w:r>
        <w:t>Médico Interno de</w:t>
      </w:r>
      <w:r w:rsidRPr="00BC561B">
        <w:t xml:space="preserve"> Cirurgia Plástica</w:t>
      </w:r>
      <w:r>
        <w:t xml:space="preserve"> Reconstrutiva e Estética</w:t>
      </w:r>
      <w:r w:rsidRPr="00BC561B">
        <w:t xml:space="preserve"> </w:t>
      </w:r>
      <w:r>
        <w:t>no</w:t>
      </w:r>
      <w:r w:rsidRPr="00BC561B">
        <w:t xml:space="preserve"> Centro Hospitalar </w:t>
      </w:r>
      <w:r>
        <w:t xml:space="preserve">Universitário </w:t>
      </w:r>
      <w:r w:rsidRPr="00BC561B">
        <w:t>Lisboa Central, Lisboa, Portugal</w:t>
      </w:r>
    </w:p>
    <w:p w14:paraId="30446257" w14:textId="159278A6" w:rsidR="00BC561B" w:rsidRPr="00BC561B" w:rsidRDefault="00BC561B" w:rsidP="00BC561B">
      <w:pPr>
        <w:jc w:val="left"/>
      </w:pPr>
      <w:r w:rsidRPr="00BC561B">
        <w:t xml:space="preserve">- Dr. Ruben Coelho, </w:t>
      </w:r>
      <w:r>
        <w:t xml:space="preserve">Médico </w:t>
      </w:r>
      <w:r>
        <w:t>Assistente Hospitalar</w:t>
      </w:r>
      <w:r>
        <w:t xml:space="preserve"> de</w:t>
      </w:r>
      <w:r w:rsidRPr="00BC561B">
        <w:t xml:space="preserve"> Cirurgia Plástica</w:t>
      </w:r>
      <w:r>
        <w:t xml:space="preserve"> Reconstrutiva e Estética</w:t>
      </w:r>
      <w:r w:rsidRPr="00BC561B">
        <w:t xml:space="preserve"> </w:t>
      </w:r>
      <w:r>
        <w:t>no</w:t>
      </w:r>
      <w:r w:rsidRPr="00BC561B">
        <w:t xml:space="preserve"> Centro Hospitalar </w:t>
      </w:r>
      <w:r>
        <w:t xml:space="preserve">Universitário </w:t>
      </w:r>
      <w:r w:rsidRPr="00BC561B">
        <w:t>Lisboa Central, Lisboa, Portugal</w:t>
      </w:r>
    </w:p>
    <w:p w14:paraId="4A7D7307" w14:textId="77777777" w:rsidR="00BC561B" w:rsidRPr="00BC561B" w:rsidRDefault="00BC561B" w:rsidP="00BC561B">
      <w:pPr>
        <w:jc w:val="left"/>
      </w:pPr>
    </w:p>
    <w:p w14:paraId="49B2C210" w14:textId="77777777" w:rsidR="00BC561B" w:rsidRPr="00BC561B" w:rsidRDefault="00BC561B" w:rsidP="00BC561B">
      <w:pPr>
        <w:jc w:val="left"/>
      </w:pPr>
      <w:r w:rsidRPr="00BC561B">
        <w:t>c) Os autores não receberam qualquer subsídio para a realização deste trabalho</w:t>
      </w:r>
    </w:p>
    <w:p w14:paraId="69CBB694" w14:textId="2F2B33CD" w:rsidR="00BC561B" w:rsidRPr="00BC561B" w:rsidRDefault="00BC561B" w:rsidP="00BC561B">
      <w:pPr>
        <w:jc w:val="left"/>
      </w:pPr>
      <w:r w:rsidRPr="00BC561B">
        <w:t xml:space="preserve">d) Autor responsável: Diogo </w:t>
      </w:r>
      <w:bookmarkStart w:id="0" w:name="_GoBack"/>
      <w:bookmarkEnd w:id="0"/>
      <w:r w:rsidRPr="00BC561B">
        <w:t>Guimarães</w:t>
      </w:r>
    </w:p>
    <w:p w14:paraId="472832A4" w14:textId="77777777" w:rsidR="00BC561B" w:rsidRPr="00BC561B" w:rsidRDefault="00BC561B" w:rsidP="00BC561B">
      <w:pPr>
        <w:jc w:val="left"/>
      </w:pPr>
      <w:r w:rsidRPr="00BC561B">
        <w:t xml:space="preserve">Morada: Rua </w:t>
      </w:r>
      <w:proofErr w:type="spellStart"/>
      <w:r w:rsidRPr="00BC561B">
        <w:t>Melvin</w:t>
      </w:r>
      <w:proofErr w:type="spellEnd"/>
      <w:r w:rsidRPr="00BC561B">
        <w:t xml:space="preserve"> Jones, </w:t>
      </w:r>
      <w:proofErr w:type="spellStart"/>
      <w:r w:rsidRPr="00BC561B">
        <w:t>nr</w:t>
      </w:r>
      <w:proofErr w:type="spellEnd"/>
      <w:r w:rsidRPr="00BC561B">
        <w:t xml:space="preserve"> 8, 6-A, 1600-867 Lisboa</w:t>
      </w:r>
    </w:p>
    <w:p w14:paraId="6C2BA67A" w14:textId="77777777" w:rsidR="00BC561B" w:rsidRPr="00BC561B" w:rsidRDefault="00BC561B" w:rsidP="00BC561B">
      <w:pPr>
        <w:jc w:val="left"/>
        <w:rPr>
          <w:lang w:val="en-US"/>
        </w:rPr>
      </w:pPr>
      <w:r w:rsidRPr="00BC561B">
        <w:rPr>
          <w:lang w:val="en-US"/>
        </w:rPr>
        <w:t>Email: diogoandradeguimaraes@gmail.com</w:t>
      </w:r>
    </w:p>
    <w:p w14:paraId="5A14D026" w14:textId="619E7B8C" w:rsidR="00BC561B" w:rsidRPr="00BC561B" w:rsidRDefault="00BC561B" w:rsidP="00BC561B">
      <w:pPr>
        <w:jc w:val="left"/>
        <w:rPr>
          <w:rFonts w:asciiTheme="majorHAnsi" w:eastAsiaTheme="majorEastAsia" w:hAnsiTheme="majorHAnsi" w:cstheme="majorBidi"/>
          <w:color w:val="2F5496" w:themeColor="accent1" w:themeShade="BF"/>
          <w:szCs w:val="26"/>
        </w:rPr>
      </w:pPr>
      <w:r w:rsidRPr="00BC561B">
        <w:t xml:space="preserve">e) Título breve para cabeçalho: </w:t>
      </w:r>
      <w:proofErr w:type="spellStart"/>
      <w:r w:rsidRPr="00BC561B">
        <w:t>Fasceíte</w:t>
      </w:r>
      <w:proofErr w:type="spellEnd"/>
      <w:r w:rsidRPr="00BC561B">
        <w:t xml:space="preserve"> necrotizante </w:t>
      </w:r>
      <w:r w:rsidRPr="00BC561B">
        <w:br w:type="page"/>
      </w:r>
    </w:p>
    <w:p w14:paraId="742FF801" w14:textId="1514CD4D" w:rsidR="00F00747" w:rsidRPr="00863221" w:rsidRDefault="00F00747" w:rsidP="00220956">
      <w:pPr>
        <w:pStyle w:val="Ttulo2"/>
        <w:rPr>
          <w:lang w:val="en-US"/>
        </w:rPr>
      </w:pPr>
      <w:r w:rsidRPr="00863221">
        <w:rPr>
          <w:lang w:val="en-US"/>
        </w:rPr>
        <w:lastRenderedPageBreak/>
        <w:t>TITLE</w:t>
      </w:r>
    </w:p>
    <w:p w14:paraId="6F4A3EF0" w14:textId="77777777" w:rsidR="00F00747" w:rsidRDefault="00F00747" w:rsidP="00220956">
      <w:pPr>
        <w:rPr>
          <w:lang w:val="en-US"/>
        </w:rPr>
      </w:pPr>
      <w:r>
        <w:rPr>
          <w:lang w:val="en-US"/>
        </w:rPr>
        <w:t>N</w:t>
      </w:r>
      <w:r w:rsidRPr="00AF636C">
        <w:rPr>
          <w:lang w:val="en-US"/>
        </w:rPr>
        <w:t xml:space="preserve">ecrotizing fasciitis caused by Photobacterium </w:t>
      </w:r>
      <w:proofErr w:type="spellStart"/>
      <w:r w:rsidRPr="00AF636C">
        <w:rPr>
          <w:lang w:val="en-US"/>
        </w:rPr>
        <w:t>damselae</w:t>
      </w:r>
      <w:proofErr w:type="spellEnd"/>
      <w:r>
        <w:rPr>
          <w:lang w:val="en-US"/>
        </w:rPr>
        <w:t>: the first report in Portugal and a review</w:t>
      </w:r>
    </w:p>
    <w:p w14:paraId="0E5D71B4" w14:textId="77777777" w:rsidR="00F00747" w:rsidRPr="00220956" w:rsidRDefault="00F00747" w:rsidP="00220956">
      <w:pPr>
        <w:pStyle w:val="Ttulo2"/>
      </w:pPr>
      <w:r w:rsidRPr="00220956">
        <w:t>TÍTULO</w:t>
      </w:r>
    </w:p>
    <w:p w14:paraId="475F49F7" w14:textId="71852D50" w:rsidR="00F00747" w:rsidRDefault="00F00747" w:rsidP="00220956">
      <w:proofErr w:type="spellStart"/>
      <w:r>
        <w:t>Fasceíte</w:t>
      </w:r>
      <w:proofErr w:type="spellEnd"/>
      <w:r>
        <w:t xml:space="preserve"> necrotizante causada por </w:t>
      </w:r>
      <w:proofErr w:type="spellStart"/>
      <w:r w:rsidRPr="0016621B">
        <w:rPr>
          <w:i/>
        </w:rPr>
        <w:t>Photobacterium</w:t>
      </w:r>
      <w:proofErr w:type="spellEnd"/>
      <w:r w:rsidRPr="0016621B">
        <w:rPr>
          <w:i/>
        </w:rPr>
        <w:t xml:space="preserve"> </w:t>
      </w:r>
      <w:proofErr w:type="spellStart"/>
      <w:r w:rsidRPr="0016621B">
        <w:rPr>
          <w:i/>
        </w:rPr>
        <w:t>damselae</w:t>
      </w:r>
      <w:proofErr w:type="spellEnd"/>
      <w:r>
        <w:rPr>
          <w:i/>
        </w:rPr>
        <w:t xml:space="preserve">: </w:t>
      </w:r>
      <w:r w:rsidRPr="00B154C1">
        <w:t>o primeiro caso descrito em Portugal e uma</w:t>
      </w:r>
      <w:r>
        <w:t xml:space="preserve"> </w:t>
      </w:r>
      <w:r w:rsidRPr="00B154C1">
        <w:t>revisão do tema</w:t>
      </w:r>
    </w:p>
    <w:p w14:paraId="3D1F4893" w14:textId="77777777" w:rsidR="00F00747" w:rsidRDefault="00F00747" w:rsidP="00220956">
      <w:pPr>
        <w:pStyle w:val="Ttulo2"/>
        <w:rPr>
          <w:rFonts w:asciiTheme="minorHAnsi" w:hAnsiTheme="minorHAnsi" w:cstheme="minorHAnsi"/>
          <w:sz w:val="20"/>
          <w:szCs w:val="20"/>
        </w:rPr>
      </w:pPr>
    </w:p>
    <w:p w14:paraId="28C703CF" w14:textId="2DA564F8" w:rsidR="006E35A9" w:rsidRPr="00F04EBB" w:rsidRDefault="006E35A9" w:rsidP="00220956">
      <w:pPr>
        <w:pStyle w:val="Ttulo2"/>
        <w:rPr>
          <w:lang w:val="en-US"/>
        </w:rPr>
      </w:pPr>
      <w:r w:rsidRPr="00F04EBB">
        <w:rPr>
          <w:lang w:val="en-US"/>
        </w:rPr>
        <w:t>ABSTRACT</w:t>
      </w:r>
    </w:p>
    <w:p w14:paraId="75E9F1EA" w14:textId="273D7385" w:rsidR="00F4453C" w:rsidRDefault="00F43E51" w:rsidP="00220956">
      <w:pPr>
        <w:rPr>
          <w:lang w:val="en-US"/>
        </w:rPr>
      </w:pPr>
      <w:r w:rsidRPr="00AF636C">
        <w:rPr>
          <w:lang w:val="en-US"/>
        </w:rPr>
        <w:t xml:space="preserve">Necrotizing fasciitis is a severe infection that requires emergent surgical treatment </w:t>
      </w:r>
      <w:r w:rsidR="00F2418B">
        <w:rPr>
          <w:lang w:val="en-US"/>
        </w:rPr>
        <w:t>and results in</w:t>
      </w:r>
      <w:r w:rsidRPr="00AF636C">
        <w:rPr>
          <w:lang w:val="en-US"/>
        </w:rPr>
        <w:t xml:space="preserve"> </w:t>
      </w:r>
      <w:r w:rsidR="00F4453C" w:rsidRPr="00AF636C">
        <w:rPr>
          <w:lang w:val="en-US"/>
        </w:rPr>
        <w:t>death in a great</w:t>
      </w:r>
      <w:r w:rsidR="00F04EBB">
        <w:rPr>
          <w:lang w:val="en-US"/>
        </w:rPr>
        <w:t xml:space="preserve"> </w:t>
      </w:r>
      <w:r w:rsidR="00434650">
        <w:rPr>
          <w:lang w:val="en-US"/>
        </w:rPr>
        <w:t xml:space="preserve">number </w:t>
      </w:r>
      <w:r w:rsidR="00F4453C" w:rsidRPr="00AF636C">
        <w:rPr>
          <w:lang w:val="en-US"/>
        </w:rPr>
        <w:t xml:space="preserve">of patients. There are </w:t>
      </w:r>
      <w:r w:rsidR="00FE5925">
        <w:rPr>
          <w:lang w:val="en-US"/>
        </w:rPr>
        <w:t xml:space="preserve">several </w:t>
      </w:r>
      <w:r w:rsidR="00F4453C" w:rsidRPr="00AF636C">
        <w:rPr>
          <w:lang w:val="en-US"/>
        </w:rPr>
        <w:t xml:space="preserve">microorganisms which can cause this infection, </w:t>
      </w:r>
      <w:r w:rsidR="00F4453C" w:rsidRPr="00AF636C">
        <w:rPr>
          <w:i/>
          <w:lang w:val="en-US"/>
        </w:rPr>
        <w:t xml:space="preserve">Photobacterium </w:t>
      </w:r>
      <w:proofErr w:type="spellStart"/>
      <w:r w:rsidR="00F4453C" w:rsidRPr="00AF636C">
        <w:rPr>
          <w:i/>
          <w:lang w:val="en-US"/>
        </w:rPr>
        <w:t>damselae</w:t>
      </w:r>
      <w:proofErr w:type="spellEnd"/>
      <w:r w:rsidR="00F4453C" w:rsidRPr="00AF636C">
        <w:rPr>
          <w:lang w:val="en-US"/>
        </w:rPr>
        <w:t xml:space="preserve"> being one of them, with only </w:t>
      </w:r>
      <w:r w:rsidR="006C561F">
        <w:rPr>
          <w:lang w:val="en-US"/>
        </w:rPr>
        <w:t>8</w:t>
      </w:r>
      <w:r w:rsidR="00F4453C" w:rsidRPr="00AF636C">
        <w:rPr>
          <w:lang w:val="en-US"/>
        </w:rPr>
        <w:t xml:space="preserve"> cases previously reported in the literature. In the present article a case of necrotizing fasciitis by this microorganism is reported,</w:t>
      </w:r>
      <w:r w:rsidR="00464564">
        <w:rPr>
          <w:lang w:val="en-US"/>
        </w:rPr>
        <w:t xml:space="preserve"> the first infection by this microorganism reported in Portugal.</w:t>
      </w:r>
      <w:r w:rsidR="00F4453C" w:rsidRPr="00AF636C">
        <w:rPr>
          <w:lang w:val="en-US"/>
        </w:rPr>
        <w:t xml:space="preserve"> </w:t>
      </w:r>
      <w:r w:rsidR="00464564">
        <w:rPr>
          <w:lang w:val="en-US"/>
        </w:rPr>
        <w:t>In this case report</w:t>
      </w:r>
      <w:r w:rsidR="00F4453C" w:rsidRPr="00AF636C">
        <w:rPr>
          <w:lang w:val="en-US"/>
        </w:rPr>
        <w:t xml:space="preserve"> the </w:t>
      </w:r>
      <w:r w:rsidR="00F4453C" w:rsidRPr="00F2418B">
        <w:rPr>
          <w:lang w:val="en-US"/>
        </w:rPr>
        <w:t>patient ha</w:t>
      </w:r>
      <w:r w:rsidR="004D2889" w:rsidRPr="00F2418B">
        <w:rPr>
          <w:lang w:val="en-US"/>
        </w:rPr>
        <w:t>s</w:t>
      </w:r>
      <w:r w:rsidR="00F4453C" w:rsidRPr="00AF636C">
        <w:rPr>
          <w:lang w:val="en-US"/>
        </w:rPr>
        <w:t xml:space="preserve"> survived after serial debridement procedures and reconstruction of the upper limb with acellular dermal matrix and skin graft. We</w:t>
      </w:r>
      <w:r w:rsidR="00874D16" w:rsidRPr="00AF636C">
        <w:rPr>
          <w:lang w:val="en-US"/>
        </w:rPr>
        <w:t xml:space="preserve"> </w:t>
      </w:r>
      <w:r w:rsidR="00F4453C" w:rsidRPr="00AF636C">
        <w:rPr>
          <w:lang w:val="en-US"/>
        </w:rPr>
        <w:t xml:space="preserve">also </w:t>
      </w:r>
      <w:proofErr w:type="spellStart"/>
      <w:r w:rsidR="00FE5925">
        <w:rPr>
          <w:lang w:val="en-US"/>
        </w:rPr>
        <w:t>perfomed</w:t>
      </w:r>
      <w:proofErr w:type="spellEnd"/>
      <w:r w:rsidR="00FE5925">
        <w:rPr>
          <w:lang w:val="en-US"/>
        </w:rPr>
        <w:t xml:space="preserve"> </w:t>
      </w:r>
      <w:r w:rsidR="00F4453C" w:rsidRPr="00AF636C">
        <w:rPr>
          <w:lang w:val="en-US"/>
        </w:rPr>
        <w:t xml:space="preserve">a review </w:t>
      </w:r>
      <w:r w:rsidR="00874D16" w:rsidRPr="00AF636C">
        <w:rPr>
          <w:lang w:val="en-US"/>
        </w:rPr>
        <w:t>of the</w:t>
      </w:r>
      <w:r w:rsidR="00F4453C" w:rsidRPr="00AF636C">
        <w:rPr>
          <w:lang w:val="en-US"/>
        </w:rPr>
        <w:t xml:space="preserve"> </w:t>
      </w:r>
      <w:r w:rsidR="00F4453C" w:rsidRPr="00AF636C">
        <w:rPr>
          <w:i/>
          <w:lang w:val="en-US"/>
        </w:rPr>
        <w:t>P</w:t>
      </w:r>
      <w:r w:rsidR="00665475">
        <w:rPr>
          <w:i/>
          <w:lang w:val="en-US"/>
        </w:rPr>
        <w:t>hotobacterium</w:t>
      </w:r>
      <w:r w:rsidR="00F4453C" w:rsidRPr="00AF636C">
        <w:rPr>
          <w:i/>
          <w:lang w:val="en-US"/>
        </w:rPr>
        <w:t xml:space="preserve"> </w:t>
      </w:r>
      <w:proofErr w:type="spellStart"/>
      <w:r w:rsidR="00F4453C" w:rsidRPr="00AF636C">
        <w:rPr>
          <w:i/>
          <w:lang w:val="en-US"/>
        </w:rPr>
        <w:t>damselae</w:t>
      </w:r>
      <w:proofErr w:type="spellEnd"/>
      <w:r w:rsidR="00F4453C" w:rsidRPr="00AF636C">
        <w:rPr>
          <w:lang w:val="en-US"/>
        </w:rPr>
        <w:t xml:space="preserve"> </w:t>
      </w:r>
      <w:r w:rsidR="00874D16" w:rsidRPr="00AF636C">
        <w:rPr>
          <w:lang w:val="en-US"/>
        </w:rPr>
        <w:t xml:space="preserve">soft tissue infection </w:t>
      </w:r>
      <w:r w:rsidR="00F4453C" w:rsidRPr="00AF636C">
        <w:rPr>
          <w:lang w:val="en-US"/>
        </w:rPr>
        <w:t>report</w:t>
      </w:r>
      <w:r w:rsidR="00874D16" w:rsidRPr="00AF636C">
        <w:rPr>
          <w:lang w:val="en-US"/>
        </w:rPr>
        <w:t xml:space="preserve">s </w:t>
      </w:r>
      <w:r w:rsidR="00F4453C" w:rsidRPr="00AF636C">
        <w:rPr>
          <w:lang w:val="en-US"/>
        </w:rPr>
        <w:t xml:space="preserve">as well as the clinical presentation, diagnosis, </w:t>
      </w:r>
      <w:r w:rsidR="00874D16" w:rsidRPr="00AF636C">
        <w:rPr>
          <w:lang w:val="en-US"/>
        </w:rPr>
        <w:t>pathophysiology and treatment of necrotizing fasciitis.</w:t>
      </w:r>
    </w:p>
    <w:p w14:paraId="668CDADF" w14:textId="44B5956C" w:rsidR="0016621B" w:rsidRDefault="0016621B" w:rsidP="00220956">
      <w:pPr>
        <w:rPr>
          <w:sz w:val="20"/>
          <w:szCs w:val="20"/>
          <w:lang w:val="en-US"/>
        </w:rPr>
      </w:pPr>
    </w:p>
    <w:p w14:paraId="0532261B" w14:textId="5C14D425" w:rsidR="0016621B" w:rsidRPr="00220956" w:rsidRDefault="0016621B" w:rsidP="00220956">
      <w:pPr>
        <w:pStyle w:val="Ttulo2"/>
      </w:pPr>
      <w:r w:rsidRPr="00220956">
        <w:t>RESUMO</w:t>
      </w:r>
    </w:p>
    <w:p w14:paraId="261B6EFA" w14:textId="38CA91EE" w:rsidR="008C784B" w:rsidRDefault="0016621B" w:rsidP="00220956">
      <w:r w:rsidRPr="0016621B">
        <w:t xml:space="preserve">A </w:t>
      </w:r>
      <w:proofErr w:type="spellStart"/>
      <w:r w:rsidRPr="0016621B">
        <w:t>fasc</w:t>
      </w:r>
      <w:r>
        <w:t>e</w:t>
      </w:r>
      <w:r w:rsidRPr="0016621B">
        <w:t>íte</w:t>
      </w:r>
      <w:proofErr w:type="spellEnd"/>
      <w:r w:rsidRPr="0016621B">
        <w:t xml:space="preserve"> necrotizante é u</w:t>
      </w:r>
      <w:r>
        <w:t>ma infeção grave que requer tratamento cirúrgico emergente, sendo responsável por uma elevada taxa de mortalidade. Existem vários</w:t>
      </w:r>
      <w:r w:rsidR="00464564">
        <w:t xml:space="preserve"> </w:t>
      </w:r>
      <w:proofErr w:type="spellStart"/>
      <w:r w:rsidR="00464564">
        <w:t>microorganismos</w:t>
      </w:r>
      <w:proofErr w:type="spellEnd"/>
      <w:r w:rsidR="00464564">
        <w:t xml:space="preserve"> que podem ser responsáveis por este tipo de </w:t>
      </w:r>
      <w:proofErr w:type="spellStart"/>
      <w:r w:rsidR="00464564">
        <w:t>infecção</w:t>
      </w:r>
      <w:proofErr w:type="spellEnd"/>
      <w:r w:rsidR="00464564">
        <w:t xml:space="preserve">, sendo </w:t>
      </w:r>
      <w:r w:rsidR="00C6723D">
        <w:t>o</w:t>
      </w:r>
      <w:r w:rsidR="00464564">
        <w:t xml:space="preserve"> </w:t>
      </w:r>
      <w:proofErr w:type="spellStart"/>
      <w:r w:rsidR="00464564" w:rsidRPr="00464564">
        <w:rPr>
          <w:i/>
        </w:rPr>
        <w:t>Photobacterium</w:t>
      </w:r>
      <w:proofErr w:type="spellEnd"/>
      <w:r w:rsidR="00464564" w:rsidRPr="00464564">
        <w:rPr>
          <w:i/>
        </w:rPr>
        <w:t xml:space="preserve"> </w:t>
      </w:r>
      <w:proofErr w:type="spellStart"/>
      <w:r w:rsidR="00464564" w:rsidRPr="00464564">
        <w:rPr>
          <w:i/>
        </w:rPr>
        <w:t>damselae</w:t>
      </w:r>
      <w:proofErr w:type="spellEnd"/>
      <w:r w:rsidR="00464564">
        <w:t xml:space="preserve"> um destes, com apenas 8 casos descritos na literatura de </w:t>
      </w:r>
      <w:proofErr w:type="spellStart"/>
      <w:r w:rsidR="00464564">
        <w:t>fasceíte</w:t>
      </w:r>
      <w:proofErr w:type="spellEnd"/>
      <w:r w:rsidR="00464564">
        <w:t xml:space="preserve"> necrotizante por este agente, sendo o presente relato a primeira vez que é reportada uma infeção a este agente em Portugal. No presente caso o paciente sobreviveu após várias intervenções de desbridamento cirúrgico e reconstrução do membro superior com matriz dérmica acelular e enxertos de pele. </w:t>
      </w:r>
      <w:r w:rsidR="008C784B">
        <w:t>F</w:t>
      </w:r>
      <w:r w:rsidR="00464564">
        <w:t xml:space="preserve">oi </w:t>
      </w:r>
      <w:r w:rsidR="008C784B">
        <w:t xml:space="preserve">ainda </w:t>
      </w:r>
      <w:r w:rsidR="00464564">
        <w:t>realizada uma revisão de tod</w:t>
      </w:r>
      <w:r w:rsidR="008C784B">
        <w:t>o</w:t>
      </w:r>
      <w:r w:rsidR="00464564">
        <w:t xml:space="preserve">s </w:t>
      </w:r>
      <w:r w:rsidR="008C784B">
        <w:t>o</w:t>
      </w:r>
      <w:r w:rsidR="00464564">
        <w:t>s</w:t>
      </w:r>
      <w:r w:rsidR="008C784B">
        <w:t xml:space="preserve"> relatos de</w:t>
      </w:r>
      <w:r w:rsidR="00464564">
        <w:t xml:space="preserve"> </w:t>
      </w:r>
      <w:proofErr w:type="spellStart"/>
      <w:r w:rsidR="00464564">
        <w:t>in</w:t>
      </w:r>
      <w:r w:rsidR="008C784B">
        <w:t>fecção</w:t>
      </w:r>
      <w:proofErr w:type="spellEnd"/>
      <w:r w:rsidR="008C784B">
        <w:t xml:space="preserve"> de tecidos </w:t>
      </w:r>
      <w:proofErr w:type="gramStart"/>
      <w:r w:rsidR="008C784B">
        <w:t>moles  por</w:t>
      </w:r>
      <w:proofErr w:type="gramEnd"/>
      <w:r w:rsidR="008C784B">
        <w:t xml:space="preserve"> este agente, bem como um resumo da apresentação clinica, diagnóstico, fisiopatologia e tratamento da </w:t>
      </w:r>
      <w:proofErr w:type="spellStart"/>
      <w:r w:rsidR="008C784B">
        <w:t>fasceíte</w:t>
      </w:r>
      <w:proofErr w:type="spellEnd"/>
      <w:r w:rsidR="008C784B">
        <w:t xml:space="preserve"> necrotizante.</w:t>
      </w:r>
    </w:p>
    <w:p w14:paraId="2FE3FC0E" w14:textId="098A7879" w:rsidR="00F00747" w:rsidRPr="00863221" w:rsidRDefault="00F00747" w:rsidP="00220956">
      <w:pPr>
        <w:pStyle w:val="Ttulo2"/>
        <w:rPr>
          <w:lang w:val="en-US"/>
        </w:rPr>
      </w:pPr>
      <w:r w:rsidRPr="00863221">
        <w:rPr>
          <w:rStyle w:val="Ttulo2Carter"/>
          <w:lang w:val="en-US"/>
        </w:rPr>
        <w:t>KEYWORDS</w:t>
      </w:r>
      <w:r w:rsidRPr="00863221">
        <w:rPr>
          <w:lang w:val="en-US"/>
        </w:rPr>
        <w:t>:</w:t>
      </w:r>
    </w:p>
    <w:p w14:paraId="5828CFAD" w14:textId="14D8B659" w:rsidR="00F00747" w:rsidRPr="00242608" w:rsidRDefault="00F00747" w:rsidP="00220956">
      <w:pPr>
        <w:rPr>
          <w:lang w:val="en-US"/>
        </w:rPr>
      </w:pPr>
      <w:r w:rsidRPr="00242608">
        <w:rPr>
          <w:lang w:val="en-US"/>
        </w:rPr>
        <w:t>Fasciitis, Necrotizing</w:t>
      </w:r>
      <w:r w:rsidR="00242608" w:rsidRPr="00242608">
        <w:rPr>
          <w:lang w:val="en-US"/>
        </w:rPr>
        <w:t>; Hand Injuries; Bacterial Infections</w:t>
      </w:r>
      <w:r w:rsidR="00242608">
        <w:rPr>
          <w:lang w:val="en-US"/>
        </w:rPr>
        <w:t>;</w:t>
      </w:r>
      <w:r w:rsidR="00242608" w:rsidRPr="00242608">
        <w:rPr>
          <w:lang w:val="en-US"/>
        </w:rPr>
        <w:t xml:space="preserve"> Photobacterium; Vibrio Infections</w:t>
      </w:r>
    </w:p>
    <w:p w14:paraId="286100D5" w14:textId="77777777" w:rsidR="008C784B" w:rsidRPr="00242608" w:rsidRDefault="008C784B" w:rsidP="00220956">
      <w:pPr>
        <w:rPr>
          <w:sz w:val="20"/>
          <w:szCs w:val="20"/>
          <w:lang w:val="en-US"/>
        </w:rPr>
      </w:pPr>
      <w:r w:rsidRPr="00242608">
        <w:rPr>
          <w:sz w:val="20"/>
          <w:szCs w:val="20"/>
          <w:lang w:val="en-US"/>
        </w:rPr>
        <w:br w:type="page"/>
      </w:r>
    </w:p>
    <w:p w14:paraId="1F9CE272" w14:textId="77777777" w:rsidR="0016621B" w:rsidRPr="00242608" w:rsidRDefault="0016621B" w:rsidP="00220956">
      <w:pPr>
        <w:rPr>
          <w:sz w:val="20"/>
          <w:szCs w:val="20"/>
          <w:lang w:val="en-US"/>
        </w:rPr>
      </w:pPr>
    </w:p>
    <w:p w14:paraId="37815CD1" w14:textId="77777777" w:rsidR="00D336C6" w:rsidRPr="00B212C2" w:rsidRDefault="006E35A9" w:rsidP="00220956">
      <w:pPr>
        <w:pStyle w:val="Ttulo2"/>
        <w:rPr>
          <w:lang w:val="en-US"/>
        </w:rPr>
      </w:pPr>
      <w:r w:rsidRPr="00B212C2">
        <w:rPr>
          <w:lang w:val="en-US"/>
        </w:rPr>
        <w:t>INTRODUCTION</w:t>
      </w:r>
    </w:p>
    <w:p w14:paraId="78D27E83" w14:textId="4E175076" w:rsidR="00955BA9" w:rsidRPr="00AF636C" w:rsidRDefault="00955BA9" w:rsidP="00220956">
      <w:pPr>
        <w:rPr>
          <w:rFonts w:cstheme="minorHAnsi"/>
          <w:sz w:val="20"/>
          <w:szCs w:val="20"/>
          <w:lang w:val="en-US"/>
        </w:rPr>
      </w:pPr>
      <w:r w:rsidRPr="00AF636C">
        <w:rPr>
          <w:rFonts w:cstheme="minorHAnsi"/>
          <w:sz w:val="20"/>
          <w:szCs w:val="20"/>
          <w:lang w:val="en-US"/>
        </w:rPr>
        <w:t xml:space="preserve">Necrotizing fasciitis is a </w:t>
      </w:r>
      <w:r w:rsidR="00D369D6" w:rsidRPr="00AF636C">
        <w:rPr>
          <w:rFonts w:cstheme="minorHAnsi"/>
          <w:sz w:val="20"/>
          <w:szCs w:val="20"/>
          <w:lang w:val="en-US"/>
        </w:rPr>
        <w:t xml:space="preserve">rare infection that requires </w:t>
      </w:r>
      <w:r w:rsidRPr="00AF636C">
        <w:rPr>
          <w:rFonts w:cstheme="minorHAnsi"/>
          <w:sz w:val="20"/>
          <w:szCs w:val="20"/>
          <w:lang w:val="en-US"/>
        </w:rPr>
        <w:t>emergen</w:t>
      </w:r>
      <w:r w:rsidR="00D369D6" w:rsidRPr="00AF636C">
        <w:rPr>
          <w:rFonts w:cstheme="minorHAnsi"/>
          <w:sz w:val="20"/>
          <w:szCs w:val="20"/>
          <w:lang w:val="en-US"/>
        </w:rPr>
        <w:t xml:space="preserve">t surgery. </w:t>
      </w:r>
      <w:r w:rsidRPr="00AF636C">
        <w:rPr>
          <w:rFonts w:cstheme="minorHAnsi"/>
          <w:sz w:val="20"/>
          <w:szCs w:val="20"/>
          <w:lang w:val="en-US"/>
        </w:rPr>
        <w:t xml:space="preserve">Delay in diagnosis can lead to loss of life or limb. The infection involves the fascia and subcutaneous tissue, </w:t>
      </w:r>
      <w:r w:rsidRPr="00F2418B">
        <w:rPr>
          <w:rFonts w:cstheme="minorHAnsi"/>
          <w:sz w:val="20"/>
          <w:szCs w:val="20"/>
          <w:lang w:val="en-US"/>
        </w:rPr>
        <w:t>sparing</w:t>
      </w:r>
      <w:r w:rsidR="004D2889" w:rsidRPr="00F2418B">
        <w:rPr>
          <w:rFonts w:cstheme="minorHAnsi"/>
          <w:sz w:val="20"/>
          <w:szCs w:val="20"/>
          <w:lang w:val="en-US"/>
        </w:rPr>
        <w:t xml:space="preserve"> the</w:t>
      </w:r>
      <w:r w:rsidRPr="00AF636C">
        <w:rPr>
          <w:rFonts w:cstheme="minorHAnsi"/>
          <w:sz w:val="20"/>
          <w:szCs w:val="20"/>
          <w:lang w:val="en-US"/>
        </w:rPr>
        <w:t xml:space="preserve"> underlying tissues. Risk factors include immunosuppression, peripheral vascular disease, diabetes mellitus, chronic liver disease, and intravascular drug abuse.</w:t>
      </w:r>
    </w:p>
    <w:p w14:paraId="3E4C5775" w14:textId="35DB2514" w:rsidR="00D369D6" w:rsidRPr="00AF636C" w:rsidRDefault="00D369D6" w:rsidP="00220956">
      <w:pPr>
        <w:rPr>
          <w:rFonts w:cstheme="minorHAnsi"/>
          <w:sz w:val="20"/>
          <w:szCs w:val="20"/>
          <w:lang w:val="en-US"/>
        </w:rPr>
      </w:pPr>
      <w:r w:rsidRPr="00AF636C">
        <w:rPr>
          <w:rFonts w:cstheme="minorHAnsi"/>
          <w:sz w:val="20"/>
          <w:szCs w:val="20"/>
          <w:lang w:val="en-US"/>
        </w:rPr>
        <w:t>Necrotizing fasciitis is often polymicrobial although g</w:t>
      </w:r>
      <w:r w:rsidR="00526F19" w:rsidRPr="00AF636C">
        <w:rPr>
          <w:rFonts w:cstheme="minorHAnsi"/>
          <w:sz w:val="20"/>
          <w:szCs w:val="20"/>
          <w:lang w:val="en-US"/>
        </w:rPr>
        <w:t>r</w:t>
      </w:r>
      <w:r w:rsidRPr="00AF636C">
        <w:rPr>
          <w:rFonts w:cstheme="minorHAnsi"/>
          <w:sz w:val="20"/>
          <w:szCs w:val="20"/>
          <w:lang w:val="en-US"/>
        </w:rPr>
        <w:t xml:space="preserve">oup A β-hemolytic </w:t>
      </w:r>
      <w:r w:rsidR="00526F19" w:rsidRPr="00AF636C">
        <w:rPr>
          <w:rFonts w:cstheme="minorHAnsi"/>
          <w:i/>
          <w:sz w:val="20"/>
          <w:szCs w:val="20"/>
          <w:lang w:val="en-US"/>
        </w:rPr>
        <w:t>S</w:t>
      </w:r>
      <w:r w:rsidRPr="00AF636C">
        <w:rPr>
          <w:rFonts w:cstheme="minorHAnsi"/>
          <w:i/>
          <w:sz w:val="20"/>
          <w:szCs w:val="20"/>
          <w:lang w:val="en-US"/>
        </w:rPr>
        <w:t>treptococcus</w:t>
      </w:r>
      <w:r w:rsidRPr="00AF636C">
        <w:rPr>
          <w:rFonts w:cstheme="minorHAnsi"/>
          <w:sz w:val="20"/>
          <w:szCs w:val="20"/>
          <w:lang w:val="en-US"/>
        </w:rPr>
        <w:t xml:space="preserve"> is the most common </w:t>
      </w:r>
      <w:r w:rsidR="00C6723D">
        <w:rPr>
          <w:rFonts w:cstheme="minorHAnsi"/>
          <w:sz w:val="20"/>
          <w:szCs w:val="20"/>
          <w:lang w:val="en-US"/>
        </w:rPr>
        <w:t>microorganism group</w:t>
      </w:r>
      <w:r w:rsidRPr="00AF636C">
        <w:rPr>
          <w:rFonts w:cstheme="minorHAnsi"/>
          <w:sz w:val="20"/>
          <w:szCs w:val="20"/>
          <w:lang w:val="en-US"/>
        </w:rPr>
        <w:t xml:space="preserve"> identified in isolation</w:t>
      </w:r>
      <w:r w:rsidRPr="00AF636C">
        <w:rPr>
          <w:rFonts w:cstheme="minorHAnsi"/>
          <w:sz w:val="20"/>
          <w:szCs w:val="20"/>
          <w:lang w:val="en-US"/>
        </w:rPr>
        <w:fldChar w:fldCharType="begin" w:fldLock="1"/>
      </w:r>
      <w:r w:rsidR="00BB7CF4">
        <w:rPr>
          <w:rFonts w:cstheme="minorHAnsi"/>
          <w:sz w:val="20"/>
          <w:szCs w:val="20"/>
          <w:lang w:val="en-US"/>
        </w:rPr>
        <w:instrText>ADDIN CSL_CITATION {"citationItems":[{"id":"ITEM-1","itemData":{"ISSN":"0021-9355","PMID":"12925624","abstract":"BACKGROUND Necrotizing fasciitis is a life-threatening soft-tissue infection primarily involving the superficial fascia. The present report describes the clinical presentation and microbiological characteristics of this condition as well as the determinants of mortality associated with this uncommon surgical emergency. METHODS The medical records of eighty-nine consecutive patients who had been admitted to our institution for necrotizing fasciitis from January 1997 to August 2002 were reviewed retrospectively. RESULTS The paucity of cutaneous findings early in the course of the disease makes the diagnosis difficult, and only thirteen of the eighty-nine patients had a diagnosis of necrotizing fasciitis at the time of admission. Preadmission treatment with antibiotics modified the initial clinical picture and often masked the severity of the underlying infection. Polymicrobial synergistic infection was the most common cause (forty-eight patients; 53.9%), with streptococci and enterobacteriaceae being the most common isolates. Group-A streptococcus was the most common cause of monomicrobial necrotizing fasciitis. The most common associated comorbidity was diabetes mellitus (sixty-three patients; 70.8%). Advanced age, two or more associated comorbidities, and a delay in surgery of more than twenty-four hours adversely affected the outcome. Multivariate analysis showed that only a delay in surgery of more than twenty-four hours was correlated with increased mortality (p &lt; 0.05; relative risk = 9.4). CONCLUSIONS Early operative débridement was demonstrated to reduce mortality among patients with this condition. A high index of suspicion is important in view of the paucity of specific cutaneous findings early in the course of the disease.","author":[{"dropping-particle":"","family":"Wong","given":"Chin-Ho","non-dropping-particle":"","parse-names":false,"suffix":""},{"dropping-particle":"","family":"Chang","given":"Haw-Chong","non-dropping-particle":"","parse-names":false,"suffix":""},{"dropping-particle":"","family":"Pasupathy","given":"Shanker","non-dropping-particle":"","parse-names":false,"suffix":""},{"dropping-particle":"","family":"Khin","given":"Lay-Wai","non-dropping-particle":"","parse-names":false,"suffix":""},{"dropping-particle":"","family":"Tan","given":"Jee-Lim","non-dropping-particle":"","parse-names":false,"suffix":""},{"dropping-particle":"","family":"Low","given":"Cheng-Ooi","non-dropping-particle":"","parse-names":false,"suffix":""}],"container-title":"The Journal of bone and joint surgery. American volume","id":"ITEM-1","issue":"8","issued":{"date-parts":[["2003","8"]]},"page":"1454-60","title":"Necrotizing fasciitis: clinical presentation, microbiology, and determinants of mortality.","type":"article-journal","volume":"85"},"uris":["http://www.mendeley.com/documents/?uuid=14e715f5-bdb7-3ecb-b26a-8e2b8f0859f8"]}],"mendeley":{"formattedCitation":"&lt;sup&gt;1&lt;/sup&gt;","plainTextFormattedCitation":"1","previouslyFormattedCitation":"&lt;sup&gt;1&lt;/sup&gt;"},"properties":{"noteIndex":0},"schema":"https://github.com/citation-style-language/schema/raw/master/csl-citation.json"}</w:instrText>
      </w:r>
      <w:r w:rsidRPr="00AF636C">
        <w:rPr>
          <w:rFonts w:cstheme="minorHAnsi"/>
          <w:sz w:val="20"/>
          <w:szCs w:val="20"/>
          <w:lang w:val="en-US"/>
        </w:rPr>
        <w:fldChar w:fldCharType="separate"/>
      </w:r>
      <w:r w:rsidR="00B212C2" w:rsidRPr="00B212C2">
        <w:rPr>
          <w:rFonts w:cstheme="minorHAnsi"/>
          <w:noProof/>
          <w:sz w:val="20"/>
          <w:szCs w:val="20"/>
          <w:vertAlign w:val="superscript"/>
          <w:lang w:val="en-US"/>
        </w:rPr>
        <w:t>1</w:t>
      </w:r>
      <w:r w:rsidRPr="00AF636C">
        <w:rPr>
          <w:rFonts w:cstheme="minorHAnsi"/>
          <w:sz w:val="20"/>
          <w:szCs w:val="20"/>
          <w:lang w:val="en-US"/>
        </w:rPr>
        <w:fldChar w:fldCharType="end"/>
      </w:r>
      <w:r w:rsidRPr="00AF636C">
        <w:rPr>
          <w:rFonts w:cstheme="minorHAnsi"/>
          <w:sz w:val="20"/>
          <w:szCs w:val="20"/>
          <w:lang w:val="en-US"/>
        </w:rPr>
        <w:t xml:space="preserve">. </w:t>
      </w:r>
    </w:p>
    <w:p w14:paraId="17B063FC" w14:textId="0F09286A" w:rsidR="008C784B" w:rsidRDefault="00631AEF" w:rsidP="00220956">
      <w:pPr>
        <w:rPr>
          <w:rFonts w:cstheme="minorHAnsi"/>
          <w:sz w:val="20"/>
          <w:szCs w:val="20"/>
          <w:lang w:val="en-US"/>
        </w:rPr>
      </w:pPr>
      <w:r w:rsidRPr="00AF636C">
        <w:rPr>
          <w:rFonts w:cstheme="minorHAnsi"/>
          <w:sz w:val="20"/>
          <w:szCs w:val="20"/>
          <w:lang w:val="en-US"/>
        </w:rPr>
        <w:t xml:space="preserve">The subspecies </w:t>
      </w:r>
      <w:r w:rsidRPr="00AF636C">
        <w:rPr>
          <w:rFonts w:cstheme="minorHAnsi"/>
          <w:i/>
          <w:sz w:val="20"/>
          <w:szCs w:val="20"/>
          <w:lang w:val="en-US"/>
        </w:rPr>
        <w:t>piscicida</w:t>
      </w:r>
      <w:r w:rsidRPr="00AF636C">
        <w:rPr>
          <w:rFonts w:cstheme="minorHAnsi"/>
          <w:sz w:val="20"/>
          <w:szCs w:val="20"/>
          <w:lang w:val="en-US"/>
        </w:rPr>
        <w:t xml:space="preserve"> of the bacterium </w:t>
      </w:r>
      <w:r w:rsidRPr="00AF636C">
        <w:rPr>
          <w:rFonts w:cstheme="minorHAnsi"/>
          <w:i/>
          <w:sz w:val="20"/>
          <w:szCs w:val="20"/>
          <w:lang w:val="en-US"/>
        </w:rPr>
        <w:t>P</w:t>
      </w:r>
      <w:r w:rsidR="00F74293" w:rsidRPr="00AF636C">
        <w:rPr>
          <w:rFonts w:cstheme="minorHAnsi"/>
          <w:i/>
          <w:sz w:val="20"/>
          <w:szCs w:val="20"/>
          <w:lang w:val="en-US"/>
        </w:rPr>
        <w:t>hotobacterium</w:t>
      </w:r>
      <w:r w:rsidRPr="00AF636C">
        <w:rPr>
          <w:rFonts w:cstheme="minorHAnsi"/>
          <w:i/>
          <w:sz w:val="20"/>
          <w:szCs w:val="20"/>
          <w:lang w:val="en-US"/>
        </w:rPr>
        <w:t xml:space="preserve"> </w:t>
      </w:r>
      <w:proofErr w:type="spellStart"/>
      <w:r w:rsidRPr="00AF636C">
        <w:rPr>
          <w:rFonts w:cstheme="minorHAnsi"/>
          <w:i/>
          <w:sz w:val="20"/>
          <w:szCs w:val="20"/>
          <w:lang w:val="en-US"/>
        </w:rPr>
        <w:t>damselae</w:t>
      </w:r>
      <w:proofErr w:type="spellEnd"/>
      <w:r w:rsidR="00526F19" w:rsidRPr="00AF636C">
        <w:rPr>
          <w:rFonts w:cstheme="minorHAnsi"/>
          <w:i/>
          <w:sz w:val="20"/>
          <w:szCs w:val="20"/>
          <w:lang w:val="en-US"/>
        </w:rPr>
        <w:t xml:space="preserve"> </w:t>
      </w:r>
      <w:r w:rsidR="00526F19" w:rsidRPr="00AF636C">
        <w:rPr>
          <w:rFonts w:cstheme="minorHAnsi"/>
          <w:sz w:val="20"/>
          <w:szCs w:val="20"/>
          <w:lang w:val="en-US"/>
        </w:rPr>
        <w:t>(</w:t>
      </w:r>
      <w:r w:rsidR="00526F19" w:rsidRPr="00AF636C">
        <w:rPr>
          <w:rFonts w:cstheme="minorHAnsi"/>
          <w:i/>
          <w:sz w:val="20"/>
          <w:szCs w:val="20"/>
          <w:lang w:val="en-US"/>
        </w:rPr>
        <w:t xml:space="preserve">P. </w:t>
      </w:r>
      <w:proofErr w:type="spellStart"/>
      <w:r w:rsidR="00526F19" w:rsidRPr="00AF636C">
        <w:rPr>
          <w:rFonts w:cstheme="minorHAnsi"/>
          <w:i/>
          <w:sz w:val="20"/>
          <w:szCs w:val="20"/>
          <w:lang w:val="en-US"/>
        </w:rPr>
        <w:t>damselae</w:t>
      </w:r>
      <w:proofErr w:type="spellEnd"/>
      <w:r w:rsidR="00526F19" w:rsidRPr="00AF636C">
        <w:rPr>
          <w:rFonts w:cstheme="minorHAnsi"/>
          <w:sz w:val="20"/>
          <w:szCs w:val="20"/>
          <w:lang w:val="en-US"/>
        </w:rPr>
        <w:t>)</w:t>
      </w:r>
      <w:r w:rsidRPr="00AF636C">
        <w:rPr>
          <w:rFonts w:cstheme="minorHAnsi"/>
          <w:sz w:val="20"/>
          <w:szCs w:val="20"/>
          <w:lang w:val="en-US"/>
        </w:rPr>
        <w:t xml:space="preserve"> is a well-studied fish pathogen, causing a </w:t>
      </w:r>
      <w:r w:rsidR="00FF5772" w:rsidRPr="00AF636C">
        <w:rPr>
          <w:rFonts w:cstheme="minorHAnsi"/>
          <w:sz w:val="20"/>
          <w:szCs w:val="20"/>
          <w:lang w:val="en-US"/>
        </w:rPr>
        <w:t>zoonosis</w:t>
      </w:r>
      <w:r w:rsidRPr="00AF636C">
        <w:rPr>
          <w:rFonts w:cstheme="minorHAnsi"/>
          <w:sz w:val="20"/>
          <w:szCs w:val="20"/>
          <w:lang w:val="en-US"/>
        </w:rPr>
        <w:t xml:space="preserve"> known as “fish </w:t>
      </w:r>
      <w:proofErr w:type="spellStart"/>
      <w:r w:rsidRPr="00AF636C">
        <w:rPr>
          <w:rFonts w:cstheme="minorHAnsi"/>
          <w:sz w:val="20"/>
          <w:szCs w:val="20"/>
          <w:lang w:val="en-US"/>
        </w:rPr>
        <w:t>pasteurellosis</w:t>
      </w:r>
      <w:proofErr w:type="spellEnd"/>
      <w:r w:rsidRPr="00AF636C">
        <w:rPr>
          <w:rFonts w:cstheme="minorHAnsi"/>
          <w:sz w:val="20"/>
          <w:szCs w:val="20"/>
          <w:lang w:val="en-US"/>
        </w:rPr>
        <w:t>”</w:t>
      </w:r>
      <w:r w:rsidR="00526F19" w:rsidRPr="00AF636C">
        <w:rPr>
          <w:rFonts w:cstheme="minorHAnsi"/>
          <w:sz w:val="20"/>
          <w:szCs w:val="20"/>
          <w:lang w:val="en-US"/>
        </w:rPr>
        <w:t xml:space="preserve"> </w:t>
      </w:r>
      <w:r w:rsidR="009145CD" w:rsidRPr="00AF636C">
        <w:rPr>
          <w:rFonts w:cstheme="minorHAnsi"/>
          <w:sz w:val="20"/>
          <w:szCs w:val="20"/>
          <w:lang w:val="en-US"/>
        </w:rPr>
        <w:fldChar w:fldCharType="begin" w:fldLock="1"/>
      </w:r>
      <w:r w:rsidR="00BB7CF4">
        <w:rPr>
          <w:rFonts w:cstheme="minorHAnsi"/>
          <w:sz w:val="20"/>
          <w:szCs w:val="20"/>
          <w:lang w:val="en-US"/>
        </w:rPr>
        <w:instrText>ADDIN CSL_CITATION {"citationItems":[{"id":"ITEM-1","itemData":{"DOI":"10.1126/science.214.4525.1139","ISSN":"0036-8075","PMID":"17755898","abstract":"A previously undescribed marine bacterium, Vibrio damsela, was isolated from naturally occurring skin ulcers on a species of temperate-water damselfish, the blacksmith (Chromis punctipinnis). Laboratory infection of the blacksmith with Vibrio damsela produced similar ulcers. Vibrio damsela was pathogenic for four other species of damselfish but not for members of other families of fish. The bacterium has also been isolated from water and from two human wounds and may be a cause of human disease.","author":[{"dropping-particle":"","family":"Love","given":"M","non-dropping-particle":"","parse-names":false,"suffix":""},{"dropping-particle":"","family":"Teebken-Fisher","given":"D","non-dropping-particle":"","parse-names":false,"suffix":""},{"dropping-particle":"","family":"Hose","given":"J E","non-dropping-particle":"","parse-names":false,"suffix":""},{"dropping-particle":"","family":"Farmer","given":"J J","non-dropping-particle":"","parse-names":false,"suffix":""},{"dropping-particle":"","family":"Hickman","given":"F W","non-dropping-particle":"","parse-names":false,"suffix":""},{"dropping-particle":"","family":"Fanning","given":"G R","non-dropping-particle":"","parse-names":false,"suffix":""}],"container-title":"Science (New York, N.Y.)","id":"ITEM-1","issue":"4525","issued":{"date-parts":[["1981","12","4"]]},"page":"1139-40","title":"Vibrio damsela, a Marine Bacterium, Causes Skin Ulcers on the Damselfish Chromis punctipinnis.","type":"article-journal","volume":"214"},"uris":["http://www.mendeley.com/documents/?uuid=5b4f8eb5-7b9b-3eb6-898d-48ffa26cf46c"]}],"mendeley":{"formattedCitation":"&lt;sup&gt;2&lt;/sup&gt;","plainTextFormattedCitation":"2","previouslyFormattedCitation":"&lt;sup&gt;2&lt;/sup&gt;"},"properties":{"noteIndex":0},"schema":"https://github.com/citation-style-language/schema/raw/master/csl-citation.json"}</w:instrText>
      </w:r>
      <w:r w:rsidR="009145CD" w:rsidRPr="00AF636C">
        <w:rPr>
          <w:rFonts w:cstheme="minorHAnsi"/>
          <w:sz w:val="20"/>
          <w:szCs w:val="20"/>
          <w:lang w:val="en-US"/>
        </w:rPr>
        <w:fldChar w:fldCharType="separate"/>
      </w:r>
      <w:r w:rsidR="00B212C2" w:rsidRPr="00B212C2">
        <w:rPr>
          <w:rFonts w:cstheme="minorHAnsi"/>
          <w:noProof/>
          <w:sz w:val="20"/>
          <w:szCs w:val="20"/>
          <w:vertAlign w:val="superscript"/>
          <w:lang w:val="en-US"/>
        </w:rPr>
        <w:t>2</w:t>
      </w:r>
      <w:r w:rsidR="009145CD" w:rsidRPr="00AF636C">
        <w:rPr>
          <w:rFonts w:cstheme="minorHAnsi"/>
          <w:sz w:val="20"/>
          <w:szCs w:val="20"/>
          <w:lang w:val="en-US"/>
        </w:rPr>
        <w:fldChar w:fldCharType="end"/>
      </w:r>
      <w:r w:rsidR="009145CD" w:rsidRPr="00AF636C">
        <w:rPr>
          <w:rFonts w:cstheme="minorHAnsi"/>
          <w:sz w:val="20"/>
          <w:szCs w:val="20"/>
          <w:lang w:val="en-US"/>
        </w:rPr>
        <w:t xml:space="preserve">. Human diseases caused by </w:t>
      </w:r>
      <w:r w:rsidR="009145CD" w:rsidRPr="00AF636C">
        <w:rPr>
          <w:rFonts w:cstheme="minorHAnsi"/>
          <w:i/>
          <w:sz w:val="20"/>
          <w:szCs w:val="20"/>
          <w:lang w:val="en-US"/>
        </w:rPr>
        <w:t xml:space="preserve">P. </w:t>
      </w:r>
      <w:proofErr w:type="spellStart"/>
      <w:r w:rsidR="009145CD" w:rsidRPr="00AF636C">
        <w:rPr>
          <w:rFonts w:cstheme="minorHAnsi"/>
          <w:i/>
          <w:sz w:val="20"/>
          <w:szCs w:val="20"/>
          <w:lang w:val="en-US"/>
        </w:rPr>
        <w:t>damselae</w:t>
      </w:r>
      <w:proofErr w:type="spellEnd"/>
      <w:r w:rsidR="009145CD" w:rsidRPr="00AF636C">
        <w:rPr>
          <w:rFonts w:cstheme="minorHAnsi"/>
          <w:sz w:val="20"/>
          <w:szCs w:val="20"/>
          <w:lang w:val="en-US"/>
        </w:rPr>
        <w:t xml:space="preserve"> subspecies </w:t>
      </w:r>
      <w:proofErr w:type="spellStart"/>
      <w:r w:rsidR="009145CD" w:rsidRPr="00AF636C">
        <w:rPr>
          <w:rFonts w:cstheme="minorHAnsi"/>
          <w:i/>
          <w:sz w:val="20"/>
          <w:szCs w:val="20"/>
          <w:lang w:val="en-US"/>
        </w:rPr>
        <w:t>damselae</w:t>
      </w:r>
      <w:proofErr w:type="spellEnd"/>
      <w:r w:rsidR="009145CD" w:rsidRPr="00AF636C">
        <w:rPr>
          <w:rFonts w:cstheme="minorHAnsi"/>
          <w:sz w:val="20"/>
          <w:szCs w:val="20"/>
          <w:lang w:val="en-US"/>
        </w:rPr>
        <w:t xml:space="preserve"> are rare, with </w:t>
      </w:r>
      <w:r w:rsidR="00526F19" w:rsidRPr="00AF636C">
        <w:rPr>
          <w:rFonts w:cstheme="minorHAnsi"/>
          <w:sz w:val="20"/>
          <w:szCs w:val="20"/>
          <w:lang w:val="en-US"/>
        </w:rPr>
        <w:t xml:space="preserve">only </w:t>
      </w:r>
      <w:r w:rsidR="006F7F1D">
        <w:rPr>
          <w:rFonts w:cstheme="minorHAnsi"/>
          <w:sz w:val="20"/>
          <w:szCs w:val="20"/>
          <w:lang w:val="en-US"/>
        </w:rPr>
        <w:t>1</w:t>
      </w:r>
      <w:r w:rsidR="003040D8">
        <w:rPr>
          <w:rFonts w:cstheme="minorHAnsi"/>
          <w:sz w:val="20"/>
          <w:szCs w:val="20"/>
          <w:lang w:val="en-US"/>
        </w:rPr>
        <w:t>4</w:t>
      </w:r>
      <w:r w:rsidR="006F7F1D">
        <w:rPr>
          <w:rFonts w:cstheme="minorHAnsi"/>
          <w:sz w:val="20"/>
          <w:szCs w:val="20"/>
          <w:lang w:val="en-US"/>
        </w:rPr>
        <w:t xml:space="preserve"> </w:t>
      </w:r>
      <w:r w:rsidR="009145CD" w:rsidRPr="00AF636C">
        <w:rPr>
          <w:rFonts w:cstheme="minorHAnsi"/>
          <w:sz w:val="20"/>
          <w:szCs w:val="20"/>
          <w:lang w:val="en-US"/>
        </w:rPr>
        <w:t xml:space="preserve">patients </w:t>
      </w:r>
      <w:r w:rsidR="006F7F1D">
        <w:rPr>
          <w:rFonts w:cstheme="minorHAnsi"/>
          <w:sz w:val="20"/>
          <w:szCs w:val="20"/>
          <w:lang w:val="en-US"/>
        </w:rPr>
        <w:t xml:space="preserve">with soft tissues infection </w:t>
      </w:r>
      <w:r w:rsidR="009145CD" w:rsidRPr="00AF636C">
        <w:rPr>
          <w:rFonts w:cstheme="minorHAnsi"/>
          <w:sz w:val="20"/>
          <w:szCs w:val="20"/>
          <w:lang w:val="en-US"/>
        </w:rPr>
        <w:t>reported i</w:t>
      </w:r>
      <w:r w:rsidR="004D2889">
        <w:rPr>
          <w:rFonts w:cstheme="minorHAnsi"/>
          <w:sz w:val="20"/>
          <w:szCs w:val="20"/>
          <w:lang w:val="en-US"/>
        </w:rPr>
        <w:t>n</w:t>
      </w:r>
      <w:r w:rsidR="009145CD" w:rsidRPr="00AF636C">
        <w:rPr>
          <w:rFonts w:cstheme="minorHAnsi"/>
          <w:sz w:val="20"/>
          <w:szCs w:val="20"/>
          <w:lang w:val="en-US"/>
        </w:rPr>
        <w:t xml:space="preserve"> literature</w:t>
      </w:r>
      <w:r w:rsidR="006F7F1D">
        <w:rPr>
          <w:rFonts w:cstheme="minorHAnsi"/>
          <w:sz w:val="20"/>
          <w:szCs w:val="20"/>
          <w:lang w:val="en-US"/>
        </w:rPr>
        <w:t>.</w:t>
      </w:r>
    </w:p>
    <w:p w14:paraId="601269AF" w14:textId="77777777" w:rsidR="00242608" w:rsidRDefault="00242608" w:rsidP="00220956">
      <w:pPr>
        <w:rPr>
          <w:sz w:val="20"/>
          <w:szCs w:val="20"/>
          <w:lang w:val="en-US"/>
        </w:rPr>
      </w:pPr>
    </w:p>
    <w:p w14:paraId="1CD6FDDB" w14:textId="1BAEB05B" w:rsidR="007A6C2D" w:rsidRPr="008C784B" w:rsidRDefault="006E35A9" w:rsidP="00220956">
      <w:pPr>
        <w:pStyle w:val="Ttulo2"/>
        <w:rPr>
          <w:lang w:val="en-US"/>
        </w:rPr>
      </w:pPr>
      <w:r w:rsidRPr="00AF636C">
        <w:rPr>
          <w:lang w:val="en-US"/>
        </w:rPr>
        <w:t>CASE DESCRIPTION</w:t>
      </w:r>
    </w:p>
    <w:p w14:paraId="7ED57C1E" w14:textId="246BC347" w:rsidR="00B10D1D" w:rsidRPr="00AF636C" w:rsidRDefault="00AD01FF" w:rsidP="00220956">
      <w:pPr>
        <w:rPr>
          <w:rFonts w:cstheme="minorHAnsi"/>
          <w:sz w:val="20"/>
          <w:szCs w:val="20"/>
          <w:lang w:val="en-US"/>
        </w:rPr>
      </w:pPr>
      <w:r w:rsidRPr="00AF636C">
        <w:rPr>
          <w:rFonts w:cstheme="minorHAnsi"/>
          <w:sz w:val="20"/>
          <w:szCs w:val="20"/>
          <w:lang w:val="en-US"/>
        </w:rPr>
        <w:t xml:space="preserve"> A</w:t>
      </w:r>
      <w:r w:rsidR="00E51B46">
        <w:rPr>
          <w:rFonts w:cstheme="minorHAnsi"/>
          <w:sz w:val="20"/>
          <w:szCs w:val="20"/>
          <w:lang w:val="en-US"/>
        </w:rPr>
        <w:t xml:space="preserve"> 65 years old man</w:t>
      </w:r>
      <w:r w:rsidRPr="00AF636C">
        <w:rPr>
          <w:rFonts w:cstheme="minorHAnsi"/>
          <w:sz w:val="20"/>
          <w:szCs w:val="20"/>
          <w:lang w:val="en-US"/>
        </w:rPr>
        <w:t>,</w:t>
      </w:r>
      <w:r w:rsidR="00E51B46">
        <w:rPr>
          <w:rFonts w:cstheme="minorHAnsi"/>
          <w:sz w:val="20"/>
          <w:szCs w:val="20"/>
          <w:lang w:val="en-US"/>
        </w:rPr>
        <w:t xml:space="preserve"> fisherman,</w:t>
      </w:r>
      <w:r w:rsidRPr="00AF636C">
        <w:rPr>
          <w:rFonts w:cstheme="minorHAnsi"/>
          <w:sz w:val="20"/>
          <w:szCs w:val="20"/>
          <w:lang w:val="en-US"/>
        </w:rPr>
        <w:t xml:space="preserve"> </w:t>
      </w:r>
      <w:r w:rsidR="00D45D0B" w:rsidRPr="00AF636C">
        <w:rPr>
          <w:rFonts w:cstheme="minorHAnsi"/>
          <w:sz w:val="20"/>
          <w:szCs w:val="20"/>
          <w:lang w:val="en-US"/>
        </w:rPr>
        <w:t>independent</w:t>
      </w:r>
      <w:r w:rsidRPr="00AF636C">
        <w:rPr>
          <w:rFonts w:cstheme="minorHAnsi"/>
          <w:sz w:val="20"/>
          <w:szCs w:val="20"/>
          <w:lang w:val="en-US"/>
        </w:rPr>
        <w:t xml:space="preserve"> in activities</w:t>
      </w:r>
      <w:r w:rsidR="00E51B46">
        <w:rPr>
          <w:rFonts w:cstheme="minorHAnsi"/>
          <w:sz w:val="20"/>
          <w:szCs w:val="20"/>
          <w:lang w:val="en-US"/>
        </w:rPr>
        <w:t xml:space="preserve"> of daily living</w:t>
      </w:r>
      <w:r w:rsidRPr="00AF636C">
        <w:rPr>
          <w:rFonts w:cstheme="minorHAnsi"/>
          <w:sz w:val="20"/>
          <w:szCs w:val="20"/>
          <w:lang w:val="en-US"/>
        </w:rPr>
        <w:t xml:space="preserve">, </w:t>
      </w:r>
      <w:r w:rsidR="00FB05DC" w:rsidRPr="00AF636C">
        <w:rPr>
          <w:rFonts w:cstheme="minorHAnsi"/>
          <w:sz w:val="20"/>
          <w:szCs w:val="20"/>
          <w:lang w:val="en-US"/>
        </w:rPr>
        <w:t xml:space="preserve">was </w:t>
      </w:r>
      <w:r w:rsidR="00D45D0B" w:rsidRPr="00AF636C">
        <w:rPr>
          <w:rFonts w:cstheme="minorHAnsi"/>
          <w:sz w:val="20"/>
          <w:szCs w:val="20"/>
          <w:lang w:val="en-US"/>
        </w:rPr>
        <w:t>transferred</w:t>
      </w:r>
      <w:r w:rsidRPr="00AF636C">
        <w:rPr>
          <w:rFonts w:cstheme="minorHAnsi"/>
          <w:sz w:val="20"/>
          <w:szCs w:val="20"/>
          <w:lang w:val="en-US"/>
        </w:rPr>
        <w:t xml:space="preserve"> to the emergency</w:t>
      </w:r>
      <w:r w:rsidR="00FB05DC" w:rsidRPr="00AF636C">
        <w:rPr>
          <w:rFonts w:cstheme="minorHAnsi"/>
          <w:sz w:val="20"/>
          <w:szCs w:val="20"/>
          <w:lang w:val="en-US"/>
        </w:rPr>
        <w:t xml:space="preserve"> department of our hospital because of pain and edema </w:t>
      </w:r>
      <w:r w:rsidR="00E51B46">
        <w:rPr>
          <w:rFonts w:cstheme="minorHAnsi"/>
          <w:sz w:val="20"/>
          <w:szCs w:val="20"/>
          <w:lang w:val="en-US"/>
        </w:rPr>
        <w:t xml:space="preserve">in </w:t>
      </w:r>
      <w:r w:rsidR="00F2418B">
        <w:rPr>
          <w:rFonts w:cstheme="minorHAnsi"/>
          <w:sz w:val="20"/>
          <w:szCs w:val="20"/>
          <w:lang w:val="en-US"/>
        </w:rPr>
        <w:t>his right hand.</w:t>
      </w:r>
      <w:r w:rsidR="00FB05DC" w:rsidRPr="00AF636C">
        <w:rPr>
          <w:rFonts w:cstheme="minorHAnsi"/>
          <w:sz w:val="20"/>
          <w:szCs w:val="20"/>
          <w:lang w:val="en-US"/>
        </w:rPr>
        <w:t xml:space="preserve"> </w:t>
      </w:r>
      <w:r w:rsidR="00D45D0B" w:rsidRPr="00AF636C">
        <w:rPr>
          <w:rFonts w:cstheme="minorHAnsi"/>
          <w:sz w:val="20"/>
          <w:szCs w:val="20"/>
          <w:lang w:val="en-US"/>
        </w:rPr>
        <w:t>There was mention to</w:t>
      </w:r>
      <w:r w:rsidR="00025A53" w:rsidRPr="00AF636C">
        <w:rPr>
          <w:rFonts w:cstheme="minorHAnsi"/>
          <w:sz w:val="20"/>
          <w:szCs w:val="20"/>
          <w:lang w:val="en-US"/>
        </w:rPr>
        <w:t xml:space="preserve"> a previous </w:t>
      </w:r>
      <w:r w:rsidR="00E51B46">
        <w:rPr>
          <w:rFonts w:cstheme="minorHAnsi"/>
          <w:sz w:val="20"/>
          <w:szCs w:val="20"/>
          <w:lang w:val="en-US"/>
        </w:rPr>
        <w:t>hi</w:t>
      </w:r>
      <w:r w:rsidR="00025A53" w:rsidRPr="00AF636C">
        <w:rPr>
          <w:rFonts w:cstheme="minorHAnsi"/>
          <w:sz w:val="20"/>
          <w:szCs w:val="20"/>
          <w:lang w:val="en-US"/>
        </w:rPr>
        <w:t>story of renal transplantation 16 years before,</w:t>
      </w:r>
      <w:r w:rsidR="00C6723D">
        <w:rPr>
          <w:rFonts w:cstheme="minorHAnsi"/>
          <w:sz w:val="20"/>
          <w:szCs w:val="20"/>
          <w:lang w:val="en-US"/>
        </w:rPr>
        <w:t xml:space="preserve"> and to a</w:t>
      </w:r>
      <w:r w:rsidR="00025A53" w:rsidRPr="00AF636C">
        <w:rPr>
          <w:rFonts w:cstheme="minorHAnsi"/>
          <w:sz w:val="20"/>
          <w:szCs w:val="20"/>
          <w:lang w:val="en-US"/>
        </w:rPr>
        <w:t xml:space="preserve"> regimen of blood </w:t>
      </w:r>
      <w:r w:rsidR="002408B5">
        <w:rPr>
          <w:rFonts w:cstheme="minorHAnsi"/>
          <w:sz w:val="20"/>
          <w:szCs w:val="20"/>
          <w:lang w:val="en-US"/>
        </w:rPr>
        <w:t>dialysis for the last</w:t>
      </w:r>
      <w:r w:rsidR="00025A53" w:rsidRPr="00AF636C">
        <w:rPr>
          <w:rFonts w:cstheme="minorHAnsi"/>
          <w:sz w:val="20"/>
          <w:szCs w:val="20"/>
          <w:lang w:val="en-US"/>
        </w:rPr>
        <w:t xml:space="preserve"> 2 year</w:t>
      </w:r>
      <w:r w:rsidR="0014170D" w:rsidRPr="00AF636C">
        <w:rPr>
          <w:rFonts w:cstheme="minorHAnsi"/>
          <w:sz w:val="20"/>
          <w:szCs w:val="20"/>
          <w:lang w:val="en-US"/>
        </w:rPr>
        <w:t xml:space="preserve"> through a</w:t>
      </w:r>
      <w:r w:rsidR="00E51B46">
        <w:rPr>
          <w:rFonts w:cstheme="minorHAnsi"/>
          <w:sz w:val="20"/>
          <w:szCs w:val="20"/>
          <w:lang w:val="en-US"/>
        </w:rPr>
        <w:t>n</w:t>
      </w:r>
      <w:r w:rsidR="0014170D" w:rsidRPr="00AF636C">
        <w:rPr>
          <w:rFonts w:cstheme="minorHAnsi"/>
          <w:sz w:val="20"/>
          <w:szCs w:val="20"/>
          <w:lang w:val="en-US"/>
        </w:rPr>
        <w:t xml:space="preserve"> arterial-venous fistula in the right arm</w:t>
      </w:r>
      <w:r w:rsidR="00025A53" w:rsidRPr="00AF636C">
        <w:rPr>
          <w:rFonts w:cstheme="minorHAnsi"/>
          <w:sz w:val="20"/>
          <w:szCs w:val="20"/>
          <w:lang w:val="en-US"/>
        </w:rPr>
        <w:t xml:space="preserve">. </w:t>
      </w:r>
      <w:r w:rsidR="00D45D0B" w:rsidRPr="00AF636C">
        <w:rPr>
          <w:rFonts w:cstheme="minorHAnsi"/>
          <w:sz w:val="20"/>
          <w:szCs w:val="20"/>
          <w:lang w:val="en-US"/>
        </w:rPr>
        <w:t>His</w:t>
      </w:r>
      <w:r w:rsidR="00025A53" w:rsidRPr="00AF636C">
        <w:rPr>
          <w:rFonts w:cstheme="minorHAnsi"/>
          <w:sz w:val="20"/>
          <w:szCs w:val="20"/>
          <w:lang w:val="en-US"/>
        </w:rPr>
        <w:t xml:space="preserve"> regular medication </w:t>
      </w:r>
      <w:r w:rsidR="00D45D0B" w:rsidRPr="00AF636C">
        <w:rPr>
          <w:rFonts w:cstheme="minorHAnsi"/>
          <w:sz w:val="20"/>
          <w:szCs w:val="20"/>
          <w:lang w:val="en-US"/>
        </w:rPr>
        <w:t>w</w:t>
      </w:r>
      <w:r w:rsidR="00025A53" w:rsidRPr="00AF636C">
        <w:rPr>
          <w:rFonts w:cstheme="minorHAnsi"/>
          <w:sz w:val="20"/>
          <w:szCs w:val="20"/>
          <w:lang w:val="en-US"/>
        </w:rPr>
        <w:t>as lisinopril, alprazolam and bicalutamide</w:t>
      </w:r>
      <w:r w:rsidR="00D45D0B" w:rsidRPr="00AF636C">
        <w:rPr>
          <w:rFonts w:cstheme="minorHAnsi"/>
          <w:sz w:val="20"/>
          <w:szCs w:val="20"/>
          <w:lang w:val="en-US"/>
        </w:rPr>
        <w:t>.</w:t>
      </w:r>
    </w:p>
    <w:p w14:paraId="5F0788A0" w14:textId="5600692A" w:rsidR="00025A53" w:rsidRPr="00AF636C" w:rsidRDefault="00025A53" w:rsidP="00220956">
      <w:pPr>
        <w:rPr>
          <w:rFonts w:cstheme="minorHAnsi"/>
          <w:sz w:val="20"/>
          <w:szCs w:val="20"/>
          <w:lang w:val="en-US"/>
        </w:rPr>
      </w:pPr>
      <w:r w:rsidRPr="00AF636C">
        <w:rPr>
          <w:rFonts w:cstheme="minorHAnsi"/>
          <w:sz w:val="20"/>
          <w:szCs w:val="20"/>
          <w:lang w:val="en-US"/>
        </w:rPr>
        <w:t xml:space="preserve">At the admission the </w:t>
      </w:r>
      <w:r w:rsidR="00D45D0B" w:rsidRPr="00AF636C">
        <w:rPr>
          <w:rFonts w:cstheme="minorHAnsi"/>
          <w:sz w:val="20"/>
          <w:szCs w:val="20"/>
          <w:lang w:val="en-US"/>
        </w:rPr>
        <w:t>patient</w:t>
      </w:r>
      <w:r w:rsidRPr="00AF636C">
        <w:rPr>
          <w:rFonts w:cstheme="minorHAnsi"/>
          <w:sz w:val="20"/>
          <w:szCs w:val="20"/>
          <w:lang w:val="en-US"/>
        </w:rPr>
        <w:t xml:space="preserve"> complained of </w:t>
      </w:r>
      <w:r w:rsidR="002408B5">
        <w:rPr>
          <w:rFonts w:cstheme="minorHAnsi"/>
          <w:sz w:val="20"/>
          <w:szCs w:val="20"/>
          <w:lang w:val="en-US"/>
        </w:rPr>
        <w:t xml:space="preserve">progressively worse </w:t>
      </w:r>
      <w:proofErr w:type="gramStart"/>
      <w:r w:rsidR="0014170D" w:rsidRPr="00AF636C">
        <w:rPr>
          <w:rFonts w:cstheme="minorHAnsi"/>
          <w:sz w:val="20"/>
          <w:szCs w:val="20"/>
          <w:lang w:val="en-US"/>
        </w:rPr>
        <w:t xml:space="preserve">right </w:t>
      </w:r>
      <w:r w:rsidRPr="00AF636C">
        <w:rPr>
          <w:rFonts w:cstheme="minorHAnsi"/>
          <w:sz w:val="20"/>
          <w:szCs w:val="20"/>
          <w:lang w:val="en-US"/>
        </w:rPr>
        <w:t>hand</w:t>
      </w:r>
      <w:proofErr w:type="gramEnd"/>
      <w:r w:rsidRPr="00AF636C">
        <w:rPr>
          <w:rFonts w:cstheme="minorHAnsi"/>
          <w:sz w:val="20"/>
          <w:szCs w:val="20"/>
          <w:lang w:val="en-US"/>
        </w:rPr>
        <w:t xml:space="preserve"> edema and severe pain, </w:t>
      </w:r>
      <w:r w:rsidR="0084167B">
        <w:rPr>
          <w:rFonts w:cstheme="minorHAnsi"/>
          <w:sz w:val="20"/>
          <w:szCs w:val="20"/>
          <w:lang w:val="en-US"/>
        </w:rPr>
        <w:t>with</w:t>
      </w:r>
      <w:r w:rsidRPr="00AF636C">
        <w:rPr>
          <w:rFonts w:cstheme="minorHAnsi"/>
          <w:sz w:val="20"/>
          <w:szCs w:val="20"/>
          <w:lang w:val="en-US"/>
        </w:rPr>
        <w:t xml:space="preserve"> 6 hours </w:t>
      </w:r>
      <w:r w:rsidR="0084167B">
        <w:rPr>
          <w:rFonts w:cstheme="minorHAnsi"/>
          <w:sz w:val="20"/>
          <w:szCs w:val="20"/>
          <w:lang w:val="en-US"/>
        </w:rPr>
        <w:t>of evolution</w:t>
      </w:r>
      <w:r w:rsidRPr="00AF636C">
        <w:rPr>
          <w:rFonts w:cstheme="minorHAnsi"/>
          <w:sz w:val="20"/>
          <w:szCs w:val="20"/>
          <w:lang w:val="en-US"/>
        </w:rPr>
        <w:t>.</w:t>
      </w:r>
      <w:r w:rsidR="00BD623E" w:rsidRPr="00AF636C">
        <w:rPr>
          <w:rFonts w:cstheme="minorHAnsi"/>
          <w:sz w:val="20"/>
          <w:szCs w:val="20"/>
          <w:lang w:val="en-US"/>
        </w:rPr>
        <w:t xml:space="preserve"> He mentioned</w:t>
      </w:r>
      <w:r w:rsidR="0084167B">
        <w:rPr>
          <w:rFonts w:cstheme="minorHAnsi"/>
          <w:sz w:val="20"/>
          <w:szCs w:val="20"/>
          <w:lang w:val="en-US"/>
        </w:rPr>
        <w:t xml:space="preserve"> a </w:t>
      </w:r>
      <w:r w:rsidR="00BD623E" w:rsidRPr="00AF636C">
        <w:rPr>
          <w:rFonts w:cstheme="minorHAnsi"/>
          <w:sz w:val="20"/>
          <w:szCs w:val="20"/>
          <w:lang w:val="en-US"/>
        </w:rPr>
        <w:t xml:space="preserve">trauma </w:t>
      </w:r>
      <w:r w:rsidR="0084167B">
        <w:rPr>
          <w:rFonts w:cstheme="minorHAnsi"/>
          <w:sz w:val="20"/>
          <w:szCs w:val="20"/>
          <w:lang w:val="en-US"/>
        </w:rPr>
        <w:t>to that hand</w:t>
      </w:r>
      <w:r w:rsidR="00BD623E" w:rsidRPr="00AF636C">
        <w:rPr>
          <w:rFonts w:cstheme="minorHAnsi"/>
          <w:sz w:val="20"/>
          <w:szCs w:val="20"/>
          <w:lang w:val="en-US"/>
        </w:rPr>
        <w:t xml:space="preserve"> 12 hours before in </w:t>
      </w:r>
      <w:r w:rsidR="002408B5">
        <w:rPr>
          <w:rFonts w:cstheme="minorHAnsi"/>
          <w:sz w:val="20"/>
          <w:szCs w:val="20"/>
          <w:lang w:val="en-US"/>
        </w:rPr>
        <w:t>table where fish were being handled</w:t>
      </w:r>
      <w:r w:rsidR="00D45D0B" w:rsidRPr="00AF636C">
        <w:rPr>
          <w:rFonts w:cstheme="minorHAnsi"/>
          <w:sz w:val="20"/>
          <w:szCs w:val="20"/>
          <w:lang w:val="en-US"/>
        </w:rPr>
        <w:t>.</w:t>
      </w:r>
    </w:p>
    <w:p w14:paraId="3F115A89" w14:textId="029BE386" w:rsidR="00BD623E" w:rsidRPr="00AF636C" w:rsidRDefault="00BD623E" w:rsidP="00220956">
      <w:pPr>
        <w:rPr>
          <w:rFonts w:cstheme="minorHAnsi"/>
          <w:sz w:val="20"/>
          <w:szCs w:val="20"/>
          <w:lang w:val="en-US"/>
        </w:rPr>
      </w:pPr>
      <w:r w:rsidRPr="00AF636C">
        <w:rPr>
          <w:rFonts w:cstheme="minorHAnsi"/>
          <w:sz w:val="20"/>
          <w:szCs w:val="20"/>
          <w:lang w:val="en-US"/>
        </w:rPr>
        <w:t xml:space="preserve">At our observation he presented with edema of the right hand, reduced amplitude and </w:t>
      </w:r>
      <w:r w:rsidR="0084167B">
        <w:rPr>
          <w:rFonts w:cstheme="minorHAnsi"/>
          <w:sz w:val="20"/>
          <w:szCs w:val="20"/>
          <w:lang w:val="en-US"/>
        </w:rPr>
        <w:t>strength</w:t>
      </w:r>
      <w:r w:rsidRPr="00AF636C">
        <w:rPr>
          <w:rFonts w:cstheme="minorHAnsi"/>
          <w:sz w:val="20"/>
          <w:szCs w:val="20"/>
          <w:lang w:val="en-US"/>
        </w:rPr>
        <w:t xml:space="preserve"> </w:t>
      </w:r>
      <w:r w:rsidR="0084167B">
        <w:rPr>
          <w:rFonts w:cstheme="minorHAnsi"/>
          <w:sz w:val="20"/>
          <w:szCs w:val="20"/>
          <w:lang w:val="en-US"/>
        </w:rPr>
        <w:t>on</w:t>
      </w:r>
      <w:r w:rsidRPr="00AF636C">
        <w:rPr>
          <w:rFonts w:cstheme="minorHAnsi"/>
          <w:sz w:val="20"/>
          <w:szCs w:val="20"/>
          <w:lang w:val="en-US"/>
        </w:rPr>
        <w:t xml:space="preserve"> movements of the wrist and all the fingers. The</w:t>
      </w:r>
      <w:r w:rsidR="00D45D0B" w:rsidRPr="00AF636C">
        <w:rPr>
          <w:rFonts w:cstheme="minorHAnsi"/>
          <w:sz w:val="20"/>
          <w:szCs w:val="20"/>
          <w:lang w:val="en-US"/>
        </w:rPr>
        <w:t xml:space="preserve"> </w:t>
      </w:r>
      <w:r w:rsidRPr="00AF636C">
        <w:rPr>
          <w:rFonts w:cstheme="minorHAnsi"/>
          <w:sz w:val="20"/>
          <w:szCs w:val="20"/>
          <w:lang w:val="en-US"/>
        </w:rPr>
        <w:t xml:space="preserve">fingers </w:t>
      </w:r>
      <w:r w:rsidR="002408B5">
        <w:rPr>
          <w:rFonts w:cstheme="minorHAnsi"/>
          <w:sz w:val="20"/>
          <w:szCs w:val="20"/>
          <w:lang w:val="en-US"/>
        </w:rPr>
        <w:t>had good perfusion and</w:t>
      </w:r>
      <w:r w:rsidRPr="00AF636C">
        <w:rPr>
          <w:rFonts w:cstheme="minorHAnsi"/>
          <w:sz w:val="20"/>
          <w:szCs w:val="20"/>
          <w:lang w:val="en-US"/>
        </w:rPr>
        <w:t xml:space="preserve"> no </w:t>
      </w:r>
      <w:r w:rsidR="00526F19" w:rsidRPr="00AF636C">
        <w:rPr>
          <w:rFonts w:cstheme="minorHAnsi"/>
          <w:sz w:val="20"/>
          <w:szCs w:val="20"/>
          <w:lang w:val="en-US"/>
        </w:rPr>
        <w:t>sensitive</w:t>
      </w:r>
      <w:r w:rsidRPr="00AF636C">
        <w:rPr>
          <w:rFonts w:cstheme="minorHAnsi"/>
          <w:sz w:val="20"/>
          <w:szCs w:val="20"/>
          <w:lang w:val="en-US"/>
        </w:rPr>
        <w:t xml:space="preserve"> </w:t>
      </w:r>
      <w:r w:rsidR="00D45D0B" w:rsidRPr="00AF636C">
        <w:rPr>
          <w:rFonts w:cstheme="minorHAnsi"/>
          <w:sz w:val="20"/>
          <w:szCs w:val="20"/>
          <w:lang w:val="en-US"/>
        </w:rPr>
        <w:t>deficits</w:t>
      </w:r>
      <w:r w:rsidRPr="00AF636C">
        <w:rPr>
          <w:rFonts w:cstheme="minorHAnsi"/>
          <w:sz w:val="20"/>
          <w:szCs w:val="20"/>
          <w:lang w:val="en-US"/>
        </w:rPr>
        <w:t xml:space="preserve">. There was a small wound in the dorsum of the hand </w:t>
      </w:r>
      <w:r w:rsidR="00B212C2">
        <w:rPr>
          <w:rFonts w:cstheme="minorHAnsi"/>
          <w:sz w:val="20"/>
          <w:szCs w:val="20"/>
          <w:lang w:val="en-US"/>
        </w:rPr>
        <w:t>(Fig. 1)</w:t>
      </w:r>
      <w:r w:rsidRPr="00AF636C">
        <w:rPr>
          <w:rFonts w:cstheme="minorHAnsi"/>
          <w:sz w:val="20"/>
          <w:szCs w:val="20"/>
          <w:lang w:val="en-US"/>
        </w:rPr>
        <w:t xml:space="preserve">. </w:t>
      </w:r>
      <w:r w:rsidR="00AD01FF" w:rsidRPr="00AF636C">
        <w:rPr>
          <w:rFonts w:cstheme="minorHAnsi"/>
          <w:sz w:val="20"/>
          <w:szCs w:val="20"/>
          <w:lang w:val="en-US"/>
        </w:rPr>
        <w:t xml:space="preserve">The blood tests at </w:t>
      </w:r>
      <w:r w:rsidR="00D45D0B" w:rsidRPr="00AF636C">
        <w:rPr>
          <w:rFonts w:cstheme="minorHAnsi"/>
          <w:sz w:val="20"/>
          <w:szCs w:val="20"/>
          <w:lang w:val="en-US"/>
        </w:rPr>
        <w:t>admission date</w:t>
      </w:r>
      <w:r w:rsidR="00AD01FF" w:rsidRPr="00AF636C">
        <w:rPr>
          <w:rFonts w:cstheme="minorHAnsi"/>
          <w:sz w:val="20"/>
          <w:szCs w:val="20"/>
          <w:lang w:val="en-US"/>
        </w:rPr>
        <w:t xml:space="preserve"> had a </w:t>
      </w:r>
      <w:r w:rsidR="007B59A7" w:rsidRPr="00AF636C">
        <w:rPr>
          <w:rFonts w:cstheme="minorHAnsi"/>
          <w:sz w:val="20"/>
          <w:szCs w:val="20"/>
          <w:lang w:val="en-US"/>
        </w:rPr>
        <w:t>white blood cell</w:t>
      </w:r>
      <w:r w:rsidR="00AD01FF" w:rsidRPr="00AF636C">
        <w:rPr>
          <w:rFonts w:cstheme="minorHAnsi"/>
          <w:sz w:val="20"/>
          <w:szCs w:val="20"/>
          <w:lang w:val="en-US"/>
        </w:rPr>
        <w:t xml:space="preserve"> </w:t>
      </w:r>
      <w:r w:rsidR="007B59A7" w:rsidRPr="00AF636C">
        <w:rPr>
          <w:rFonts w:cstheme="minorHAnsi"/>
          <w:sz w:val="20"/>
          <w:szCs w:val="20"/>
          <w:lang w:val="en-US"/>
        </w:rPr>
        <w:t xml:space="preserve">(WBC) </w:t>
      </w:r>
      <w:r w:rsidR="00AD01FF" w:rsidRPr="00AF636C">
        <w:rPr>
          <w:rFonts w:cstheme="minorHAnsi"/>
          <w:sz w:val="20"/>
          <w:szCs w:val="20"/>
          <w:lang w:val="en-US"/>
        </w:rPr>
        <w:t>count</w:t>
      </w:r>
      <w:r w:rsidR="007B59A7" w:rsidRPr="00AF636C">
        <w:rPr>
          <w:rFonts w:cstheme="minorHAnsi"/>
          <w:sz w:val="20"/>
          <w:szCs w:val="20"/>
          <w:lang w:val="en-US"/>
        </w:rPr>
        <w:t>s</w:t>
      </w:r>
      <w:r w:rsidR="00AD01FF" w:rsidRPr="00AF636C">
        <w:rPr>
          <w:rFonts w:cstheme="minorHAnsi"/>
          <w:sz w:val="20"/>
          <w:szCs w:val="20"/>
          <w:lang w:val="en-US"/>
        </w:rPr>
        <w:t xml:space="preserve"> of 10,77</w:t>
      </w:r>
      <w:r w:rsidR="00D45D0B" w:rsidRPr="00AF636C">
        <w:rPr>
          <w:rFonts w:cstheme="minorHAnsi"/>
          <w:sz w:val="20"/>
          <w:szCs w:val="20"/>
          <w:lang w:val="en-US"/>
        </w:rPr>
        <w:t>0</w:t>
      </w:r>
      <w:r w:rsidR="00AD01FF" w:rsidRPr="00AF636C">
        <w:rPr>
          <w:rFonts w:cstheme="minorHAnsi"/>
          <w:sz w:val="20"/>
          <w:szCs w:val="20"/>
          <w:lang w:val="en-US"/>
        </w:rPr>
        <w:t xml:space="preserve">x10^9/L with 86% neutrophils; LDH 355U/L and a </w:t>
      </w:r>
      <w:r w:rsidR="007B59A7" w:rsidRPr="00AF636C">
        <w:rPr>
          <w:rFonts w:cstheme="minorHAnsi"/>
          <w:sz w:val="20"/>
          <w:szCs w:val="20"/>
          <w:lang w:val="en-US"/>
        </w:rPr>
        <w:t>C reactive protein (</w:t>
      </w:r>
      <w:r w:rsidR="00AD01FF" w:rsidRPr="00AF636C">
        <w:rPr>
          <w:rFonts w:cstheme="minorHAnsi"/>
          <w:sz w:val="20"/>
          <w:szCs w:val="20"/>
          <w:lang w:val="en-US"/>
        </w:rPr>
        <w:t>CRP</w:t>
      </w:r>
      <w:r w:rsidR="007B59A7" w:rsidRPr="00AF636C">
        <w:rPr>
          <w:rFonts w:cstheme="minorHAnsi"/>
          <w:sz w:val="20"/>
          <w:szCs w:val="20"/>
          <w:lang w:val="en-US"/>
        </w:rPr>
        <w:t>)</w:t>
      </w:r>
      <w:r w:rsidR="00AD01FF" w:rsidRPr="00AF636C">
        <w:rPr>
          <w:rFonts w:cstheme="minorHAnsi"/>
          <w:sz w:val="20"/>
          <w:szCs w:val="20"/>
          <w:lang w:val="en-US"/>
        </w:rPr>
        <w:t xml:space="preserve"> of 31,1mg/L</w:t>
      </w:r>
      <w:r w:rsidR="00DB4C62" w:rsidRPr="00AF636C">
        <w:rPr>
          <w:rFonts w:cstheme="minorHAnsi"/>
          <w:sz w:val="20"/>
          <w:szCs w:val="20"/>
          <w:lang w:val="en-US"/>
        </w:rPr>
        <w:t xml:space="preserve">. </w:t>
      </w:r>
      <w:r w:rsidRPr="00AF636C">
        <w:rPr>
          <w:rFonts w:cstheme="minorHAnsi"/>
          <w:sz w:val="20"/>
          <w:szCs w:val="20"/>
          <w:lang w:val="en-US"/>
        </w:rPr>
        <w:t xml:space="preserve">A swab was collected. About 2 hours after the admission, the patient was taken to the operating room and </w:t>
      </w:r>
      <w:r w:rsidR="00686DE1" w:rsidRPr="00AF636C">
        <w:rPr>
          <w:rFonts w:cstheme="minorHAnsi"/>
          <w:sz w:val="20"/>
          <w:szCs w:val="20"/>
          <w:lang w:val="en-US"/>
        </w:rPr>
        <w:t>fasciotomies</w:t>
      </w:r>
      <w:r w:rsidRPr="00AF636C">
        <w:rPr>
          <w:rFonts w:cstheme="minorHAnsi"/>
          <w:sz w:val="20"/>
          <w:szCs w:val="20"/>
          <w:lang w:val="en-US"/>
        </w:rPr>
        <w:t xml:space="preserve"> </w:t>
      </w:r>
      <w:r w:rsidR="0014170D" w:rsidRPr="00AF636C">
        <w:rPr>
          <w:rFonts w:cstheme="minorHAnsi"/>
          <w:sz w:val="20"/>
          <w:szCs w:val="20"/>
          <w:lang w:val="en-US"/>
        </w:rPr>
        <w:t xml:space="preserve">of the hand and wrist </w:t>
      </w:r>
      <w:r w:rsidRPr="00AF636C">
        <w:rPr>
          <w:rFonts w:cstheme="minorHAnsi"/>
          <w:sz w:val="20"/>
          <w:szCs w:val="20"/>
          <w:lang w:val="en-US"/>
        </w:rPr>
        <w:t xml:space="preserve">were performed </w:t>
      </w:r>
      <w:r w:rsidR="0014170D" w:rsidRPr="00AF636C">
        <w:rPr>
          <w:rFonts w:cstheme="minorHAnsi"/>
          <w:sz w:val="20"/>
          <w:szCs w:val="20"/>
          <w:lang w:val="en-US"/>
        </w:rPr>
        <w:t xml:space="preserve">with </w:t>
      </w:r>
      <w:r w:rsidR="00D45D0B" w:rsidRPr="00AF636C">
        <w:rPr>
          <w:rFonts w:cstheme="minorHAnsi"/>
          <w:sz w:val="20"/>
          <w:szCs w:val="20"/>
          <w:lang w:val="en-US"/>
        </w:rPr>
        <w:t>some</w:t>
      </w:r>
      <w:r w:rsidR="0014170D" w:rsidRPr="00AF636C">
        <w:rPr>
          <w:rFonts w:cstheme="minorHAnsi"/>
          <w:sz w:val="20"/>
          <w:szCs w:val="20"/>
          <w:lang w:val="en-US"/>
        </w:rPr>
        <w:t xml:space="preserve"> drainage of “washing-dishes like” fluid.</w:t>
      </w:r>
      <w:r w:rsidR="00C50A2A" w:rsidRPr="00AF636C">
        <w:rPr>
          <w:rFonts w:cstheme="minorHAnsi"/>
          <w:sz w:val="20"/>
          <w:szCs w:val="20"/>
          <w:lang w:val="en-US"/>
        </w:rPr>
        <w:t xml:space="preserve"> Empiric </w:t>
      </w:r>
      <w:proofErr w:type="spellStart"/>
      <w:r w:rsidR="00C50A2A" w:rsidRPr="00AF636C">
        <w:rPr>
          <w:rFonts w:cstheme="minorHAnsi"/>
          <w:sz w:val="20"/>
          <w:szCs w:val="20"/>
          <w:lang w:val="en-US"/>
        </w:rPr>
        <w:t>antibiotherapy</w:t>
      </w:r>
      <w:proofErr w:type="spellEnd"/>
      <w:r w:rsidR="00C50A2A" w:rsidRPr="00AF636C">
        <w:rPr>
          <w:rFonts w:cstheme="minorHAnsi"/>
          <w:sz w:val="20"/>
          <w:szCs w:val="20"/>
          <w:lang w:val="en-US"/>
        </w:rPr>
        <w:t xml:space="preserve"> with </w:t>
      </w:r>
      <w:r w:rsidR="00D45D0B" w:rsidRPr="00AF636C">
        <w:rPr>
          <w:rFonts w:cstheme="minorHAnsi"/>
          <w:sz w:val="20"/>
          <w:szCs w:val="20"/>
          <w:lang w:val="en-US"/>
        </w:rPr>
        <w:t>amoxicillin/clavulanic acid</w:t>
      </w:r>
      <w:r w:rsidR="00C50A2A" w:rsidRPr="00AF636C">
        <w:rPr>
          <w:rFonts w:cstheme="minorHAnsi"/>
          <w:sz w:val="20"/>
          <w:szCs w:val="20"/>
          <w:lang w:val="en-US"/>
        </w:rPr>
        <w:t xml:space="preserve"> and metronidazole </w:t>
      </w:r>
      <w:r w:rsidR="00D905F2" w:rsidRPr="00AF636C">
        <w:rPr>
          <w:rFonts w:cstheme="minorHAnsi"/>
          <w:sz w:val="20"/>
          <w:szCs w:val="20"/>
          <w:lang w:val="en-US"/>
        </w:rPr>
        <w:t>was initiated.</w:t>
      </w:r>
    </w:p>
    <w:p w14:paraId="17CB0FA4" w14:textId="3902FB59" w:rsidR="001A1FC9" w:rsidRPr="00AF636C" w:rsidRDefault="0014170D" w:rsidP="00220956">
      <w:pPr>
        <w:rPr>
          <w:rFonts w:cstheme="minorHAnsi"/>
          <w:sz w:val="20"/>
          <w:szCs w:val="20"/>
          <w:lang w:val="en-US"/>
        </w:rPr>
      </w:pPr>
      <w:r w:rsidRPr="00AF636C">
        <w:rPr>
          <w:rFonts w:cstheme="minorHAnsi"/>
          <w:sz w:val="20"/>
          <w:szCs w:val="20"/>
          <w:lang w:val="en-US"/>
        </w:rPr>
        <w:t xml:space="preserve">About </w:t>
      </w:r>
      <w:r w:rsidR="007B59A7" w:rsidRPr="00AF636C">
        <w:rPr>
          <w:rFonts w:cstheme="minorHAnsi"/>
          <w:sz w:val="20"/>
          <w:szCs w:val="20"/>
          <w:lang w:val="en-US"/>
        </w:rPr>
        <w:t>15</w:t>
      </w:r>
      <w:r w:rsidRPr="00AF636C">
        <w:rPr>
          <w:rFonts w:cstheme="minorHAnsi"/>
          <w:sz w:val="20"/>
          <w:szCs w:val="20"/>
          <w:lang w:val="en-US"/>
        </w:rPr>
        <w:t xml:space="preserve"> hours after admission skin necrosis in the dorsum of the right hand and progression of edema to the forearm was observed</w:t>
      </w:r>
      <w:r w:rsidR="00D905F2" w:rsidRPr="00AF636C">
        <w:rPr>
          <w:rFonts w:cstheme="minorHAnsi"/>
          <w:sz w:val="20"/>
          <w:szCs w:val="20"/>
          <w:lang w:val="en-US"/>
        </w:rPr>
        <w:t xml:space="preserve">. The patient </w:t>
      </w:r>
      <w:r w:rsidR="007B59A7" w:rsidRPr="00AF636C">
        <w:rPr>
          <w:rFonts w:cstheme="minorHAnsi"/>
          <w:sz w:val="20"/>
          <w:szCs w:val="20"/>
          <w:lang w:val="en-US"/>
        </w:rPr>
        <w:t>developed</w:t>
      </w:r>
      <w:r w:rsidR="00D45D0B" w:rsidRPr="00AF636C">
        <w:rPr>
          <w:rFonts w:cstheme="minorHAnsi"/>
          <w:sz w:val="20"/>
          <w:szCs w:val="20"/>
          <w:lang w:val="en-US"/>
        </w:rPr>
        <w:t xml:space="preserve"> a</w:t>
      </w:r>
      <w:r w:rsidR="00D905F2" w:rsidRPr="00AF636C">
        <w:rPr>
          <w:rFonts w:cstheme="minorHAnsi"/>
          <w:sz w:val="20"/>
          <w:szCs w:val="20"/>
          <w:lang w:val="en-US"/>
        </w:rPr>
        <w:t xml:space="preserve"> septic shock and was taken emergently to the operating theatre for </w:t>
      </w:r>
      <w:r w:rsidR="00C60D74">
        <w:rPr>
          <w:rFonts w:cstheme="minorHAnsi"/>
          <w:sz w:val="20"/>
          <w:szCs w:val="20"/>
          <w:lang w:val="en-US"/>
        </w:rPr>
        <w:t>debridement</w:t>
      </w:r>
      <w:r w:rsidR="002408B5">
        <w:rPr>
          <w:rFonts w:cstheme="minorHAnsi"/>
          <w:sz w:val="20"/>
          <w:szCs w:val="20"/>
          <w:lang w:val="en-US"/>
        </w:rPr>
        <w:t xml:space="preserve"> </w:t>
      </w:r>
      <w:r w:rsidR="00B212C2">
        <w:rPr>
          <w:rFonts w:cstheme="minorHAnsi"/>
          <w:sz w:val="20"/>
          <w:szCs w:val="20"/>
          <w:lang w:val="en-US"/>
        </w:rPr>
        <w:t>(Fig. 2)</w:t>
      </w:r>
      <w:r w:rsidR="00D905F2" w:rsidRPr="00AF636C">
        <w:rPr>
          <w:rFonts w:cstheme="minorHAnsi"/>
          <w:sz w:val="20"/>
          <w:szCs w:val="20"/>
          <w:lang w:val="en-US"/>
        </w:rPr>
        <w:t>.</w:t>
      </w:r>
      <w:r w:rsidR="001A1FC9" w:rsidRPr="00AF636C">
        <w:rPr>
          <w:rFonts w:cstheme="minorHAnsi"/>
          <w:sz w:val="20"/>
          <w:szCs w:val="20"/>
          <w:lang w:val="en-US"/>
        </w:rPr>
        <w:t xml:space="preserve"> </w:t>
      </w:r>
      <w:r w:rsidR="00C60D74">
        <w:rPr>
          <w:rFonts w:cstheme="minorHAnsi"/>
          <w:sz w:val="20"/>
          <w:szCs w:val="20"/>
          <w:lang w:val="en-US"/>
        </w:rPr>
        <w:t>A</w:t>
      </w:r>
      <w:r w:rsidR="001A1FC9" w:rsidRPr="00AF636C">
        <w:rPr>
          <w:rFonts w:cstheme="minorHAnsi"/>
          <w:sz w:val="20"/>
          <w:szCs w:val="20"/>
          <w:lang w:val="en-US"/>
        </w:rPr>
        <w:t xml:space="preserve"> preliminary identification of </w:t>
      </w:r>
      <w:r w:rsidR="007B59A7" w:rsidRPr="00AF636C">
        <w:rPr>
          <w:rFonts w:cstheme="minorHAnsi"/>
          <w:i/>
          <w:sz w:val="20"/>
          <w:szCs w:val="20"/>
          <w:lang w:val="en-US"/>
        </w:rPr>
        <w:t>P.</w:t>
      </w:r>
      <w:r w:rsidR="001A1FC9" w:rsidRPr="00AF636C">
        <w:rPr>
          <w:rFonts w:cstheme="minorHAnsi"/>
          <w:i/>
          <w:sz w:val="20"/>
          <w:szCs w:val="20"/>
          <w:lang w:val="en-US"/>
        </w:rPr>
        <w:t xml:space="preserve"> </w:t>
      </w:r>
      <w:proofErr w:type="spellStart"/>
      <w:r w:rsidR="001A1FC9" w:rsidRPr="00AF636C">
        <w:rPr>
          <w:rFonts w:cstheme="minorHAnsi"/>
          <w:i/>
          <w:sz w:val="20"/>
          <w:szCs w:val="20"/>
          <w:lang w:val="en-US"/>
        </w:rPr>
        <w:t>damselae</w:t>
      </w:r>
      <w:proofErr w:type="spellEnd"/>
      <w:r w:rsidR="001A1FC9" w:rsidRPr="00AF636C">
        <w:rPr>
          <w:rFonts w:cstheme="minorHAnsi"/>
          <w:sz w:val="20"/>
          <w:szCs w:val="20"/>
          <w:lang w:val="en-US"/>
        </w:rPr>
        <w:t xml:space="preserve"> was possible and </w:t>
      </w:r>
      <w:r w:rsidR="009777DC">
        <w:rPr>
          <w:rFonts w:cstheme="minorHAnsi"/>
          <w:sz w:val="20"/>
          <w:szCs w:val="20"/>
          <w:lang w:val="en-US"/>
        </w:rPr>
        <w:t xml:space="preserve">we initiated </w:t>
      </w:r>
      <w:r w:rsidR="001A1FC9" w:rsidRPr="00AF636C">
        <w:rPr>
          <w:rFonts w:cstheme="minorHAnsi"/>
          <w:sz w:val="20"/>
          <w:szCs w:val="20"/>
          <w:lang w:val="en-US"/>
        </w:rPr>
        <w:t xml:space="preserve">the </w:t>
      </w:r>
      <w:proofErr w:type="spellStart"/>
      <w:r w:rsidR="001A1FC9" w:rsidRPr="00AF636C">
        <w:rPr>
          <w:rFonts w:cstheme="minorHAnsi"/>
          <w:sz w:val="20"/>
          <w:szCs w:val="20"/>
          <w:lang w:val="en-US"/>
        </w:rPr>
        <w:t>antibiotherapy</w:t>
      </w:r>
      <w:proofErr w:type="spellEnd"/>
      <w:r w:rsidR="001A1FC9" w:rsidRPr="00AF636C">
        <w:rPr>
          <w:rFonts w:cstheme="minorHAnsi"/>
          <w:sz w:val="20"/>
          <w:szCs w:val="20"/>
          <w:lang w:val="en-US"/>
        </w:rPr>
        <w:t xml:space="preserve"> </w:t>
      </w:r>
      <w:r w:rsidR="0084167B">
        <w:rPr>
          <w:rFonts w:cstheme="minorHAnsi"/>
          <w:sz w:val="20"/>
          <w:szCs w:val="20"/>
          <w:lang w:val="en-US"/>
        </w:rPr>
        <w:t xml:space="preserve">regimen </w:t>
      </w:r>
      <w:r w:rsidR="001A1FC9" w:rsidRPr="00AF636C">
        <w:rPr>
          <w:rFonts w:cstheme="minorHAnsi"/>
          <w:sz w:val="20"/>
          <w:szCs w:val="20"/>
          <w:lang w:val="en-US"/>
        </w:rPr>
        <w:t xml:space="preserve">directed </w:t>
      </w:r>
      <w:r w:rsidR="007B59A7" w:rsidRPr="00AF636C">
        <w:rPr>
          <w:rFonts w:cstheme="minorHAnsi"/>
          <w:sz w:val="20"/>
          <w:szCs w:val="20"/>
          <w:lang w:val="en-US"/>
        </w:rPr>
        <w:t xml:space="preserve">to </w:t>
      </w:r>
      <w:r w:rsidR="001A1FC9" w:rsidRPr="00AF636C">
        <w:rPr>
          <w:rFonts w:cstheme="minorHAnsi"/>
          <w:sz w:val="20"/>
          <w:szCs w:val="20"/>
          <w:lang w:val="en-US"/>
        </w:rPr>
        <w:t xml:space="preserve">the agent with ceftriaxone and </w:t>
      </w:r>
      <w:proofErr w:type="spellStart"/>
      <w:r w:rsidR="001A1FC9" w:rsidRPr="00AF636C">
        <w:rPr>
          <w:rFonts w:cstheme="minorHAnsi"/>
          <w:sz w:val="20"/>
          <w:szCs w:val="20"/>
          <w:lang w:val="en-US"/>
        </w:rPr>
        <w:t>doxicicline</w:t>
      </w:r>
      <w:proofErr w:type="spellEnd"/>
      <w:r w:rsidR="001A1FC9" w:rsidRPr="00AF636C">
        <w:rPr>
          <w:rFonts w:cstheme="minorHAnsi"/>
          <w:sz w:val="20"/>
          <w:szCs w:val="20"/>
          <w:lang w:val="en-US"/>
        </w:rPr>
        <w:t xml:space="preserve">. </w:t>
      </w:r>
    </w:p>
    <w:p w14:paraId="44367E80" w14:textId="3E053596" w:rsidR="006E35A9" w:rsidRDefault="00DA0CC7" w:rsidP="00220956">
      <w:pPr>
        <w:rPr>
          <w:rFonts w:cstheme="minorHAnsi"/>
          <w:sz w:val="20"/>
          <w:szCs w:val="20"/>
          <w:lang w:val="en-US"/>
        </w:rPr>
      </w:pPr>
      <w:r w:rsidRPr="00AF636C">
        <w:rPr>
          <w:rFonts w:cstheme="minorHAnsi"/>
          <w:sz w:val="20"/>
          <w:szCs w:val="20"/>
          <w:lang w:val="en-US"/>
        </w:rPr>
        <w:t>At d</w:t>
      </w:r>
      <w:r w:rsidR="008B1907" w:rsidRPr="00AF636C">
        <w:rPr>
          <w:rFonts w:cstheme="minorHAnsi"/>
          <w:sz w:val="20"/>
          <w:szCs w:val="20"/>
          <w:lang w:val="en-US"/>
        </w:rPr>
        <w:t xml:space="preserve">ay 10 and 17 </w:t>
      </w:r>
      <w:r w:rsidR="007B59A7" w:rsidRPr="00AF636C">
        <w:rPr>
          <w:rFonts w:cstheme="minorHAnsi"/>
          <w:sz w:val="20"/>
          <w:szCs w:val="20"/>
          <w:lang w:val="en-US"/>
        </w:rPr>
        <w:t xml:space="preserve">after admission </w:t>
      </w:r>
      <w:r w:rsidR="008B1907" w:rsidRPr="00AF636C">
        <w:rPr>
          <w:rFonts w:cstheme="minorHAnsi"/>
          <w:sz w:val="20"/>
          <w:szCs w:val="20"/>
          <w:lang w:val="en-US"/>
        </w:rPr>
        <w:t>he was again submitted to surgical intervention</w:t>
      </w:r>
      <w:r w:rsidR="009777DC">
        <w:rPr>
          <w:rFonts w:cstheme="minorHAnsi"/>
          <w:sz w:val="20"/>
          <w:szCs w:val="20"/>
          <w:lang w:val="en-US"/>
        </w:rPr>
        <w:t>s</w:t>
      </w:r>
      <w:r w:rsidR="008B1907" w:rsidRPr="00AF636C">
        <w:rPr>
          <w:rFonts w:cstheme="minorHAnsi"/>
          <w:sz w:val="20"/>
          <w:szCs w:val="20"/>
          <w:lang w:val="en-US"/>
        </w:rPr>
        <w:t xml:space="preserve"> for debridement</w:t>
      </w:r>
      <w:r w:rsidR="009B4BEC" w:rsidRPr="00AF636C">
        <w:rPr>
          <w:rFonts w:cstheme="minorHAnsi"/>
          <w:sz w:val="20"/>
          <w:szCs w:val="20"/>
          <w:lang w:val="en-US"/>
        </w:rPr>
        <w:t>. From the 17</w:t>
      </w:r>
      <w:r w:rsidR="009B4BEC" w:rsidRPr="00AF636C">
        <w:rPr>
          <w:rFonts w:cstheme="minorHAnsi"/>
          <w:sz w:val="20"/>
          <w:szCs w:val="20"/>
          <w:vertAlign w:val="superscript"/>
          <w:lang w:val="en-US"/>
        </w:rPr>
        <w:t>th</w:t>
      </w:r>
      <w:r w:rsidR="009B4BEC" w:rsidRPr="00AF636C">
        <w:rPr>
          <w:rFonts w:cstheme="minorHAnsi"/>
          <w:sz w:val="20"/>
          <w:szCs w:val="20"/>
          <w:lang w:val="en-US"/>
        </w:rPr>
        <w:t xml:space="preserve"> day on</w:t>
      </w:r>
      <w:r w:rsidR="009777DC">
        <w:rPr>
          <w:rFonts w:cstheme="minorHAnsi"/>
          <w:sz w:val="20"/>
          <w:szCs w:val="20"/>
          <w:lang w:val="en-US"/>
        </w:rPr>
        <w:t>wards</w:t>
      </w:r>
      <w:r w:rsidR="009B4BEC" w:rsidRPr="00AF636C">
        <w:rPr>
          <w:rFonts w:cstheme="minorHAnsi"/>
          <w:sz w:val="20"/>
          <w:szCs w:val="20"/>
          <w:lang w:val="en-US"/>
        </w:rPr>
        <w:t xml:space="preserve"> a regimen of </w:t>
      </w:r>
      <w:r w:rsidR="009777DC">
        <w:rPr>
          <w:rFonts w:cstheme="minorHAnsi"/>
          <w:sz w:val="20"/>
          <w:szCs w:val="20"/>
          <w:lang w:val="en-US"/>
        </w:rPr>
        <w:t>negative pressure</w:t>
      </w:r>
      <w:r w:rsidR="009777DC" w:rsidRPr="00AF636C">
        <w:rPr>
          <w:rFonts w:cstheme="minorHAnsi"/>
          <w:sz w:val="20"/>
          <w:szCs w:val="20"/>
          <w:lang w:val="en-US"/>
        </w:rPr>
        <w:t xml:space="preserve"> </w:t>
      </w:r>
      <w:r w:rsidR="009B4BEC" w:rsidRPr="00AF636C">
        <w:rPr>
          <w:rFonts w:cstheme="minorHAnsi"/>
          <w:sz w:val="20"/>
          <w:szCs w:val="20"/>
          <w:lang w:val="en-US"/>
        </w:rPr>
        <w:t xml:space="preserve">therapy was started. The </w:t>
      </w:r>
      <w:proofErr w:type="spellStart"/>
      <w:r w:rsidR="009B4BEC" w:rsidRPr="00AF636C">
        <w:rPr>
          <w:rFonts w:cstheme="minorHAnsi"/>
          <w:sz w:val="20"/>
          <w:szCs w:val="20"/>
          <w:lang w:val="en-US"/>
        </w:rPr>
        <w:t>antibiotherapy</w:t>
      </w:r>
      <w:proofErr w:type="spellEnd"/>
      <w:r w:rsidR="009B4BEC" w:rsidRPr="00AF636C">
        <w:rPr>
          <w:rFonts w:cstheme="minorHAnsi"/>
          <w:sz w:val="20"/>
          <w:szCs w:val="20"/>
          <w:lang w:val="en-US"/>
        </w:rPr>
        <w:t xml:space="preserve"> was stopped at day 21. At day 25 an acellular dermal matrix </w:t>
      </w:r>
      <w:r w:rsidR="00572EFB" w:rsidRPr="00AF636C">
        <w:rPr>
          <w:rFonts w:cstheme="minorHAnsi"/>
          <w:sz w:val="20"/>
          <w:szCs w:val="20"/>
          <w:lang w:val="en-US"/>
        </w:rPr>
        <w:t xml:space="preserve">(ADM) </w:t>
      </w:r>
      <w:r w:rsidR="009B4BEC" w:rsidRPr="00AF636C">
        <w:rPr>
          <w:rFonts w:cstheme="minorHAnsi"/>
          <w:sz w:val="20"/>
          <w:szCs w:val="20"/>
          <w:lang w:val="en-US"/>
        </w:rPr>
        <w:t>was applied with vacuum</w:t>
      </w:r>
      <w:r w:rsidR="00B212C2">
        <w:rPr>
          <w:rFonts w:cstheme="minorHAnsi"/>
          <w:sz w:val="20"/>
          <w:szCs w:val="20"/>
          <w:lang w:val="en-US"/>
        </w:rPr>
        <w:t xml:space="preserve"> (Fig.3)</w:t>
      </w:r>
      <w:r w:rsidR="009B4BEC" w:rsidRPr="00AF636C">
        <w:rPr>
          <w:rFonts w:cstheme="minorHAnsi"/>
          <w:sz w:val="20"/>
          <w:szCs w:val="20"/>
          <w:lang w:val="en-US"/>
        </w:rPr>
        <w:t xml:space="preserve">. </w:t>
      </w:r>
      <w:r w:rsidR="00E345A8">
        <w:rPr>
          <w:rFonts w:cstheme="minorHAnsi"/>
          <w:sz w:val="20"/>
          <w:szCs w:val="20"/>
          <w:lang w:val="en-US"/>
        </w:rPr>
        <w:t>Four weeks later</w:t>
      </w:r>
      <w:r w:rsidR="009777DC">
        <w:rPr>
          <w:rFonts w:cstheme="minorHAnsi"/>
          <w:sz w:val="20"/>
          <w:szCs w:val="20"/>
          <w:lang w:val="en-US"/>
        </w:rPr>
        <w:t>,</w:t>
      </w:r>
      <w:r w:rsidR="00572EFB" w:rsidRPr="00AF636C">
        <w:rPr>
          <w:rFonts w:cstheme="minorHAnsi"/>
          <w:sz w:val="20"/>
          <w:szCs w:val="20"/>
          <w:lang w:val="en-US"/>
        </w:rPr>
        <w:t xml:space="preserve"> </w:t>
      </w:r>
      <w:r w:rsidR="002A1E4C">
        <w:rPr>
          <w:rFonts w:cstheme="minorHAnsi"/>
          <w:sz w:val="20"/>
          <w:szCs w:val="20"/>
          <w:lang w:val="en-US"/>
        </w:rPr>
        <w:t>the hand and forearm were skin grafted</w:t>
      </w:r>
      <w:r w:rsidR="00B212C2">
        <w:rPr>
          <w:rFonts w:cstheme="minorHAnsi"/>
          <w:sz w:val="20"/>
          <w:szCs w:val="20"/>
          <w:lang w:val="en-US"/>
        </w:rPr>
        <w:t xml:space="preserve"> (Fig. 4)</w:t>
      </w:r>
      <w:r w:rsidR="00572EFB" w:rsidRPr="00AF636C">
        <w:rPr>
          <w:rFonts w:cstheme="minorHAnsi"/>
          <w:sz w:val="20"/>
          <w:szCs w:val="20"/>
          <w:lang w:val="en-US"/>
        </w:rPr>
        <w:t>. The patient was discharged from the hospital 70 days after admission</w:t>
      </w:r>
      <w:r w:rsidR="007A6C2D" w:rsidRPr="00AF636C">
        <w:rPr>
          <w:rFonts w:cstheme="minorHAnsi"/>
          <w:sz w:val="20"/>
          <w:szCs w:val="20"/>
          <w:lang w:val="en-US"/>
        </w:rPr>
        <w:t xml:space="preserve"> after a</w:t>
      </w:r>
      <w:r w:rsidR="008B1907" w:rsidRPr="00AF636C">
        <w:rPr>
          <w:rFonts w:cstheme="minorHAnsi"/>
          <w:sz w:val="20"/>
          <w:szCs w:val="20"/>
          <w:lang w:val="en-US"/>
        </w:rPr>
        <w:t xml:space="preserve"> total of 6 surgical interventions</w:t>
      </w:r>
      <w:r w:rsidR="00B212C2">
        <w:rPr>
          <w:rFonts w:cstheme="minorHAnsi"/>
          <w:sz w:val="20"/>
          <w:szCs w:val="20"/>
          <w:lang w:val="en-US"/>
        </w:rPr>
        <w:t xml:space="preserve"> (Fig. 5)</w:t>
      </w:r>
      <w:r w:rsidR="008B1907" w:rsidRPr="00AF636C">
        <w:rPr>
          <w:rFonts w:cstheme="minorHAnsi"/>
          <w:sz w:val="20"/>
          <w:szCs w:val="20"/>
          <w:lang w:val="en-US"/>
        </w:rPr>
        <w:t>.</w:t>
      </w:r>
    </w:p>
    <w:p w14:paraId="68E58A9D" w14:textId="77777777" w:rsidR="002A1E4C" w:rsidRPr="00AF636C" w:rsidRDefault="002A1E4C" w:rsidP="00220956">
      <w:pPr>
        <w:rPr>
          <w:rFonts w:cstheme="minorHAnsi"/>
          <w:sz w:val="20"/>
          <w:szCs w:val="20"/>
          <w:lang w:val="en-US"/>
        </w:rPr>
      </w:pPr>
    </w:p>
    <w:p w14:paraId="0356EA4C" w14:textId="58C8C0C9" w:rsidR="003613C7" w:rsidRPr="00220956" w:rsidRDefault="006E35A9" w:rsidP="00220956">
      <w:pPr>
        <w:pStyle w:val="Ttulo2"/>
        <w:rPr>
          <w:rFonts w:asciiTheme="minorHAnsi" w:hAnsiTheme="minorHAnsi" w:cstheme="minorHAnsi"/>
          <w:sz w:val="20"/>
          <w:szCs w:val="20"/>
          <w:lang w:val="en-US"/>
        </w:rPr>
      </w:pPr>
      <w:r w:rsidRPr="00AF636C">
        <w:rPr>
          <w:rFonts w:asciiTheme="minorHAnsi" w:hAnsiTheme="minorHAnsi" w:cstheme="minorHAnsi"/>
          <w:sz w:val="20"/>
          <w:szCs w:val="20"/>
          <w:lang w:val="en-US"/>
        </w:rPr>
        <w:t>DISCUSSION</w:t>
      </w:r>
    </w:p>
    <w:p w14:paraId="38672047" w14:textId="3C24DABA" w:rsidR="003C6A55" w:rsidRPr="00AF636C" w:rsidRDefault="003C6A55" w:rsidP="00220956">
      <w:pPr>
        <w:rPr>
          <w:rFonts w:cstheme="minorHAnsi"/>
          <w:sz w:val="20"/>
          <w:szCs w:val="20"/>
          <w:lang w:val="en-US"/>
        </w:rPr>
      </w:pPr>
      <w:r w:rsidRPr="00AF636C">
        <w:rPr>
          <w:rFonts w:cstheme="minorHAnsi"/>
          <w:sz w:val="20"/>
          <w:szCs w:val="20"/>
          <w:lang w:val="en-US"/>
        </w:rPr>
        <w:t>Necrotizing fasciitis</w:t>
      </w:r>
      <w:r w:rsidR="00D369D6" w:rsidRPr="00AF636C">
        <w:rPr>
          <w:rFonts w:cstheme="minorHAnsi"/>
          <w:sz w:val="20"/>
          <w:szCs w:val="20"/>
          <w:lang w:val="en-US"/>
        </w:rPr>
        <w:t xml:space="preserve"> </w:t>
      </w:r>
      <w:r w:rsidRPr="00AF636C">
        <w:rPr>
          <w:rFonts w:cstheme="minorHAnsi"/>
          <w:sz w:val="20"/>
          <w:szCs w:val="20"/>
          <w:lang w:val="en-US"/>
        </w:rPr>
        <w:t xml:space="preserve">frequently </w:t>
      </w:r>
      <w:r w:rsidR="00D369D6" w:rsidRPr="00AF636C">
        <w:rPr>
          <w:rFonts w:cstheme="minorHAnsi"/>
          <w:sz w:val="20"/>
          <w:szCs w:val="20"/>
          <w:lang w:val="en-US"/>
        </w:rPr>
        <w:t>appear</w:t>
      </w:r>
      <w:r w:rsidR="009777DC">
        <w:rPr>
          <w:rFonts w:cstheme="minorHAnsi"/>
          <w:sz w:val="20"/>
          <w:szCs w:val="20"/>
          <w:lang w:val="en-US"/>
        </w:rPr>
        <w:t>s</w:t>
      </w:r>
      <w:r w:rsidRPr="00AF636C">
        <w:rPr>
          <w:rFonts w:cstheme="minorHAnsi"/>
          <w:sz w:val="20"/>
          <w:szCs w:val="20"/>
          <w:lang w:val="en-US"/>
        </w:rPr>
        <w:t xml:space="preserve"> only</w:t>
      </w:r>
      <w:r w:rsidR="00D369D6" w:rsidRPr="00AF636C">
        <w:rPr>
          <w:rFonts w:cstheme="minorHAnsi"/>
          <w:sz w:val="20"/>
          <w:szCs w:val="20"/>
          <w:lang w:val="en-US"/>
        </w:rPr>
        <w:t xml:space="preserve"> as low grade </w:t>
      </w:r>
      <w:proofErr w:type="gramStart"/>
      <w:r w:rsidR="00D369D6" w:rsidRPr="00AF636C">
        <w:rPr>
          <w:rFonts w:cstheme="minorHAnsi"/>
          <w:sz w:val="20"/>
          <w:szCs w:val="20"/>
          <w:lang w:val="en-US"/>
        </w:rPr>
        <w:t>cellulitis, and</w:t>
      </w:r>
      <w:proofErr w:type="gramEnd"/>
      <w:r w:rsidR="00D369D6" w:rsidRPr="00AF636C">
        <w:rPr>
          <w:rFonts w:cstheme="minorHAnsi"/>
          <w:sz w:val="20"/>
          <w:szCs w:val="20"/>
          <w:lang w:val="en-US"/>
        </w:rPr>
        <w:t xml:space="preserve"> can be very challenging to make an early diagnosis. Across two series, the most common examination findings at the time of presentation were warmth (97%), erythema (95–100%), edema (82%) and disproportionate pain (98–100%)</w:t>
      </w:r>
      <w:r w:rsidR="00D369D6" w:rsidRPr="00AF636C">
        <w:rPr>
          <w:rFonts w:cstheme="minorHAnsi"/>
          <w:sz w:val="20"/>
          <w:szCs w:val="20"/>
          <w:lang w:val="en-US"/>
        </w:rPr>
        <w:fldChar w:fldCharType="begin" w:fldLock="1"/>
      </w:r>
      <w:r w:rsidR="00BB7CF4">
        <w:rPr>
          <w:rFonts w:cstheme="minorHAnsi"/>
          <w:sz w:val="20"/>
          <w:szCs w:val="20"/>
          <w:lang w:val="en-US"/>
        </w:rPr>
        <w:instrText>ADDIN CSL_CITATION {"citationItems":[{"id":"ITEM-1","itemData":{"ISSN":"0021-9355","PMID":"12925624","abstract":"BACKGROUND Necrotizing fasciitis is a life-threatening soft-tissue infection primarily involving the superficial fascia. The present report describes the clinical presentation and microbiological characteristics of this condition as well as the determinants of mortality associated with this uncommon surgical emergency. METHODS The medical records of eighty-nine consecutive patients who had been admitted to our institution for necrotizing fasciitis from January 1997 to August 2002 were reviewed retrospectively. RESULTS The paucity of cutaneous findings early in the course of the disease makes the diagnosis difficult, and only thirteen of the eighty-nine patients had a diagnosis of necrotizing fasciitis at the time of admission. Preadmission treatment with antibiotics modified the initial clinical picture and often masked the severity of the underlying infection. Polymicrobial synergistic infection was the most common cause (forty-eight patients; 53.9%), with streptococci and enterobacteriaceae being the most common isolates. Group-A streptococcus was the most common cause of monomicrobial necrotizing fasciitis. The most common associated comorbidity was diabetes mellitus (sixty-three patients; 70.8%). Advanced age, two or more associated comorbidities, and a delay in surgery of more than twenty-four hours adversely affected the outcome. Multivariate analysis showed that only a delay in surgery of more than twenty-four hours was correlated with increased mortality (p &lt; 0.05; relative risk = 9.4). CONCLUSIONS Early operative débridement was demonstrated to reduce mortality among patients with this condition. A high index of suspicion is important in view of the paucity of specific cutaneous findings early in the course of the disease.","author":[{"dropping-particle":"","family":"Wong","given":"Chin-Ho","non-dropping-particle":"","parse-names":false,"suffix":""},{"dropping-particle":"","family":"Chang","given":"Haw-Chong","non-dropping-particle":"","parse-names":false,"suffix":""},{"dropping-particle":"","family":"Pasupathy","given":"Shanker","non-dropping-particle":"","parse-names":false,"suffix":""},{"dropping-particle":"","family":"Khin","given":"Lay-Wai","non-dropping-particle":"","parse-names":false,"suffix":""},{"dropping-particle":"","family":"Tan","given":"Jee-Lim","non-dropping-particle":"","parse-names":false,"suffix":""},{"dropping-particle":"","family":"Low","given":"Cheng-Ooi","non-dropping-particle":"","parse-names":false,"suffix":""}],"container-title":"The Journal of bone and joint surgery. American volume","id":"ITEM-1","issue":"8","issued":{"date-parts":[["2003","8"]]},"page":"1454-60","title":"Necrotizing fasciitis: clinical presentation, microbiology, and determinants of mortality.","type":"article-journal","volume":"85"},"uris":["http://www.mendeley.com/documents/?uuid=14e715f5-bdb7-3ecb-b26a-8e2b8f0859f8"]},{"id":"ITEM-2","itemData":{"ISSN":"0003-1348","PMID":"11842952","abstract":"This review was prompted by continued public and professional interest of necrotizing fasciitis as well as worldwide increases in the incidence of streptococcal invasive infections. Our objective was to outline the clinical course of necrotizing fasciitis and delineate factors relating to mortality among 163 diagnosed patients. Over 14 years patients diagnosed with necrotizing fasciitis were reviewed for patient history, comorbid conditions, and progression of clinical course. A logistic regression model was used to identify factors increasing mortality risk among necrotizing fasciitis patients. Nearly 17 per cent of the patients showed no identifiable antecedent trauma. Seventy-one per cent of tissue culture-positive patients (145) had multibacterial infections. Although no streptococcal species were recovered from one-third of these culture-positive patients there was an increase in mortality noted with beta-Streptococcus infections. Ninety-six per cent of the patient deaths were correlated with variables organized into the following categories: 1) patient history (intravenous drug use and age &lt;1 or &gt;60 years), 2) comorbid conditions (cancer, renal disease, and congestive heart failure), 3) characteristics of clinical course (trunk involvement, positive blood cultures, peripheral vascular disease, and positive cultures for beta-streptococcus or anaerobic bacteria), and 4) quantitative timeline of clinical course (time: injury to diagnosis, diagnosis to treatment). Mortality is correlated to patient history, comorbid conditions, and progression of clinical course. Necrotizing fasciitis can occur idiopathically and is generally a polymicrobial infection that sometimes occurs in the absence of streptococci. Clearly the mortality and morbidity associated with necrotizing fasciitis can be decreased with clinical awareness, early diagnosis, adequate surgical debridement, and intensive supportive care.","author":[{"dropping-particle":"","family":"Childers","given":"Ben J","non-dropping-particle":"","parse-names":false,"suffix":""},{"dropping-particle":"","family":"Potyondy","given":"Louis D","non-dropping-particle":"","parse-names":false,"suffix":""},{"dropping-particle":"","family":"Nachreiner","given":"Ryan","non-dropping-particle":"","parse-names":false,"suffix":""},{"dropping-particle":"","family":"Rogers","given":"Frank R","non-dropping-particle":"","parse-names":false,"suffix":""},{"dropping-particle":"","family":"Childers","given":"Ellyn R","non-dropping-particle":"","parse-names":false,"suffix":""},{"dropping-particle":"","family":"Oberg","given":"Kerby C","non-dropping-particle":"","parse-names":false,"suffix":""},{"dropping-particle":"","family":"Hendricks","given":"Douglas L","non-dropping-particle":"","parse-names":false,"suffix":""},{"dropping-particle":"","family":"Hardesty","given":"Robert A","non-dropping-particle":"","parse-names":false,"suffix":""}],"container-title":"The American surgeon","id":"ITEM-2","issue":"2","issued":{"date-parts":[["2002","2"]]},"page":"109-16","title":"Necrotizing fasciitis: a fourteen-year retrospective study of 163 consecutive patients.","type":"article-journal","volume":"68"},"uris":["http://www.mendeley.com/documents/?uuid=24c04aca-25a1-31d5-afb2-d634e169ce43"]}],"mendeley":{"formattedCitation":"&lt;sup&gt;1,3&lt;/sup&gt;","plainTextFormattedCitation":"1,3","previouslyFormattedCitation":"&lt;sup&gt;1,3&lt;/sup&gt;"},"properties":{"noteIndex":0},"schema":"https://github.com/citation-style-language/schema/raw/master/csl-citation.json"}</w:instrText>
      </w:r>
      <w:r w:rsidR="00D369D6" w:rsidRPr="00AF636C">
        <w:rPr>
          <w:rFonts w:cstheme="minorHAnsi"/>
          <w:sz w:val="20"/>
          <w:szCs w:val="20"/>
          <w:lang w:val="en-US"/>
        </w:rPr>
        <w:fldChar w:fldCharType="separate"/>
      </w:r>
      <w:r w:rsidR="00B212C2" w:rsidRPr="00B212C2">
        <w:rPr>
          <w:rFonts w:cstheme="minorHAnsi"/>
          <w:noProof/>
          <w:sz w:val="20"/>
          <w:szCs w:val="20"/>
          <w:vertAlign w:val="superscript"/>
          <w:lang w:val="en-US"/>
        </w:rPr>
        <w:t>1,3</w:t>
      </w:r>
      <w:r w:rsidR="00D369D6" w:rsidRPr="00AF636C">
        <w:rPr>
          <w:rFonts w:cstheme="minorHAnsi"/>
          <w:sz w:val="20"/>
          <w:szCs w:val="20"/>
          <w:lang w:val="en-US"/>
        </w:rPr>
        <w:fldChar w:fldCharType="end"/>
      </w:r>
      <w:r w:rsidR="00D369D6" w:rsidRPr="00AF636C">
        <w:rPr>
          <w:rFonts w:cstheme="minorHAnsi"/>
          <w:sz w:val="20"/>
          <w:szCs w:val="20"/>
          <w:lang w:val="en-US"/>
        </w:rPr>
        <w:t xml:space="preserve">. Patients are frequently hemodynamically unstable with elevated </w:t>
      </w:r>
      <w:r w:rsidR="007B59A7" w:rsidRPr="00AF636C">
        <w:rPr>
          <w:rFonts w:cstheme="minorHAnsi"/>
          <w:sz w:val="20"/>
          <w:szCs w:val="20"/>
          <w:lang w:val="en-US"/>
        </w:rPr>
        <w:t xml:space="preserve">(WBC) </w:t>
      </w:r>
      <w:r w:rsidR="00D369D6" w:rsidRPr="00AF636C">
        <w:rPr>
          <w:rFonts w:cstheme="minorHAnsi"/>
          <w:sz w:val="20"/>
          <w:szCs w:val="20"/>
          <w:lang w:val="en-US"/>
        </w:rPr>
        <w:t>counts, coagulopathy, and shock. Skin necrosis, bullae, crepitus, gas on imaging studies and hemodynamic instability, suggestive signs of necrotizing fasciitis are not always present. In fact one or more of th</w:t>
      </w:r>
      <w:r w:rsidR="009777DC">
        <w:rPr>
          <w:rFonts w:cstheme="minorHAnsi"/>
          <w:sz w:val="20"/>
          <w:szCs w:val="20"/>
          <w:lang w:val="en-US"/>
        </w:rPr>
        <w:t>ese</w:t>
      </w:r>
      <w:r w:rsidR="00D369D6" w:rsidRPr="00AF636C">
        <w:rPr>
          <w:rFonts w:cstheme="minorHAnsi"/>
          <w:sz w:val="20"/>
          <w:szCs w:val="20"/>
          <w:lang w:val="en-US"/>
        </w:rPr>
        <w:t xml:space="preserve"> signs are present less than 50% of the time</w:t>
      </w:r>
      <w:r w:rsidR="00D369D6" w:rsidRPr="00AF636C">
        <w:rPr>
          <w:rFonts w:cstheme="minorHAnsi"/>
          <w:sz w:val="20"/>
          <w:szCs w:val="20"/>
          <w:lang w:val="en-US"/>
        </w:rPr>
        <w:fldChar w:fldCharType="begin" w:fldLock="1"/>
      </w:r>
      <w:r w:rsidR="00BB7CF4">
        <w:rPr>
          <w:rFonts w:cstheme="minorHAnsi"/>
          <w:sz w:val="20"/>
          <w:szCs w:val="20"/>
          <w:lang w:val="en-US"/>
        </w:rPr>
        <w:instrText>ADDIN CSL_CITATION {"citationItems":[{"id":"ITEM-1","itemData":{"DOI":"10.1016/j.amjsurg.2008.07.025","ISSN":"00029610","PMID":"19095111","abstract":"BACKGROUND When clinical \"hard signs\" of necrotizing soft tissue infection (NSTI) are present, establishing the diagnosis of NSTI is not difficult. However, hard signs of NSTIs are often absent on presentation, thus potentially delaying diagnosis and surgical intervention. A prior retrospective study performed at our institution demonstrated that admission white blood cell (WBC) count &gt;15,400/microL x 10(9)/L and/or serum sodium (Na) &lt;135 mEq/L could help differentiate NSTI from non-NSTI. The purpose of this study was to prospectively determine how often \"hard signs\" of NSTI are present and to evaluate how knowledge of laboratory parameters influence our surgeons' abilities to diagnose and manage NSTI. METHODS Prospective observational data collection to determine the sensitivity of NSTI \"hard signs\" and administration of a questionnaire in which the surgeon was asked whether he believed the patient had an NSTI based on physical examination (PE) alone, and then after being informed of the Na level and WBC count. RESULTS Twenty-one patients with a mean age of 41 years had NSTI. Mean admission WBC count and Na level were 31,500/microL and 127 mEq/L, respectively. Only 9 (43%) had hard signs of NSTI. Suspicion for NSTI increased from 9 to 18 (86%) after evaluating laboratory criteria (P = .008). CONCLUSIONS Fewer than half of the patients presented with hard clinical signs of NSTI. Admission WBC count &gt;15,400/microL or serum Na &lt;135 mEq/L significantly increased suspicion for NSTI and aided early diagnosis.","author":[{"dropping-particle":"","family":"Chan","given":"Tony","non-dropping-particle":"","parse-names":false,"suffix":""},{"dropping-particle":"","family":"Yaghoubian","given":"Arezou","non-dropping-particle":"","parse-names":false,"suffix":""},{"dropping-particle":"","family":"Rosing","given":"David","non-dropping-particle":"","parse-names":false,"suffix":""},{"dropping-particle":"","family":"Kaji","given":"Amy","non-dropping-particle":"","parse-names":false,"suffix":""},{"dropping-particle":"","family":"Virgilio","given":"Christian","non-dropping-particle":"de","parse-names":false,"suffix":""}],"container-title":"The American Journal of Surgery","id":"ITEM-1","issue":"6","issued":{"date-parts":[["2008","12"]]},"page":"926-930","title":"Low sensitivity of physical examination findings in necrotizing soft tissue infection is improved with laboratory values: a prospective study","type":"article-journal","volume":"196"},"uris":["http://www.mendeley.com/documents/?uuid=7b1863a1-b004-3ca1-a139-fafad584562e"]}],"mendeley":{"formattedCitation":"&lt;sup&gt;4&lt;/sup&gt;","plainTextFormattedCitation":"4","previouslyFormattedCitation":"&lt;sup&gt;4&lt;/sup&gt;"},"properties":{"noteIndex":0},"schema":"https://github.com/citation-style-language/schema/raw/master/csl-citation.json"}</w:instrText>
      </w:r>
      <w:r w:rsidR="00D369D6" w:rsidRPr="00AF636C">
        <w:rPr>
          <w:rFonts w:cstheme="minorHAnsi"/>
          <w:sz w:val="20"/>
          <w:szCs w:val="20"/>
          <w:lang w:val="en-US"/>
        </w:rPr>
        <w:fldChar w:fldCharType="separate"/>
      </w:r>
      <w:r w:rsidR="00B212C2" w:rsidRPr="00B212C2">
        <w:rPr>
          <w:rFonts w:cstheme="minorHAnsi"/>
          <w:noProof/>
          <w:sz w:val="20"/>
          <w:szCs w:val="20"/>
          <w:vertAlign w:val="superscript"/>
          <w:lang w:val="en-US"/>
        </w:rPr>
        <w:t>4</w:t>
      </w:r>
      <w:r w:rsidR="00D369D6" w:rsidRPr="00AF636C">
        <w:rPr>
          <w:rFonts w:cstheme="minorHAnsi"/>
          <w:sz w:val="20"/>
          <w:szCs w:val="20"/>
          <w:lang w:val="en-US"/>
        </w:rPr>
        <w:fldChar w:fldCharType="end"/>
      </w:r>
      <w:r w:rsidR="00D369D6" w:rsidRPr="00AF636C">
        <w:rPr>
          <w:rFonts w:cstheme="minorHAnsi"/>
          <w:sz w:val="20"/>
          <w:szCs w:val="20"/>
          <w:lang w:val="en-US"/>
        </w:rPr>
        <w:t>.</w:t>
      </w:r>
      <w:r w:rsidRPr="00AF636C">
        <w:rPr>
          <w:rFonts w:cstheme="minorHAnsi"/>
          <w:sz w:val="20"/>
          <w:szCs w:val="20"/>
          <w:lang w:val="en-US"/>
        </w:rPr>
        <w:t xml:space="preserve"> It is thought that vascular thrombosis leads to skin sloughing, blistering, is</w:t>
      </w:r>
      <w:r w:rsidR="00D1321D">
        <w:rPr>
          <w:rFonts w:cstheme="minorHAnsi"/>
          <w:sz w:val="20"/>
          <w:szCs w:val="20"/>
          <w:lang w:val="en-US"/>
        </w:rPr>
        <w:t>ch</w:t>
      </w:r>
      <w:r w:rsidRPr="00AF636C">
        <w:rPr>
          <w:rFonts w:cstheme="minorHAnsi"/>
          <w:sz w:val="20"/>
          <w:szCs w:val="20"/>
          <w:lang w:val="en-US"/>
        </w:rPr>
        <w:t xml:space="preserve">emia, and resultant necrosis, </w:t>
      </w:r>
      <w:r w:rsidR="0098740F" w:rsidRPr="00AF636C">
        <w:rPr>
          <w:rFonts w:cstheme="minorHAnsi"/>
          <w:sz w:val="20"/>
          <w:szCs w:val="20"/>
          <w:lang w:val="en-US"/>
        </w:rPr>
        <w:t>leading to the</w:t>
      </w:r>
      <w:r w:rsidRPr="00AF636C">
        <w:rPr>
          <w:rFonts w:cstheme="minorHAnsi"/>
          <w:sz w:val="20"/>
          <w:szCs w:val="20"/>
          <w:lang w:val="en-US"/>
        </w:rPr>
        <w:t xml:space="preserve"> clinical signs described</w:t>
      </w:r>
      <w:r w:rsidR="007B59A7" w:rsidRPr="00AF636C">
        <w:rPr>
          <w:rFonts w:cstheme="minorHAnsi"/>
          <w:sz w:val="20"/>
          <w:szCs w:val="20"/>
          <w:lang w:val="en-US"/>
        </w:rPr>
        <w:t xml:space="preserve"> </w:t>
      </w:r>
      <w:r w:rsidRPr="00AF636C">
        <w:rPr>
          <w:rFonts w:cstheme="minorHAnsi"/>
          <w:sz w:val="20"/>
          <w:szCs w:val="20"/>
          <w:lang w:val="en-US"/>
        </w:rPr>
        <w:fldChar w:fldCharType="begin" w:fldLock="1"/>
      </w:r>
      <w:r w:rsidR="00BB7CF4">
        <w:rPr>
          <w:rFonts w:cstheme="minorHAnsi"/>
          <w:sz w:val="20"/>
          <w:szCs w:val="20"/>
          <w:lang w:val="en-US"/>
        </w:rPr>
        <w:instrText>ADDIN CSL_CITATION {"citationItems":[{"id":"ITEM-1","itemData":{"ISSN":"0749-0712","PMID":"9884900","abstract":"Necrotizing fasciitis is a severe, fulminant infection most commonly encountered in patients with diabetes mellitus, alcohol abuse, and intravenous drug abuse. The infection can spread-unrecognized along fascial planes beneath seemingly normal skin. The relatively benign appearance of the extremity is misleading and often results in delay in diagnosis and increased morbidity or death. Immediate aggressive surgical debridement through extensile incisions in combination with antibiotic therapy is necessary for control of these limb- and life-threatening, soft-tissue infections. Gas gangrene, or clostridial myonecrosis, is encountered commonly in those extremity wounds that involve devitalized or necrotic soft tissues. Clostridial microorganisms are anaerobes that produce local and systemic toxins. Delay in treatment can lead to hemolysis, renal failure, and death. Treatment consists of immediate wound debridement, intravenous antibiotics, and hyperbaric oxygen therapy. Diabetic gangrene typically occurs in those diabetic patients with severe peripheral vascular or renal disease. The infections are usually polymicrobial. Treatment involves broad-spectrum antibiotics and multiple surgical debridements or amputation.","author":[{"dropping-particle":"","family":"Gonzalez","given":"M H","non-dropping-particle":"","parse-names":false,"suffix":""}],"container-title":"Hand clinics","id":"ITEM-1","issue":"4","issued":{"date-parts":[["1998","11"]]},"page":"635-45, ix","title":"Necrotizing fasciitis and gangrene of the upper extremity.","type":"article-journal","volume":"14"},"uris":["http://www.mendeley.com/documents/?uuid=250a6de3-b7a9-35f1-92e7-d0499938414c"]}],"mendeley":{"formattedCitation":"&lt;sup&gt;5&lt;/sup&gt;","plainTextFormattedCitation":"5","previouslyFormattedCitation":"&lt;sup&gt;5&lt;/sup&gt;"},"properties":{"noteIndex":0},"schema":"https://github.com/citation-style-language/schema/raw/master/csl-citation.json"}</w:instrText>
      </w:r>
      <w:r w:rsidRPr="00AF636C">
        <w:rPr>
          <w:rFonts w:cstheme="minorHAnsi"/>
          <w:sz w:val="20"/>
          <w:szCs w:val="20"/>
          <w:lang w:val="en-US"/>
        </w:rPr>
        <w:fldChar w:fldCharType="separate"/>
      </w:r>
      <w:r w:rsidR="00B212C2" w:rsidRPr="00B212C2">
        <w:rPr>
          <w:rFonts w:cstheme="minorHAnsi"/>
          <w:noProof/>
          <w:sz w:val="20"/>
          <w:szCs w:val="20"/>
          <w:vertAlign w:val="superscript"/>
          <w:lang w:val="en-US"/>
        </w:rPr>
        <w:t>5</w:t>
      </w:r>
      <w:r w:rsidRPr="00AF636C">
        <w:rPr>
          <w:rFonts w:cstheme="minorHAnsi"/>
          <w:sz w:val="20"/>
          <w:szCs w:val="20"/>
          <w:lang w:val="en-US"/>
        </w:rPr>
        <w:fldChar w:fldCharType="end"/>
      </w:r>
      <w:r w:rsidRPr="00AF636C">
        <w:rPr>
          <w:rFonts w:cstheme="minorHAnsi"/>
          <w:sz w:val="20"/>
          <w:szCs w:val="20"/>
          <w:lang w:val="en-US"/>
        </w:rPr>
        <w:t xml:space="preserve">. </w:t>
      </w:r>
      <w:r w:rsidR="00D369D6" w:rsidRPr="00AF636C">
        <w:rPr>
          <w:rFonts w:cstheme="minorHAnsi"/>
          <w:sz w:val="20"/>
          <w:szCs w:val="20"/>
          <w:lang w:val="en-US"/>
        </w:rPr>
        <w:t xml:space="preserve"> </w:t>
      </w:r>
    </w:p>
    <w:p w14:paraId="674E263F" w14:textId="4903A20B" w:rsidR="00D369D6" w:rsidRPr="00AF636C" w:rsidRDefault="00D369D6" w:rsidP="00220956">
      <w:pPr>
        <w:rPr>
          <w:rFonts w:cstheme="minorHAnsi"/>
          <w:sz w:val="20"/>
          <w:szCs w:val="20"/>
          <w:lang w:val="en-US"/>
        </w:rPr>
      </w:pPr>
      <w:r w:rsidRPr="00AF636C">
        <w:rPr>
          <w:rFonts w:cstheme="minorHAnsi"/>
          <w:sz w:val="20"/>
          <w:szCs w:val="20"/>
          <w:lang w:val="en-US"/>
        </w:rPr>
        <w:lastRenderedPageBreak/>
        <w:t>Laboratory markers can aid in diagnosis, sodium value</w:t>
      </w:r>
      <w:r w:rsidR="00F56AE9">
        <w:rPr>
          <w:rFonts w:cstheme="minorHAnsi"/>
          <w:sz w:val="20"/>
          <w:szCs w:val="20"/>
          <w:lang w:val="en-US"/>
        </w:rPr>
        <w:t>s</w:t>
      </w:r>
      <w:r w:rsidRPr="00AF636C">
        <w:rPr>
          <w:rFonts w:cstheme="minorHAnsi"/>
          <w:sz w:val="20"/>
          <w:szCs w:val="20"/>
          <w:lang w:val="en-US"/>
        </w:rPr>
        <w:t xml:space="preserve"> less than 135 and </w:t>
      </w:r>
      <w:r w:rsidR="0098740F" w:rsidRPr="00AF636C">
        <w:rPr>
          <w:rFonts w:cstheme="minorHAnsi"/>
          <w:sz w:val="20"/>
          <w:szCs w:val="20"/>
          <w:lang w:val="en-US"/>
        </w:rPr>
        <w:t xml:space="preserve">(WBC) </w:t>
      </w:r>
      <w:r w:rsidRPr="00AF636C">
        <w:rPr>
          <w:rFonts w:cstheme="minorHAnsi"/>
          <w:sz w:val="20"/>
          <w:szCs w:val="20"/>
          <w:lang w:val="en-US"/>
        </w:rPr>
        <w:t xml:space="preserve">greater than 15,400 are </w:t>
      </w:r>
      <w:r w:rsidR="00F56AE9">
        <w:rPr>
          <w:rFonts w:cstheme="minorHAnsi"/>
          <w:sz w:val="20"/>
          <w:szCs w:val="20"/>
          <w:lang w:val="en-US"/>
        </w:rPr>
        <w:t xml:space="preserve">the best </w:t>
      </w:r>
      <w:r w:rsidRPr="00AF636C">
        <w:rPr>
          <w:rFonts w:cstheme="minorHAnsi"/>
          <w:sz w:val="20"/>
          <w:szCs w:val="20"/>
          <w:lang w:val="en-US"/>
        </w:rPr>
        <w:t xml:space="preserve"> predictors of necrotizing soft tissue infections </w:t>
      </w:r>
      <w:r w:rsidRPr="00AF636C">
        <w:rPr>
          <w:rFonts w:cstheme="minorHAnsi"/>
          <w:sz w:val="20"/>
          <w:szCs w:val="20"/>
          <w:lang w:val="en-US"/>
        </w:rPr>
        <w:fldChar w:fldCharType="begin" w:fldLock="1"/>
      </w:r>
      <w:r w:rsidR="00BB7CF4">
        <w:rPr>
          <w:rFonts w:cstheme="minorHAnsi"/>
          <w:sz w:val="20"/>
          <w:szCs w:val="20"/>
          <w:lang w:val="en-US"/>
        </w:rPr>
        <w:instrText>ADDIN CSL_CITATION {"citationItems":[{"id":"ITEM-1","itemData":{"DOI":"10.1016/j.amjsurg.2008.07.025","ISSN":"00029610","PMID":"19095111","abstract":"BACKGROUND When clinical \"hard signs\" of necrotizing soft tissue infection (NSTI) are present, establishing the diagnosis of NSTI is not difficult. However, hard signs of NSTIs are often absent on presentation, thus potentially delaying diagnosis and surgical intervention. A prior retrospective study performed at our institution demonstrated that admission white blood cell (WBC) count &gt;15,400/microL x 10(9)/L and/or serum sodium (Na) &lt;135 mEq/L could help differentiate NSTI from non-NSTI. The purpose of this study was to prospectively determine how often \"hard signs\" of NSTI are present and to evaluate how knowledge of laboratory parameters influence our surgeons' abilities to diagnose and manage NSTI. METHODS Prospective observational data collection to determine the sensitivity of NSTI \"hard signs\" and administration of a questionnaire in which the surgeon was asked whether he believed the patient had an NSTI based on physical examination (PE) alone, and then after being informed of the Na level and WBC count. RESULTS Twenty-one patients with a mean age of 41 years had NSTI. Mean admission WBC count and Na level were 31,500/microL and 127 mEq/L, respectively. Only 9 (43%) had hard signs of NSTI. Suspicion for NSTI increased from 9 to 18 (86%) after evaluating laboratory criteria (P = .008). CONCLUSIONS Fewer than half of the patients presented with hard clinical signs of NSTI. Admission WBC count &gt;15,400/microL or serum Na &lt;135 mEq/L significantly increased suspicion for NSTI and aided early diagnosis.","author":[{"dropping-particle":"","family":"Chan","given":"Tony","non-dropping-particle":"","parse-names":false,"suffix":""},{"dropping-particle":"","family":"Yaghoubian","given":"Arezou","non-dropping-particle":"","parse-names":false,"suffix":""},{"dropping-particle":"","family":"Rosing","given":"David","non-dropping-particle":"","parse-names":false,"suffix":""},{"dropping-particle":"","family":"Kaji","given":"Amy","non-dropping-particle":"","parse-names":false,"suffix":""},{"dropping-particle":"","family":"Virgilio","given":"Christian","non-dropping-particle":"de","parse-names":false,"suffix":""}],"container-title":"The American Journal of Surgery","id":"ITEM-1","issue":"6","issued":{"date-parts":[["2008","12"]]},"page":"926-930","title":"Low sensitivity of physical examination findings in necrotizing soft tissue infection is improved with laboratory values: a prospective study","type":"article-journal","volume":"196"},"uris":["http://www.mendeley.com/documents/?uuid=7b1863a1-b004-3ca1-a139-fafad584562e"]}],"mendeley":{"formattedCitation":"&lt;sup&gt;4&lt;/sup&gt;","plainTextFormattedCitation":"4","previouslyFormattedCitation":"&lt;sup&gt;4&lt;/sup&gt;"},"properties":{"noteIndex":0},"schema":"https://github.com/citation-style-language/schema/raw/master/csl-citation.json"}</w:instrText>
      </w:r>
      <w:r w:rsidRPr="00AF636C">
        <w:rPr>
          <w:rFonts w:cstheme="minorHAnsi"/>
          <w:sz w:val="20"/>
          <w:szCs w:val="20"/>
          <w:lang w:val="en-US"/>
        </w:rPr>
        <w:fldChar w:fldCharType="separate"/>
      </w:r>
      <w:r w:rsidR="00B212C2" w:rsidRPr="00B212C2">
        <w:rPr>
          <w:rFonts w:cstheme="minorHAnsi"/>
          <w:noProof/>
          <w:sz w:val="20"/>
          <w:szCs w:val="20"/>
          <w:vertAlign w:val="superscript"/>
          <w:lang w:val="en-US"/>
        </w:rPr>
        <w:t>4</w:t>
      </w:r>
      <w:r w:rsidRPr="00AF636C">
        <w:rPr>
          <w:rFonts w:cstheme="minorHAnsi"/>
          <w:sz w:val="20"/>
          <w:szCs w:val="20"/>
          <w:lang w:val="en-US"/>
        </w:rPr>
        <w:fldChar w:fldCharType="end"/>
      </w:r>
      <w:r w:rsidRPr="00AF636C">
        <w:rPr>
          <w:rFonts w:cstheme="minorHAnsi"/>
          <w:sz w:val="20"/>
          <w:szCs w:val="20"/>
          <w:lang w:val="en-US"/>
        </w:rPr>
        <w:t xml:space="preserve">. The LRINEC scale was develop </w:t>
      </w:r>
      <w:r w:rsidR="003C6A55" w:rsidRPr="00AF636C">
        <w:rPr>
          <w:rFonts w:cstheme="minorHAnsi"/>
          <w:sz w:val="20"/>
          <w:szCs w:val="20"/>
          <w:lang w:val="en-US"/>
        </w:rPr>
        <w:t xml:space="preserve">in an attempt </w:t>
      </w:r>
      <w:r w:rsidRPr="00AF636C">
        <w:rPr>
          <w:rFonts w:cstheme="minorHAnsi"/>
          <w:sz w:val="20"/>
          <w:szCs w:val="20"/>
          <w:lang w:val="en-US"/>
        </w:rPr>
        <w:t xml:space="preserve">to help in the </w:t>
      </w:r>
      <w:r w:rsidR="00F56AE9" w:rsidRPr="00AF636C">
        <w:rPr>
          <w:rFonts w:cstheme="minorHAnsi"/>
          <w:sz w:val="20"/>
          <w:szCs w:val="20"/>
          <w:lang w:val="en-US"/>
        </w:rPr>
        <w:t>diagnosis</w:t>
      </w:r>
      <w:r w:rsidRPr="00AF636C">
        <w:rPr>
          <w:rFonts w:cstheme="minorHAnsi"/>
          <w:sz w:val="20"/>
          <w:szCs w:val="20"/>
          <w:lang w:val="en-US"/>
        </w:rPr>
        <w:t xml:space="preserve">, however, due to its low </w:t>
      </w:r>
      <w:r w:rsidR="00F56AE9" w:rsidRPr="00AF636C">
        <w:rPr>
          <w:rFonts w:cstheme="minorHAnsi"/>
          <w:sz w:val="20"/>
          <w:szCs w:val="20"/>
          <w:lang w:val="en-US"/>
        </w:rPr>
        <w:t>sensitivity</w:t>
      </w:r>
      <w:r w:rsidRPr="00AF636C">
        <w:rPr>
          <w:rFonts w:cstheme="minorHAnsi"/>
          <w:sz w:val="20"/>
          <w:szCs w:val="20"/>
          <w:lang w:val="en-US"/>
        </w:rPr>
        <w:t xml:space="preserve"> and specificity its value </w:t>
      </w:r>
      <w:r w:rsidR="00F56AE9">
        <w:rPr>
          <w:rFonts w:cstheme="minorHAnsi"/>
          <w:sz w:val="20"/>
          <w:szCs w:val="20"/>
          <w:lang w:val="en-US"/>
        </w:rPr>
        <w:t>is</w:t>
      </w:r>
      <w:r w:rsidRPr="00AF636C">
        <w:rPr>
          <w:rFonts w:cstheme="minorHAnsi"/>
          <w:sz w:val="20"/>
          <w:szCs w:val="20"/>
          <w:lang w:val="en-US"/>
        </w:rPr>
        <w:t xml:space="preserve"> often </w:t>
      </w:r>
      <w:r w:rsidR="00F56AE9" w:rsidRPr="00AF636C">
        <w:rPr>
          <w:rFonts w:cstheme="minorHAnsi"/>
          <w:sz w:val="20"/>
          <w:szCs w:val="20"/>
          <w:lang w:val="en-US"/>
        </w:rPr>
        <w:t>questioned</w:t>
      </w:r>
      <w:r w:rsidRPr="00AF636C">
        <w:rPr>
          <w:rFonts w:cstheme="minorHAnsi"/>
          <w:sz w:val="20"/>
          <w:szCs w:val="20"/>
          <w:lang w:val="en-US"/>
        </w:rPr>
        <w:t xml:space="preserve"> </w:t>
      </w:r>
      <w:r w:rsidRPr="00AF636C">
        <w:rPr>
          <w:rFonts w:cstheme="minorHAnsi"/>
          <w:sz w:val="20"/>
          <w:szCs w:val="20"/>
          <w:lang w:val="en-US"/>
        </w:rPr>
        <w:fldChar w:fldCharType="begin" w:fldLock="1"/>
      </w:r>
      <w:r w:rsidR="00D12DA2">
        <w:rPr>
          <w:rFonts w:cstheme="minorHAnsi"/>
          <w:sz w:val="20"/>
          <w:szCs w:val="20"/>
          <w:lang w:val="en-US"/>
        </w:rPr>
        <w:instrText>ADDIN CSL_CITATION {"citationItems":[{"id":"ITEM-1","itemData":{"ISSN":"0090-3493","PMID":"15241098","abstract":"OBJECTIVE Early operative debridement is a major determinant of outcome in necrotizing fasciitis. However, early recognition is difficult clinically. We aimed to develop a novel diagnostic scoring system for distinguishing necrotizing fasciitis from other soft tissue infections based on laboratory tests routinely performed for the evaluation of severe soft tissue infections: the Laboratory Risk Indicator for Necrotizing Fasciitis (LRINEC) score. DESIGN Retrospective observational study of patients divided into a developmental cohort (n = 314) and validation cohort (n = 140) SETTING Two teaching tertiary care hospitals. PATIENTS One hundred forty-five patients with necrotizing fasciitis and 309 patients with severe cellulitis or abscesses admitted to the participating hospitals. INTERVENTIONS None. MEASUREMENTS AND MAIN RESULTS The developmental cohort consisted of 89 consecutive patients admitted for necrotizing fasciitis. Control patients (n = 225) were randomly selected from patients admitted with severe cellulitis or abscesses during the same period. Hematologic and biochemical results done on admission were converted into categorical variables for analysis. Univariate and multivariate logistic regression was used to select significant predictors. Total white cell count, hemoglobin, sodium, glucose, serum creatinine, and C-reactive protein were selected. The LRINEC score was constructed by converting into integer the regression coefficients of independently predictive factors in the multiple logistic regression model for diagnosing necrotizing fasciitis. The cutoff value for the LRINEC score was 6 points with a positive predictive value of 92.0% and negative predictive value of 96.0%. Model performance was very good (Hosmer-Lemeshow statistic, p =.910); area under the receiver operating characteristic curve was 0.980 and 0.976 in the developmental and validation cohorts, respectively. CONCLUSIONS The LRINEC score is a robust score capable of detecting even clinically early cases of necrotizing fasciitis. The variables used are routinely measured to assess severe soft tissue infections. Patients with a LRINEC score of &gt; or = 6 should be carefully evaluated for the presence of necrotizing fasciitis.","author":[{"dropping-particle":"","family":"Wong","given":"Chin-Ho","non-dropping-particle":"","parse-names":false,"suffix":""},{"dropping-particle":"","family":"Khin","given":"Lay-Wai","non-dropping-particle":"","parse-names":false,"suffix":""},{"dropping-particle":"","family":"Heng","given":"Kien-Seng","non-dropping-particle":"","parse-names":false,"suffix":""},{"dropping-particle":"","family":"Tan","given":"Kok-Chai","non-dropping-particle":"","parse-names":false,"suffix":""},{"dropping-particle":"","family":"Low","given":"Cheng-Ooi","non-dropping-particle":"","parse-names":false,"suffix":""}],"container-title":"Critical care medicine","id":"ITEM-1","issue":"7","issued":{"date-parts":[["2004","7"]]},"page":"1535-41","title":"The LRINEC (Laboratory Risk Indicator for Necrotizing Fasciitis) score: a tool for distinguishing necrotizing fasciitis from other soft tissue infections.","type":"article-journal","volume":"32"},"uris":["http://www.mendeley.com/documents/?uuid=94af80f7-94d2-3b5e-92dd-5cebbfd72524"]},{"id":"ITEM-2","itemData":{"DOI":"10.1007/s11999-010-1311-y","ISSN":"0009-921X","PMID":"20232179","abstract":"BACKGROUND Vibrio necrotizing fasciitis is a rare and life-threatening soft tissue infection, with fulminant clinical courses and high mortality rates. However, the lack of specific disease characteristics and diagnostic tools during the initial examination may delay diagnosis. QUESTIONS/PURPOSES We (1) asked whether the clinical indicators could predict laboratory findings during the initial stage of Vibrio necrotizing fasciitis and (2) determined the relationships between the laboratory risk indicator for necrotizing fasciitis (LRINEC) score and the diagnosis of Vibrio infection. METHODS We retrospectively reviewed 70 patients with 71 episodes of Vibrio necrotizing fasciitis and sepsis. Of the 70 patients, 68 had a history of contact with seawater or raw seafood; 66 had underlying chronic diseases. RESULTS Eighteen patients (25.7%) died a mean 18.7 days after admission, and 52 patients survived. A systolic blood pressure of 90 mm Hg or less at the time of admission to the emergency room was associated with mortality. Patients who died had lower leukocyte counts, segmented leukocyte counts, platelet counts, and serum albumin levels compared with the patients who survived and higher counts of band forms of leukocytes. Only eight patients (11%) who survived had a LRINEC score of 6 or greater. CONCLUSIONS The LRINEC scoring system is not applicable when treating such a highly lethal disease. We propose that severe hypoalbuminemia, severe thrombocytopenia, and increased banded forms of leukocytes are laboratory risk indicators of necrotizing fasciitis that aid in pointing toward initiation of early surgery and predict a higher risk of death. LEVEL OF EVIDENCE Level III Prognostic study. See the Guidelines for Authors for complete descriptions of levels of evidence.","author":[{"dropping-particle":"","family":"Tsai","given":"Yao-Hung","non-dropping-particle":"","parse-names":false,"suffix":""},{"dropping-particle":"","family":"Hsu","given":"Robert Wen-Wei","non-dropping-particle":"","parse-names":false,"suffix":""},{"dropping-particle":"","family":"Huang","given":"Kuo-Chin","non-dropping-particle":"","parse-names":false,"suffix":""},{"dropping-particle":"","family":"Huang","given":"Tsung-Jen","non-dropping-particle":"","parse-names":false,"suffix":""}],"container-title":"Clinical Orthopaedics and Related Research®","id":"ITEM-2","issue":"8","issued":{"date-parts":[["2010","8","16"]]},"page":"2230-2237","title":"Laboratory Indicators for Early Detection and Surgical Treatment of Vibrio Necrotizing Fasciitis","type":"article-journal","volume":"468"},"uris":["http://www.mendeley.com/documents/?uuid=5ae7ceda-c352-3f0b-9797-dbf7ae87e997"]}],"mendeley":{"formattedCitation":"&lt;sup&gt;6,7&lt;/sup&gt;","plainTextFormattedCitation":"6,7","previouslyFormattedCitation":"&lt;sup&gt;6,7&lt;/sup&gt;"},"properties":{"noteIndex":0},"schema":"https://github.com/citation-style-language/schema/raw/master/csl-citation.json"}</w:instrText>
      </w:r>
      <w:r w:rsidRPr="00AF636C">
        <w:rPr>
          <w:rFonts w:cstheme="minorHAnsi"/>
          <w:sz w:val="20"/>
          <w:szCs w:val="20"/>
          <w:lang w:val="en-US"/>
        </w:rPr>
        <w:fldChar w:fldCharType="separate"/>
      </w:r>
      <w:r w:rsidR="00D12DA2" w:rsidRPr="00D12DA2">
        <w:rPr>
          <w:rFonts w:cstheme="minorHAnsi"/>
          <w:noProof/>
          <w:sz w:val="20"/>
          <w:szCs w:val="20"/>
          <w:vertAlign w:val="superscript"/>
          <w:lang w:val="en-US"/>
        </w:rPr>
        <w:t>6,7</w:t>
      </w:r>
      <w:r w:rsidRPr="00AF636C">
        <w:rPr>
          <w:rFonts w:cstheme="minorHAnsi"/>
          <w:sz w:val="20"/>
          <w:szCs w:val="20"/>
          <w:lang w:val="en-US"/>
        </w:rPr>
        <w:fldChar w:fldCharType="end"/>
      </w:r>
      <w:r w:rsidRPr="00AF636C">
        <w:rPr>
          <w:rFonts w:cstheme="minorHAnsi"/>
          <w:sz w:val="20"/>
          <w:szCs w:val="20"/>
          <w:lang w:val="en-US"/>
        </w:rPr>
        <w:t xml:space="preserve">. Whenever the doubt persists, a formal diagnosis of necrotizing fasciitis can be made on microscopic examination of biopsied fascia </w:t>
      </w:r>
      <w:r w:rsidRPr="00AF636C">
        <w:rPr>
          <w:rFonts w:cstheme="minorHAnsi"/>
          <w:sz w:val="20"/>
          <w:szCs w:val="20"/>
          <w:lang w:val="en-US"/>
        </w:rPr>
        <w:fldChar w:fldCharType="begin" w:fldLock="1"/>
      </w:r>
      <w:r w:rsidR="00D12DA2">
        <w:rPr>
          <w:rFonts w:cstheme="minorHAnsi"/>
          <w:sz w:val="20"/>
          <w:szCs w:val="20"/>
          <w:lang w:val="en-US"/>
        </w:rPr>
        <w:instrText>ADDIN CSL_CITATION {"citationItems":[{"id":"ITEM-1","itemData":{"DOI":"10.1016/j.jhsa.2014.04.010","ISSN":"03635023","PMID":"24861383","author":[{"dropping-particle":"","family":"Chauhan","given":"Aakash","non-dropping-particle":"","parse-names":false,"suffix":""},{"dropping-particle":"","family":"Wigton","given":"Michael D.","non-dropping-particle":"","parse-names":false,"suffix":""},{"dropping-particle":"","family":"Palmer","given":"Bradley A.","non-dropping-particle":"","parse-names":false,"suffix":""}],"container-title":"The Journal of Hand Surgery","id":"ITEM-1","issue":"8","issued":{"date-parts":[["2014","8"]]},"page":"1598-1601","title":"Necrotizing Fasciitis","type":"article-journal","volume":"39"},"uris":["http://www.mendeley.com/documents/?uuid=98b97295-e92d-3420-b232-6390c3671f09"]}],"mendeley":{"formattedCitation":"&lt;sup&gt;8&lt;/sup&gt;","plainTextFormattedCitation":"8","previouslyFormattedCitation":"&lt;sup&gt;8&lt;/sup&gt;"},"properties":{"noteIndex":0},"schema":"https://github.com/citation-style-language/schema/raw/master/csl-citation.json"}</w:instrText>
      </w:r>
      <w:r w:rsidRPr="00AF636C">
        <w:rPr>
          <w:rFonts w:cstheme="minorHAnsi"/>
          <w:sz w:val="20"/>
          <w:szCs w:val="20"/>
          <w:lang w:val="en-US"/>
        </w:rPr>
        <w:fldChar w:fldCharType="separate"/>
      </w:r>
      <w:r w:rsidR="00D12DA2" w:rsidRPr="00D12DA2">
        <w:rPr>
          <w:rFonts w:cstheme="minorHAnsi"/>
          <w:noProof/>
          <w:sz w:val="20"/>
          <w:szCs w:val="20"/>
          <w:vertAlign w:val="superscript"/>
          <w:lang w:val="en-US"/>
        </w:rPr>
        <w:t>8</w:t>
      </w:r>
      <w:r w:rsidRPr="00AF636C">
        <w:rPr>
          <w:rFonts w:cstheme="minorHAnsi"/>
          <w:sz w:val="20"/>
          <w:szCs w:val="20"/>
          <w:lang w:val="en-US"/>
        </w:rPr>
        <w:fldChar w:fldCharType="end"/>
      </w:r>
      <w:r w:rsidRPr="00AF636C">
        <w:rPr>
          <w:rFonts w:cstheme="minorHAnsi"/>
          <w:sz w:val="20"/>
          <w:szCs w:val="20"/>
          <w:lang w:val="en-US"/>
        </w:rPr>
        <w:t>.</w:t>
      </w:r>
    </w:p>
    <w:p w14:paraId="3C1E32A7" w14:textId="26C4D22C" w:rsidR="00D369D6" w:rsidRPr="00AF636C" w:rsidRDefault="00D369D6" w:rsidP="00220956">
      <w:pPr>
        <w:rPr>
          <w:rFonts w:cstheme="minorHAnsi"/>
          <w:sz w:val="20"/>
          <w:szCs w:val="20"/>
          <w:lang w:val="en-US"/>
        </w:rPr>
      </w:pPr>
      <w:r w:rsidRPr="00AF636C">
        <w:rPr>
          <w:rFonts w:cstheme="minorHAnsi"/>
          <w:sz w:val="20"/>
          <w:szCs w:val="20"/>
          <w:lang w:val="en-US"/>
        </w:rPr>
        <w:t>Perhaps more specific</w:t>
      </w:r>
      <w:r w:rsidR="003C6A55" w:rsidRPr="00AF636C">
        <w:rPr>
          <w:rFonts w:cstheme="minorHAnsi"/>
          <w:sz w:val="20"/>
          <w:szCs w:val="20"/>
          <w:lang w:val="en-US"/>
        </w:rPr>
        <w:t xml:space="preserve"> of this diagnosis</w:t>
      </w:r>
      <w:r w:rsidRPr="00AF636C">
        <w:rPr>
          <w:rFonts w:cstheme="minorHAnsi"/>
          <w:sz w:val="20"/>
          <w:szCs w:val="20"/>
          <w:lang w:val="en-US"/>
        </w:rPr>
        <w:t xml:space="preserve"> is during debridement the gray fat and liquified pus with “dishwater” appearance along the fascial planes, while frank pus is uncommon </w:t>
      </w:r>
      <w:r w:rsidRPr="00AF636C">
        <w:rPr>
          <w:rFonts w:cstheme="minorHAnsi"/>
          <w:sz w:val="20"/>
          <w:szCs w:val="20"/>
          <w:lang w:val="en-US"/>
        </w:rPr>
        <w:fldChar w:fldCharType="begin" w:fldLock="1"/>
      </w:r>
      <w:r w:rsidR="00BB7CF4">
        <w:rPr>
          <w:rFonts w:cstheme="minorHAnsi"/>
          <w:sz w:val="20"/>
          <w:szCs w:val="20"/>
          <w:lang w:val="en-US"/>
        </w:rPr>
        <w:instrText>ADDIN CSL_CITATION {"citationItems":[{"id":"ITEM-1","itemData":{"ISSN":"0749-0712","PMID":"9884900","abstract":"Necrotizing fasciitis is a severe, fulminant infection most commonly encountered in patients with diabetes mellitus, alcohol abuse, and intravenous drug abuse. The infection can spread-unrecognized along fascial planes beneath seemingly normal skin. The relatively benign appearance of the extremity is misleading and often results in delay in diagnosis and increased morbidity or death. Immediate aggressive surgical debridement through extensile incisions in combination with antibiotic therapy is necessary for control of these limb- and life-threatening, soft-tissue infections. Gas gangrene, or clostridial myonecrosis, is encountered commonly in those extremity wounds that involve devitalized or necrotic soft tissues. Clostridial microorganisms are anaerobes that produce local and systemic toxins. Delay in treatment can lead to hemolysis, renal failure, and death. Treatment consists of immediate wound debridement, intravenous antibiotics, and hyperbaric oxygen therapy. Diabetic gangrene typically occurs in those diabetic patients with severe peripheral vascular or renal disease. The infections are usually polymicrobial. Treatment involves broad-spectrum antibiotics and multiple surgical debridements or amputation.","author":[{"dropping-particle":"","family":"Gonzalez","given":"M H","non-dropping-particle":"","parse-names":false,"suffix":""}],"container-title":"Hand clinics","id":"ITEM-1","issue":"4","issued":{"date-parts":[["1998","11"]]},"page":"635-45, ix","title":"Necrotizing fasciitis and gangrene of the upper extremity.","type":"article-journal","volume":"14"},"uris":["http://www.mendeley.com/documents/?uuid=250a6de3-b7a9-35f1-92e7-d0499938414c"]}],"mendeley":{"formattedCitation":"&lt;sup&gt;5&lt;/sup&gt;","plainTextFormattedCitation":"5","previouslyFormattedCitation":"&lt;sup&gt;5&lt;/sup&gt;"},"properties":{"noteIndex":0},"schema":"https://github.com/citation-style-language/schema/raw/master/csl-citation.json"}</w:instrText>
      </w:r>
      <w:r w:rsidRPr="00AF636C">
        <w:rPr>
          <w:rFonts w:cstheme="minorHAnsi"/>
          <w:sz w:val="20"/>
          <w:szCs w:val="20"/>
          <w:lang w:val="en-US"/>
        </w:rPr>
        <w:fldChar w:fldCharType="separate"/>
      </w:r>
      <w:r w:rsidR="00B212C2" w:rsidRPr="00B212C2">
        <w:rPr>
          <w:rFonts w:cstheme="minorHAnsi"/>
          <w:noProof/>
          <w:sz w:val="20"/>
          <w:szCs w:val="20"/>
          <w:vertAlign w:val="superscript"/>
          <w:lang w:val="en-US"/>
        </w:rPr>
        <w:t>5</w:t>
      </w:r>
      <w:r w:rsidRPr="00AF636C">
        <w:rPr>
          <w:rFonts w:cstheme="minorHAnsi"/>
          <w:sz w:val="20"/>
          <w:szCs w:val="20"/>
          <w:lang w:val="en-US"/>
        </w:rPr>
        <w:fldChar w:fldCharType="end"/>
      </w:r>
      <w:r w:rsidRPr="00AF636C">
        <w:rPr>
          <w:rFonts w:cstheme="minorHAnsi"/>
          <w:sz w:val="20"/>
          <w:szCs w:val="20"/>
          <w:lang w:val="en-US"/>
        </w:rPr>
        <w:t>.</w:t>
      </w:r>
    </w:p>
    <w:p w14:paraId="6D89FC7E" w14:textId="5956C867" w:rsidR="00D369D6" w:rsidRPr="00AF636C" w:rsidRDefault="00D369D6" w:rsidP="00220956">
      <w:pPr>
        <w:rPr>
          <w:rFonts w:cstheme="minorHAnsi"/>
          <w:sz w:val="20"/>
          <w:szCs w:val="20"/>
          <w:lang w:val="en-US"/>
        </w:rPr>
      </w:pPr>
      <w:r w:rsidRPr="00AF636C">
        <w:rPr>
          <w:rFonts w:cstheme="minorHAnsi"/>
          <w:sz w:val="20"/>
          <w:szCs w:val="20"/>
          <w:lang w:val="en-US"/>
        </w:rPr>
        <w:t>A</w:t>
      </w:r>
      <w:r w:rsidR="00FD73FF">
        <w:rPr>
          <w:rFonts w:cstheme="minorHAnsi"/>
          <w:sz w:val="20"/>
          <w:szCs w:val="20"/>
          <w:lang w:val="en-US"/>
        </w:rPr>
        <w:t>n</w:t>
      </w:r>
      <w:r w:rsidRPr="00AF636C">
        <w:rPr>
          <w:rFonts w:cstheme="minorHAnsi"/>
          <w:sz w:val="20"/>
          <w:szCs w:val="20"/>
          <w:lang w:val="en-US"/>
        </w:rPr>
        <w:t xml:space="preserve"> </w:t>
      </w:r>
      <w:r w:rsidR="00F56AE9">
        <w:rPr>
          <w:rFonts w:cstheme="minorHAnsi"/>
          <w:sz w:val="20"/>
          <w:szCs w:val="20"/>
          <w:lang w:val="en-US"/>
        </w:rPr>
        <w:t>intensive</w:t>
      </w:r>
      <w:r w:rsidRPr="00AF636C">
        <w:rPr>
          <w:rFonts w:cstheme="minorHAnsi"/>
          <w:sz w:val="20"/>
          <w:szCs w:val="20"/>
          <w:lang w:val="en-US"/>
        </w:rPr>
        <w:t xml:space="preserve"> care unit is recommended to monitor vital signs and administer antibiotics and vasopressors as necessary. Planned, staged </w:t>
      </w:r>
      <w:proofErr w:type="spellStart"/>
      <w:r w:rsidR="00FD73FF" w:rsidRPr="00AF636C">
        <w:rPr>
          <w:rFonts w:cstheme="minorHAnsi"/>
          <w:sz w:val="20"/>
          <w:szCs w:val="20"/>
          <w:lang w:val="en-US"/>
        </w:rPr>
        <w:t>debridement</w:t>
      </w:r>
      <w:r w:rsidR="00FD73FF">
        <w:rPr>
          <w:rFonts w:cstheme="minorHAnsi"/>
          <w:sz w:val="20"/>
          <w:szCs w:val="20"/>
          <w:lang w:val="en-US"/>
        </w:rPr>
        <w:t>s</w:t>
      </w:r>
      <w:proofErr w:type="spellEnd"/>
      <w:r w:rsidRPr="00AF636C">
        <w:rPr>
          <w:rFonts w:cstheme="minorHAnsi"/>
          <w:sz w:val="20"/>
          <w:szCs w:val="20"/>
          <w:lang w:val="en-US"/>
        </w:rPr>
        <w:t xml:space="preserve"> every 24 to 48 hours of affected limbs are expected, with an average of 3–4 </w:t>
      </w:r>
      <w:proofErr w:type="spellStart"/>
      <w:r w:rsidRPr="00AF636C">
        <w:rPr>
          <w:rFonts w:cstheme="minorHAnsi"/>
          <w:sz w:val="20"/>
          <w:szCs w:val="20"/>
          <w:lang w:val="en-US"/>
        </w:rPr>
        <w:t>debridements</w:t>
      </w:r>
      <w:proofErr w:type="spellEnd"/>
      <w:r w:rsidRPr="00AF636C">
        <w:rPr>
          <w:rFonts w:cstheme="minorHAnsi"/>
          <w:sz w:val="20"/>
          <w:szCs w:val="20"/>
          <w:lang w:val="en-US"/>
        </w:rPr>
        <w:t xml:space="preserve"> per patient</w:t>
      </w:r>
      <w:r w:rsidR="0098740F" w:rsidRPr="00AF636C">
        <w:rPr>
          <w:rFonts w:cstheme="minorHAnsi"/>
          <w:sz w:val="20"/>
          <w:szCs w:val="20"/>
          <w:lang w:val="en-US"/>
        </w:rPr>
        <w:t xml:space="preserve"> </w:t>
      </w:r>
      <w:r w:rsidRPr="00AF636C">
        <w:rPr>
          <w:rFonts w:cstheme="minorHAnsi"/>
          <w:sz w:val="20"/>
          <w:szCs w:val="20"/>
          <w:lang w:val="en-US"/>
        </w:rPr>
        <w:fldChar w:fldCharType="begin" w:fldLock="1"/>
      </w:r>
      <w:r w:rsidR="00BB7CF4">
        <w:rPr>
          <w:rFonts w:cstheme="minorHAnsi"/>
          <w:sz w:val="20"/>
          <w:szCs w:val="20"/>
          <w:lang w:val="en-US"/>
        </w:rPr>
        <w:instrText>ADDIN CSL_CITATION {"citationItems":[{"id":"ITEM-1","itemData":{"DOI":"10.1016/j.injury.2007.10.030","ISSN":"00201383","PMID":"18048033","abstract":"Necrotising fasciitis is a rapidly progressive, life threatening soft tissue infection. In a significant proportion of patients, the extremities are involved as a result of trauma, needle puncture or extravasation of drugs, often leading to limb loss and devastating disability. In this systematic review of necrotising fasciitis of the upper and lower extremities, we report on the clinical characteristics, the predisposing factors, the associated diseases, the pathogenic bacteria, the surgical treatment and the final outcome in terms of limb loss and mortality. Data for a total of 451 patients were analysed for each parameter of interest. A percentage of 22.3% of the reviewed patients underwent amputation or disarticulation of a limb following failure of multiple debridements to control infection and the mortality rate was estimated as high as 21.9%.","author":[{"dropping-particle":"","family":"Angoules","given":"A.G.","non-dropping-particle":"","parse-names":false,"suffix":""},{"dropping-particle":"","family":"Kontakis","given":"G.","non-dropping-particle":"","parse-names":false,"suffix":""},{"dropping-particle":"","family":"Drakoulakis","given":"E.","non-dropping-particle":"","parse-names":false,"suffix":""},{"dropping-particle":"","family":"Vrentzos","given":"G.","non-dropping-particle":"","parse-names":false,"suffix":""},{"dropping-particle":"","family":"Granick","given":"M.S.","non-dropping-particle":"","parse-names":false,"suffix":""},{"dropping-particle":"","family":"Giannoudis","given":"P.V.","non-dropping-particle":"","parse-names":false,"suffix":""}],"container-title":"Injury","id":"ITEM-1","issue":"5","issued":{"date-parts":[["2007","12"]]},"page":"S18-S25","title":"Necrotising fasciitis of upper and lower limb: A systematic review","type":"article-journal","volume":"38"},"uris":["http://www.mendeley.com/documents/?uuid=38990be8-7530-3611-9f7d-58498b1eb086"]},{"id":"ITEM-2","itemData":{"ISSN":"0021-9355","PMID":"12925624","abstract":"BACKGROUND Necrotizing fasciitis is a life-threatening soft-tissue infection primarily involving the superficial fascia. The present report describes the clinical presentation and microbiological characteristics of this condition as well as the determinants of mortality associated with this uncommon surgical emergency. METHODS The medical records of eighty-nine consecutive patients who had been admitted to our institution for necrotizing fasciitis from January 1997 to August 2002 were reviewed retrospectively. RESULTS The paucity of cutaneous findings early in the course of the disease makes the diagnosis difficult, and only thirteen of the eighty-nine patients had a diagnosis of necrotizing fasciitis at the time of admission. Preadmission treatment with antibiotics modified the initial clinical picture and often masked the severity of the underlying infection. Polymicrobial synergistic infection was the most common cause (forty-eight patients; 53.9%), with streptococci and enterobacteriaceae being the most common isolates. Group-A streptococcus was the most common cause of monomicrobial necrotizing fasciitis. The most common associated comorbidity was diabetes mellitus (sixty-three patients; 70.8%). Advanced age, two or more associated comorbidities, and a delay in surgery of more than twenty-four hours adversely affected the outcome. Multivariate analysis showed that only a delay in surgery of more than twenty-four hours was correlated with increased mortality (p &lt; 0.05; relative risk = 9.4). CONCLUSIONS Early operative débridement was demonstrated to reduce mortality among patients with this condition. A high index of suspicion is important in view of the paucity of specific cutaneous findings early in the course of the disease.","author":[{"dropping-particle":"","family":"Wong","given":"Chin-Ho","non-dropping-particle":"","parse-names":false,"suffix":""},{"dropping-particle":"","family":"Chang","given":"Haw-Chong","non-dropping-particle":"","parse-names":false,"suffix":""},{"dropping-particle":"","family":"Pasupathy","given":"Shanker","non-dropping-particle":"","parse-names":false,"suffix":""},{"dropping-particle":"","family":"Khin","given":"Lay-Wai","non-dropping-particle":"","parse-names":false,"suffix":""},{"dropping-particle":"","family":"Tan","given":"Jee-Lim","non-dropping-particle":"","parse-names":false,"suffix":""},{"dropping-particle":"","family":"Low","given":"Cheng-Ooi","non-dropping-particle":"","parse-names":false,"suffix":""}],"container-title":"The Journal of bone and joint surgery. American volume","id":"ITEM-2","issue":"8","issued":{"date-parts":[["2003","8"]]},"page":"1454-60","title":"Necrotizing fasciitis: clinical presentation, microbiology, and determinants of mortality.","type":"article-journal","volume":"85"},"uris":["http://www.mendeley.com/documents/?uuid=14e715f5-bdb7-3ecb-b26a-8e2b8f0859f8"]},{"id":"ITEM-3","itemData":{"DOI":"10.1097/00000658-199611000-00011","ISSN":"0003-4932","PMID":"8916882","abstract":"OBJECTIVE The authors evaluate in a retrospective fashion the factors influencing outcome in a large group of patients presenting with necrotizing soft tissue infections, and, based on this analysis, propose a plan for optimal care of such patients. SUMMARY BACKGROUND DATA In many smaller series of patients with necrotizing soft tissue infections, similar analyses of risk factors for mortality have been performed, producing conflicting conclusions regarding optimal care. In particular, debate exists regarding the impact of concurrent physiologic derangements, type and extent of infection, and the role of hyperbaric oxygen in treatment. METHODS A retrospective chart review of 198 consecutive patients with documented necrotizing soft tissue infections, treated at a single institution during an 8-year period, was conducted. Using a model for logistic regression analysis, characteristics of each patient and his/her clinical course were tested for impact on outcome. RESULTS The mortality rate among the 198 patients was 25.3%. The most common sites of origin of infection were the perineum (Fournier's disease; 36% of cases) and the foot (in diabetics; 15.2%). By logistic regression analysis, risk factors for death included age, female gender, extent of infection, delay in first debridement, elevated serum creatinine level, elevated blood lactate level, and degree of organ system dysfunction at admission. Diabetes mellitus did not predispose patients to death, except in conjunction with renal dysfunction or peripheral vascular disease. Myonecrosis, noted in 41.4% of the patients who underwent surgery, did not influence mortality. CONCLUSIONS Necrotizing soft tissue infections represent a group of highly lethal infections best treated by early and repeated extensive debridement and broad-spectrum antibiotics. Hyperbaric oxygen appears to offer the advantage of early wound closure. Certain markers predict those individuals at increased risk for multiple-organ failure and death and therefore assist in deciding allocation of intensive care resources.","author":[{"dropping-particle":"","family":"Elliott","given":"D C","non-dropping-particle":"","parse-names":false,"suffix":""},{"dropping-particle":"","family":"Kufera","given":"J A","non-dropping-particle":"","parse-names":false,"suffix":""},{"dropping-particle":"","family":"Myers","given":"R A","non-dropping-particle":"","parse-names":false,"suffix":""}],"container-title":"Annals of surgery","id":"ITEM-3","issue":"5","issued":{"date-parts":[["1996","11"]]},"page":"672-83","publisher":"Lippincott, Williams, and Wilkins","title":"Necrotizing soft tissue infections. Risk factors for mortality and strategies for management.","type":"article-journal","volume":"224"},"uris":["http://www.mendeley.com/documents/?uuid=5be7cef5-c4fe-334a-b33f-5303e0a82f38"]}],"mendeley":{"formattedCitation":"&lt;sup&gt;1,9,10&lt;/sup&gt;","plainTextFormattedCitation":"1,9,10","previouslyFormattedCitation":"&lt;sup&gt;1,9,10&lt;/sup&gt;"},"properties":{"noteIndex":0},"schema":"https://github.com/citation-style-language/schema/raw/master/csl-citation.json"}</w:instrText>
      </w:r>
      <w:r w:rsidRPr="00AF636C">
        <w:rPr>
          <w:rFonts w:cstheme="minorHAnsi"/>
          <w:sz w:val="20"/>
          <w:szCs w:val="20"/>
          <w:lang w:val="en-US"/>
        </w:rPr>
        <w:fldChar w:fldCharType="separate"/>
      </w:r>
      <w:r w:rsidR="00B212C2" w:rsidRPr="00B212C2">
        <w:rPr>
          <w:rFonts w:cstheme="minorHAnsi"/>
          <w:noProof/>
          <w:sz w:val="20"/>
          <w:szCs w:val="20"/>
          <w:vertAlign w:val="superscript"/>
          <w:lang w:val="en-US"/>
        </w:rPr>
        <w:t>1,9,10</w:t>
      </w:r>
      <w:r w:rsidRPr="00AF636C">
        <w:rPr>
          <w:rFonts w:cstheme="minorHAnsi"/>
          <w:sz w:val="20"/>
          <w:szCs w:val="20"/>
          <w:lang w:val="en-US"/>
        </w:rPr>
        <w:fldChar w:fldCharType="end"/>
      </w:r>
      <w:r w:rsidRPr="00AF636C">
        <w:rPr>
          <w:rFonts w:cstheme="minorHAnsi"/>
          <w:sz w:val="20"/>
          <w:szCs w:val="20"/>
          <w:lang w:val="en-US"/>
        </w:rPr>
        <w:t xml:space="preserve">. </w:t>
      </w:r>
      <w:proofErr w:type="spellStart"/>
      <w:r w:rsidRPr="00AF636C">
        <w:rPr>
          <w:rFonts w:cstheme="minorHAnsi"/>
          <w:sz w:val="20"/>
          <w:szCs w:val="20"/>
          <w:lang w:val="en-US"/>
        </w:rPr>
        <w:t>Antibiotherapy</w:t>
      </w:r>
      <w:proofErr w:type="spellEnd"/>
      <w:r w:rsidRPr="00AF636C">
        <w:rPr>
          <w:rFonts w:cstheme="minorHAnsi"/>
          <w:sz w:val="20"/>
          <w:szCs w:val="20"/>
          <w:lang w:val="en-US"/>
        </w:rPr>
        <w:t xml:space="preserve"> should be initiated empirically until retrieve of cultural results. As described in a recent update</w:t>
      </w:r>
      <w:r w:rsidR="00E345A8">
        <w:rPr>
          <w:rFonts w:cstheme="minorHAnsi"/>
          <w:sz w:val="20"/>
          <w:szCs w:val="20"/>
          <w:lang w:val="en-US"/>
        </w:rPr>
        <w:fldChar w:fldCharType="begin" w:fldLock="1"/>
      </w:r>
      <w:r w:rsidR="00E023A1">
        <w:rPr>
          <w:rFonts w:cstheme="minorHAnsi"/>
          <w:sz w:val="20"/>
          <w:szCs w:val="20"/>
          <w:lang w:val="en-US"/>
        </w:rPr>
        <w:instrText>ADDIN CSL_CITATION {"citationItems":[{"id":"ITEM-1","itemData":{"DOI":"10.1093/cid/ciu444","ISSN":"1537-6591","PMID":"24973422","abstract":"A panel of national experts was convened by the Infectious Diseases Society of America (IDSA) to update the 2005 guidelines for the treatment of skin and soft tissue infections (SSTIs). The panel's recommendations were developed to be concordant with the recently published IDSA guidelines for the treatment of methicillin-resistant Staphylococcus aureus infections. The focus of this guideline is the diagnosis and appropriate treatment of diverse SSTIs ranging from minor superficial infections to life-threatening infections such as necrotizing fasciitis. In addition, because of an increasing number of immunocompromised hosts worldwide, the guideline addresses the wide array of SSTIs that occur in this population. These guidelines emphasize the importance of clinical skills in promptly diagnosing SSTIs, identifying the pathogen, and administering effective treatments in a timely fashion.","author":[{"dropping-particle":"","family":"Stevens","given":"Dennis L.","non-dropping-particle":"","parse-names":false,"suffix":""},{"dropping-particle":"","family":"Bisno","given":"Alan L.","non-dropping-particle":"","parse-names":false,"suffix":""},{"dropping-particle":"","family":"Chambers","given":"Henry F.","non-dropping-particle":"","parse-names":false,"suffix":""},{"dropping-particle":"","family":"Dellinger","given":"E. Patchen","non-dropping-particle":"","parse-names":false,"suffix":""},{"dropping-particle":"","family":"Goldstein","given":"Ellie J. C.","non-dropping-particle":"","parse-names":false,"suffix":""},{"dropping-particle":"","family":"Gorbach","given":"Sherwood L.","non-dropping-particle":"","parse-names":false,"suffix":""},{"dropping-particle":"V.","family":"Hirschmann","given":"Jan","non-dropping-particle":"","parse-names":false,"suffix":""},{"dropping-particle":"","family":"Kaplan","given":"Sheldon L.","non-dropping-particle":"","parse-names":false,"suffix":""},{"dropping-particle":"","family":"Montoya","given":"Jose G.","non-dropping-particle":"","parse-names":false,"suffix":""},{"dropping-particle":"","family":"Wade","given":"James C.","non-dropping-particle":"","parse-names":false,"suffix":""},{"dropping-particle":"","family":"Infectious Diseases Society of America","given":"","non-dropping-particle":"","parse-names":false,"suffix":""}],"container-title":"Clinical Infectious Diseases","id":"ITEM-1","issue":"2","issued":{"date-parts":[["2014","7","15"]]},"page":"147-159","title":"Executive Summary: Practice Guidelines for the Diagnosis and Management of Skin and Soft Tissue Infections: 2014 Update by the Infectious Diseases Society of America","type":"article-journal","volume":"59"},"uris":["http://www.mendeley.com/documents/?uuid=f49191ee-3bbb-38c0-a04b-920de3208551"]}],"mendeley":{"formattedCitation":"&lt;sup&gt;11&lt;/sup&gt;","plainTextFormattedCitation":"11","previouslyFormattedCitation":"&lt;sup&gt;11&lt;/sup&gt;"},"properties":{"noteIndex":0},"schema":"https://github.com/citation-style-language/schema/raw/master/csl-citation.json"}</w:instrText>
      </w:r>
      <w:r w:rsidR="00E345A8">
        <w:rPr>
          <w:rFonts w:cstheme="minorHAnsi"/>
          <w:sz w:val="20"/>
          <w:szCs w:val="20"/>
          <w:lang w:val="en-US"/>
        </w:rPr>
        <w:fldChar w:fldCharType="separate"/>
      </w:r>
      <w:r w:rsidR="00E345A8" w:rsidRPr="00E345A8">
        <w:rPr>
          <w:rFonts w:cstheme="minorHAnsi"/>
          <w:noProof/>
          <w:sz w:val="20"/>
          <w:szCs w:val="20"/>
          <w:vertAlign w:val="superscript"/>
          <w:lang w:val="en-US"/>
        </w:rPr>
        <w:t>11</w:t>
      </w:r>
      <w:r w:rsidR="00E345A8">
        <w:rPr>
          <w:rFonts w:cstheme="minorHAnsi"/>
          <w:sz w:val="20"/>
          <w:szCs w:val="20"/>
          <w:lang w:val="en-US"/>
        </w:rPr>
        <w:fldChar w:fldCharType="end"/>
      </w:r>
      <w:r w:rsidRPr="00AF636C">
        <w:rPr>
          <w:rFonts w:cstheme="minorHAnsi"/>
          <w:sz w:val="20"/>
          <w:szCs w:val="20"/>
          <w:lang w:val="en-US"/>
        </w:rPr>
        <w:t xml:space="preserve"> the Empiric antibiotic treatment should be broad (</w:t>
      </w:r>
      <w:proofErr w:type="spellStart"/>
      <w:r w:rsidRPr="00AF636C">
        <w:rPr>
          <w:rFonts w:cstheme="minorHAnsi"/>
          <w:sz w:val="20"/>
          <w:szCs w:val="20"/>
          <w:lang w:val="en-US"/>
        </w:rPr>
        <w:t>eg</w:t>
      </w:r>
      <w:proofErr w:type="spellEnd"/>
      <w:r w:rsidRPr="00AF636C">
        <w:rPr>
          <w:rFonts w:cstheme="minorHAnsi"/>
          <w:sz w:val="20"/>
          <w:szCs w:val="20"/>
          <w:lang w:val="en-US"/>
        </w:rPr>
        <w:t>, vancomycin or linezolid plus piperacillin-tazobactam or a carbapenem; or plus ceftriaxone and metronidazole), as the etiology can be polymicrobial (mixed aerobic–anaerobic microbes) or monomicrobial (group A streptococci, community-acquired MRSA)</w:t>
      </w:r>
      <w:r w:rsidRPr="00AF636C">
        <w:rPr>
          <w:rFonts w:cstheme="minorHAnsi"/>
          <w:sz w:val="20"/>
          <w:szCs w:val="20"/>
          <w:lang w:val="en-US"/>
        </w:rPr>
        <w:fldChar w:fldCharType="begin" w:fldLock="1"/>
      </w:r>
      <w:r w:rsidR="00D12DA2">
        <w:rPr>
          <w:rFonts w:cstheme="minorHAnsi"/>
          <w:sz w:val="20"/>
          <w:szCs w:val="20"/>
          <w:lang w:val="en-US"/>
        </w:rPr>
        <w:instrText>ADDIN CSL_CITATION {"citationItems":[{"id":"ITEM-1","itemData":{"DOI":"10.1093/cid/ciu444","ISSN":"1537-6591","PMID":"24973422","abstract":"A panel of national experts was convened by the Infectious Diseases Society of America (IDSA) to update the 2005 guidelines for the treatment of skin and soft tissue infections (SSTIs). The panel's recommendations were developed to be concordant with the recently published IDSA guidelines for the treatment of methicillin-resistant Staphylococcus aureus infections. The focus of this guideline is the diagnosis and appropriate treatment of diverse SSTIs ranging from minor superficial infections to life-threatening infections such as necrotizing fasciitis. In addition, because of an increasing number of immunocompromised hosts worldwide, the guideline addresses the wide array of SSTIs that occur in this population. These guidelines emphasize the importance of clinical skills in promptly diagnosing SSTIs, identifying the pathogen, and administering effective treatments in a timely fashion.","author":[{"dropping-particle":"","family":"Stevens","given":"Dennis L.","non-dropping-particle":"","parse-names":false,"suffix":""},{"dropping-particle":"","family":"Bisno","given":"Alan L.","non-dropping-particle":"","parse-names":false,"suffix":""},{"dropping-particle":"","family":"Chambers","given":"Henry F.","non-dropping-particle":"","parse-names":false,"suffix":""},{"dropping-particle":"","family":"Dellinger","given":"E. Patchen","non-dropping-particle":"","parse-names":false,"suffix":""},{"dropping-particle":"","family":"Goldstein","given":"Ellie J. C.","non-dropping-particle":"","parse-names":false,"suffix":""},{"dropping-particle":"","family":"Gorbach","given":"Sherwood L.","non-dropping-particle":"","parse-names":false,"suffix":""},{"dropping-particle":"V.","family":"Hirschmann","given":"Jan","non-dropping-particle":"","parse-names":false,"suffix":""},{"dropping-particle":"","family":"Kaplan","given":"Sheldon L.","non-dropping-particle":"","parse-names":false,"suffix":""},{"dropping-particle":"","family":"Montoya","given":"Jose G.","non-dropping-particle":"","parse-names":false,"suffix":""},{"dropping-particle":"","family":"Wade","given":"James C.","non-dropping-particle":"","parse-names":false,"suffix":""},{"dropping-particle":"","family":"Infectious Diseases Society of America","given":"","non-dropping-particle":"","parse-names":false,"suffix":""}],"container-title":"Clinical Infectious Diseases","id":"ITEM-1","issue":"2","issued":{"date-parts":[["2014","7","15"]]},"page":"147-159","title":"Executive Summary: Practice Guidelines for the Diagnosis and Management of Skin and Soft Tissue Infections: 2014 Update by the Infectious Diseases Society of America","type":"article-journal","volume":"59"},"uris":["http://www.mendeley.com/documents/?uuid=f49191ee-3bbb-38c0-a04b-920de3208551"]}],"mendeley":{"formattedCitation":"&lt;sup&gt;11&lt;/sup&gt;","plainTextFormattedCitation":"11","previouslyFormattedCitation":"&lt;sup&gt;11&lt;/sup&gt;"},"properties":{"noteIndex":0},"schema":"https://github.com/citation-style-language/schema/raw/master/csl-citation.json"}</w:instrText>
      </w:r>
      <w:r w:rsidRPr="00AF636C">
        <w:rPr>
          <w:rFonts w:cstheme="minorHAnsi"/>
          <w:sz w:val="20"/>
          <w:szCs w:val="20"/>
          <w:lang w:val="en-US"/>
        </w:rPr>
        <w:fldChar w:fldCharType="separate"/>
      </w:r>
      <w:r w:rsidR="00D12DA2" w:rsidRPr="00D12DA2">
        <w:rPr>
          <w:rFonts w:cstheme="minorHAnsi"/>
          <w:noProof/>
          <w:sz w:val="20"/>
          <w:szCs w:val="20"/>
          <w:vertAlign w:val="superscript"/>
          <w:lang w:val="en-US"/>
        </w:rPr>
        <w:t>11</w:t>
      </w:r>
      <w:r w:rsidRPr="00AF636C">
        <w:rPr>
          <w:rFonts w:cstheme="minorHAnsi"/>
          <w:sz w:val="20"/>
          <w:szCs w:val="20"/>
          <w:lang w:val="en-US"/>
        </w:rPr>
        <w:fldChar w:fldCharType="end"/>
      </w:r>
      <w:r w:rsidRPr="00AF636C">
        <w:rPr>
          <w:rFonts w:cstheme="minorHAnsi"/>
          <w:sz w:val="20"/>
          <w:szCs w:val="20"/>
          <w:lang w:val="en-US"/>
        </w:rPr>
        <w:t>. Mortality from necrotizing fasciitis usually range</w:t>
      </w:r>
      <w:r w:rsidR="00F56AE9">
        <w:rPr>
          <w:rFonts w:cstheme="minorHAnsi"/>
          <w:sz w:val="20"/>
          <w:szCs w:val="20"/>
          <w:lang w:val="en-US"/>
        </w:rPr>
        <w:t>s</w:t>
      </w:r>
      <w:r w:rsidRPr="00AF636C">
        <w:rPr>
          <w:rFonts w:cstheme="minorHAnsi"/>
          <w:sz w:val="20"/>
          <w:szCs w:val="20"/>
          <w:lang w:val="en-US"/>
        </w:rPr>
        <w:t xml:space="preserve"> from 23 to 76%, with organ failure and sepsis consisting in the major causes of death </w:t>
      </w:r>
      <w:r w:rsidRPr="00AF636C">
        <w:rPr>
          <w:rFonts w:cstheme="minorHAnsi"/>
          <w:sz w:val="20"/>
          <w:szCs w:val="20"/>
          <w:lang w:val="en-US"/>
        </w:rPr>
        <w:fldChar w:fldCharType="begin" w:fldLock="1"/>
      </w:r>
      <w:r w:rsidR="00D12DA2">
        <w:rPr>
          <w:rFonts w:cstheme="minorHAnsi"/>
          <w:sz w:val="20"/>
          <w:szCs w:val="20"/>
          <w:lang w:val="en-US"/>
        </w:rPr>
        <w:instrText>ADDIN CSL_CITATION {"citationItems":[{"id":"ITEM-1","itemData":{"ISSN":"1067-151X","PMID":"10874222","abstract":"Necrotizing fasciitis is a rare and often fatal soft-tissue infection involving the superficial fascial layers of the extremities, abdomen, or perineum. Necrotizing fasciitis typically begins with trauma; however, the inciting event may be as seemingly innocuous as a simple contusion, minor burn, or insect bite. Differentiating necrotizing infections from common soft-tissue infections, such as cellulitis and impetigo, is both challenging and critically important. A high degree of suspicion may be the most important aid in early diagnosis. Prompt diagnosis is imperative because necrotizing infections typically spread rapidly and can result in multiple-organ failure, adult respiratory distress syndrome, and death. Although group A Streptococcus is the most common bacterial isolate, a polymicrobial infection with a variety of Gram-positive, Gram-negative, aerobic, and anaerobic bacteria is more common. Orthopaedic surgeons are often the first physicians to evaluate patients with such infections and therefore need to be familiar with this potentially devastating disease and its management. Prompt diagnosis, immediate administration of broad-spectrum antibiotic coverage, and emergent aggressive surgical debridement of all compromised tissues are critical to reduce the morbidity and mortality of these rapidly progressing infections.","author":[{"dropping-particle":"","family":"Fontes","given":"R A","non-dropping-particle":"","parse-names":false,"suffix":""},{"dropping-particle":"","family":"Ogilvie","given":"C M","non-dropping-particle":"","parse-names":false,"suffix":""},{"dropping-particle":"","family":"Miclau","given":"T","non-dropping-particle":"","parse-names":false,"suffix":""}],"container-title":"The Journal of the American Academy of Orthopaedic Surgeons","id":"ITEM-1","issue":"3","issued":{"date-parts":[["2000"]]},"page":"151-8","title":"Necrotizing soft-tissue infections.","type":"article-journal","volume":"8"},"uris":["http://www.mendeley.com/documents/?uuid=ab2d3633-fe41-3953-b834-79e14882f3e3"]}],"mendeley":{"formattedCitation":"&lt;sup&gt;12&lt;/sup&gt;","plainTextFormattedCitation":"12","previouslyFormattedCitation":"&lt;sup&gt;12&lt;/sup&gt;"},"properties":{"noteIndex":0},"schema":"https://github.com/citation-style-language/schema/raw/master/csl-citation.json"}</w:instrText>
      </w:r>
      <w:r w:rsidRPr="00AF636C">
        <w:rPr>
          <w:rFonts w:cstheme="minorHAnsi"/>
          <w:sz w:val="20"/>
          <w:szCs w:val="20"/>
          <w:lang w:val="en-US"/>
        </w:rPr>
        <w:fldChar w:fldCharType="separate"/>
      </w:r>
      <w:r w:rsidR="00D12DA2" w:rsidRPr="00D12DA2">
        <w:rPr>
          <w:rFonts w:cstheme="minorHAnsi"/>
          <w:noProof/>
          <w:sz w:val="20"/>
          <w:szCs w:val="20"/>
          <w:vertAlign w:val="superscript"/>
          <w:lang w:val="en-US"/>
        </w:rPr>
        <w:t>12</w:t>
      </w:r>
      <w:r w:rsidRPr="00AF636C">
        <w:rPr>
          <w:rFonts w:cstheme="minorHAnsi"/>
          <w:sz w:val="20"/>
          <w:szCs w:val="20"/>
          <w:lang w:val="en-US"/>
        </w:rPr>
        <w:fldChar w:fldCharType="end"/>
      </w:r>
      <w:r w:rsidRPr="00AF636C">
        <w:rPr>
          <w:rFonts w:cstheme="minorHAnsi"/>
          <w:sz w:val="20"/>
          <w:szCs w:val="20"/>
          <w:lang w:val="en-US"/>
        </w:rPr>
        <w:t>. The factors mostly associated with increased mortality are delay in diagnosis, delay in surgical debridement</w:t>
      </w:r>
      <w:r w:rsidR="00F56AE9">
        <w:rPr>
          <w:rFonts w:cstheme="minorHAnsi"/>
          <w:sz w:val="20"/>
          <w:szCs w:val="20"/>
          <w:lang w:val="en-US"/>
        </w:rPr>
        <w:t>,</w:t>
      </w:r>
      <w:r w:rsidRPr="00AF636C">
        <w:rPr>
          <w:rFonts w:cstheme="minorHAnsi"/>
          <w:sz w:val="20"/>
          <w:szCs w:val="20"/>
          <w:lang w:val="en-US"/>
        </w:rPr>
        <w:t xml:space="preserve"> </w:t>
      </w:r>
      <w:r w:rsidR="00F56AE9">
        <w:rPr>
          <w:rFonts w:cstheme="minorHAnsi"/>
          <w:sz w:val="20"/>
          <w:szCs w:val="20"/>
          <w:lang w:val="en-US"/>
        </w:rPr>
        <w:t>a</w:t>
      </w:r>
      <w:r w:rsidRPr="00AF636C">
        <w:rPr>
          <w:rFonts w:cstheme="minorHAnsi"/>
          <w:sz w:val="20"/>
          <w:szCs w:val="20"/>
          <w:lang w:val="en-US"/>
        </w:rPr>
        <w:t>dvanced age and 2 or more comorbilities</w:t>
      </w:r>
      <w:r w:rsidRPr="00AF636C">
        <w:rPr>
          <w:rFonts w:cstheme="minorHAnsi"/>
          <w:sz w:val="20"/>
          <w:szCs w:val="20"/>
          <w:lang w:val="en-US"/>
        </w:rPr>
        <w:fldChar w:fldCharType="begin" w:fldLock="1"/>
      </w:r>
      <w:r w:rsidR="00BB7CF4">
        <w:rPr>
          <w:rFonts w:cstheme="minorHAnsi"/>
          <w:sz w:val="20"/>
          <w:szCs w:val="20"/>
          <w:lang w:val="en-US"/>
        </w:rPr>
        <w:instrText>ADDIN CSL_CITATION {"citationItems":[{"id":"ITEM-1","itemData":{"ISSN":"0021-9355","PMID":"12925624","abstract":"BACKGROUND Necrotizing fasciitis is a life-threatening soft-tissue infection primarily involving the superficial fascia. The present report describes the clinical presentation and microbiological characteristics of this condition as well as the determinants of mortality associated with this uncommon surgical emergency. METHODS The medical records of eighty-nine consecutive patients who had been admitted to our institution for necrotizing fasciitis from January 1997 to August 2002 were reviewed retrospectively. RESULTS The paucity of cutaneous findings early in the course of the disease makes the diagnosis difficult, and only thirteen of the eighty-nine patients had a diagnosis of necrotizing fasciitis at the time of admission. Preadmission treatment with antibiotics modified the initial clinical picture and often masked the severity of the underlying infection. Polymicrobial synergistic infection was the most common cause (forty-eight patients; 53.9%), with streptococci and enterobacteriaceae being the most common isolates. Group-A streptococcus was the most common cause of monomicrobial necrotizing fasciitis. The most common associated comorbidity was diabetes mellitus (sixty-three patients; 70.8%). Advanced age, two or more associated comorbidities, and a delay in surgery of more than twenty-four hours adversely affected the outcome. Multivariate analysis showed that only a delay in surgery of more than twenty-four hours was correlated with increased mortality (p &lt; 0.05; relative risk = 9.4). CONCLUSIONS Early operative débridement was demonstrated to reduce mortality among patients with this condition. A high index of suspicion is important in view of the paucity of specific cutaneous findings early in the course of the disease.","author":[{"dropping-particle":"","family":"Wong","given":"Chin-Ho","non-dropping-particle":"","parse-names":false,"suffix":""},{"dropping-particle":"","family":"Chang","given":"Haw-Chong","non-dropping-particle":"","parse-names":false,"suffix":""},{"dropping-particle":"","family":"Pasupathy","given":"Shanker","non-dropping-particle":"","parse-names":false,"suffix":""},{"dropping-particle":"","family":"Khin","given":"Lay-Wai","non-dropping-particle":"","parse-names":false,"suffix":""},{"dropping-particle":"","family":"Tan","given":"Jee-Lim","non-dropping-particle":"","parse-names":false,"suffix":""},{"dropping-particle":"","family":"Low","given":"Cheng-Ooi","non-dropping-particle":"","parse-names":false,"suffix":""}],"container-title":"The Journal of bone and joint surgery. American volume","id":"ITEM-1","issue":"8","issued":{"date-parts":[["2003","8"]]},"page":"1454-60","title":"Necrotizing fasciitis: clinical presentation, microbiology, and determinants of mortality.","type":"article-journal","volume":"85"},"uris":["http://www.mendeley.com/documents/?uuid=14e715f5-bdb7-3ecb-b26a-8e2b8f0859f8"]}],"mendeley":{"formattedCitation":"&lt;sup&gt;1&lt;/sup&gt;","plainTextFormattedCitation":"1","previouslyFormattedCitation":"&lt;sup&gt;1&lt;/sup&gt;"},"properties":{"noteIndex":0},"schema":"https://github.com/citation-style-language/schema/raw/master/csl-citation.json"}</w:instrText>
      </w:r>
      <w:r w:rsidRPr="00AF636C">
        <w:rPr>
          <w:rFonts w:cstheme="minorHAnsi"/>
          <w:sz w:val="20"/>
          <w:szCs w:val="20"/>
          <w:lang w:val="en-US"/>
        </w:rPr>
        <w:fldChar w:fldCharType="separate"/>
      </w:r>
      <w:r w:rsidR="00B212C2" w:rsidRPr="00B212C2">
        <w:rPr>
          <w:rFonts w:cstheme="minorHAnsi"/>
          <w:noProof/>
          <w:sz w:val="20"/>
          <w:szCs w:val="20"/>
          <w:vertAlign w:val="superscript"/>
          <w:lang w:val="en-US"/>
        </w:rPr>
        <w:t>1</w:t>
      </w:r>
      <w:r w:rsidRPr="00AF636C">
        <w:rPr>
          <w:rFonts w:cstheme="minorHAnsi"/>
          <w:sz w:val="20"/>
          <w:szCs w:val="20"/>
          <w:lang w:val="en-US"/>
        </w:rPr>
        <w:fldChar w:fldCharType="end"/>
      </w:r>
      <w:r w:rsidRPr="00AF636C">
        <w:rPr>
          <w:rFonts w:cstheme="minorHAnsi"/>
          <w:sz w:val="20"/>
          <w:szCs w:val="20"/>
          <w:lang w:val="en-US"/>
        </w:rPr>
        <w:t>.</w:t>
      </w:r>
    </w:p>
    <w:p w14:paraId="14876D78" w14:textId="58AAB642" w:rsidR="003C6A55" w:rsidRPr="00FD73FF" w:rsidRDefault="002A1E4C" w:rsidP="00220956">
      <w:pPr>
        <w:rPr>
          <w:rFonts w:cstheme="minorHAnsi"/>
          <w:sz w:val="20"/>
          <w:szCs w:val="20"/>
          <w:lang w:val="en-US"/>
        </w:rPr>
      </w:pPr>
      <w:r>
        <w:rPr>
          <w:rFonts w:cstheme="minorHAnsi"/>
          <w:sz w:val="20"/>
          <w:szCs w:val="20"/>
          <w:lang w:val="en-US"/>
        </w:rPr>
        <w:t>I</w:t>
      </w:r>
      <w:r w:rsidR="003C6A55" w:rsidRPr="00AF636C">
        <w:rPr>
          <w:rFonts w:cstheme="minorHAnsi"/>
          <w:sz w:val="20"/>
          <w:szCs w:val="20"/>
          <w:lang w:val="en-US"/>
        </w:rPr>
        <w:t>n 19</w:t>
      </w:r>
      <w:r w:rsidR="00FA315B" w:rsidRPr="00AF636C">
        <w:rPr>
          <w:rFonts w:cstheme="minorHAnsi"/>
          <w:sz w:val="20"/>
          <w:szCs w:val="20"/>
          <w:lang w:val="en-US"/>
        </w:rPr>
        <w:t>8</w:t>
      </w:r>
      <w:r w:rsidR="003C6A55" w:rsidRPr="00AF636C">
        <w:rPr>
          <w:rFonts w:cstheme="minorHAnsi"/>
          <w:sz w:val="20"/>
          <w:szCs w:val="20"/>
          <w:lang w:val="en-US"/>
        </w:rPr>
        <w:t xml:space="preserve">1 an “un named marine </w:t>
      </w:r>
      <w:r w:rsidR="003C6A55" w:rsidRPr="00AF636C">
        <w:rPr>
          <w:rFonts w:cstheme="minorHAnsi"/>
          <w:i/>
          <w:sz w:val="20"/>
          <w:szCs w:val="20"/>
          <w:lang w:val="en-US"/>
        </w:rPr>
        <w:t>Vibrio</w:t>
      </w:r>
      <w:r w:rsidR="003C6A55" w:rsidRPr="00AF636C">
        <w:rPr>
          <w:rFonts w:cstheme="minorHAnsi"/>
          <w:sz w:val="20"/>
          <w:szCs w:val="20"/>
          <w:lang w:val="en-US"/>
        </w:rPr>
        <w:t xml:space="preserve">” was  isolated as the causative agent of a human infectious case </w:t>
      </w:r>
      <w:r w:rsidR="003C6A55" w:rsidRPr="00AF636C">
        <w:rPr>
          <w:rFonts w:cstheme="minorHAnsi"/>
          <w:sz w:val="20"/>
          <w:szCs w:val="20"/>
          <w:lang w:val="en-US"/>
        </w:rPr>
        <w:fldChar w:fldCharType="begin" w:fldLock="1"/>
      </w:r>
      <w:r w:rsidR="00D12DA2">
        <w:rPr>
          <w:rFonts w:cstheme="minorHAnsi"/>
          <w:sz w:val="20"/>
          <w:szCs w:val="20"/>
          <w:lang w:val="en-US"/>
        </w:rPr>
        <w:instrText>ADDIN CSL_CITATION {"citationItems":[{"id":"ITEM-1","itemData":{"ISSN":"0140-6736","PMID":"6123029","abstract":"Vibrio damsela was isolated from six wound infections in otherwise healthy persons. In five of the six cases the wounds were known to have been exposed to salt or brackish water at the time of the injury. Vibrio hollisae was isolated from an index stool culture in nine cases in which no other enteric pathogen was identified. All nine patients had diarrhoea and abdominal pain; one patient had bloody diarrhoea. Six of the nine patients were known to have eaten raw seafood in the five days before they became ill. These data suggest that both V. damsela and V. hollisae can produce diseases with distinct clinical and epidemiological characteristics.","author":[{"dropping-particle":"","family":"Morris","given":"J G","non-dropping-particle":"","parse-names":false,"suffix":""},{"dropping-particle":"","family":"Miller","given":"H G","non-dropping-particle":"","parse-names":false,"suffix":""},{"dropping-particle":"","family":"Wilson","given":"R","non-dropping-particle":"","parse-names":false,"suffix":""},{"dropping-particle":"","family":"Tacket","given":"C O","non-dropping-particle":"","parse-names":false,"suffix":""},{"dropping-particle":"","family":"Hollis","given":"D G","non-dropping-particle":"","parse-names":false,"suffix":""},{"dropping-particle":"","family":"Hickman","given":"F W","non-dropping-particle":"","parse-names":false,"suffix":""},{"dropping-particle":"","family":"Weaver","given":"R E","non-dropping-particle":"","parse-names":false,"suffix":""},{"dropping-particle":"","family":"Blake","given":"P A","non-dropping-particle":"","parse-names":false,"suffix":""}],"container-title":"Lancet (London, England)","id":"ITEM-1","issue":"8284","issued":{"date-parts":[["1982","6","5"]]},"page":"1294-7","title":"Illness caused by Vibrio damsela and Vibrio hollisae.","type":"article-journal","volume":"1"},"uris":["http://www.mendeley.com/documents/?uuid=4a3f9059-acce-3566-a0a3-0dbf5be42320"]}],"mendeley":{"formattedCitation":"&lt;sup&gt;13&lt;/sup&gt;","plainTextFormattedCitation":"13","previouslyFormattedCitation":"&lt;sup&gt;13&lt;/sup&gt;"},"properties":{"noteIndex":0},"schema":"https://github.com/citation-style-language/schema/raw/master/csl-citation.json"}</w:instrText>
      </w:r>
      <w:r w:rsidR="003C6A55" w:rsidRPr="00AF636C">
        <w:rPr>
          <w:rFonts w:cstheme="minorHAnsi"/>
          <w:sz w:val="20"/>
          <w:szCs w:val="20"/>
          <w:lang w:val="en-US"/>
        </w:rPr>
        <w:fldChar w:fldCharType="separate"/>
      </w:r>
      <w:r w:rsidR="00D12DA2" w:rsidRPr="00D12DA2">
        <w:rPr>
          <w:rFonts w:cstheme="minorHAnsi"/>
          <w:noProof/>
          <w:sz w:val="20"/>
          <w:szCs w:val="20"/>
          <w:vertAlign w:val="superscript"/>
          <w:lang w:val="en-US"/>
        </w:rPr>
        <w:t>13</w:t>
      </w:r>
      <w:r w:rsidR="003C6A55" w:rsidRPr="00AF636C">
        <w:rPr>
          <w:rFonts w:cstheme="minorHAnsi"/>
          <w:sz w:val="20"/>
          <w:szCs w:val="20"/>
          <w:lang w:val="en-US"/>
        </w:rPr>
        <w:fldChar w:fldCharType="end"/>
      </w:r>
      <w:r w:rsidR="003C6A55" w:rsidRPr="00AF636C">
        <w:rPr>
          <w:rFonts w:cstheme="minorHAnsi"/>
          <w:sz w:val="20"/>
          <w:szCs w:val="20"/>
          <w:lang w:val="en-US"/>
        </w:rPr>
        <w:t xml:space="preserve">, </w:t>
      </w:r>
      <w:r w:rsidR="00DE3B30">
        <w:rPr>
          <w:rFonts w:cstheme="minorHAnsi"/>
          <w:sz w:val="20"/>
          <w:szCs w:val="20"/>
          <w:lang w:val="en-US"/>
        </w:rPr>
        <w:t xml:space="preserve">posteriorly </w:t>
      </w:r>
      <w:r w:rsidR="007E13ED">
        <w:rPr>
          <w:rFonts w:cstheme="minorHAnsi"/>
          <w:sz w:val="20"/>
          <w:szCs w:val="20"/>
          <w:lang w:val="en-US"/>
        </w:rPr>
        <w:t xml:space="preserve">identified as </w:t>
      </w:r>
      <w:r w:rsidR="007E13ED" w:rsidRPr="007E13ED">
        <w:rPr>
          <w:rFonts w:cstheme="minorHAnsi"/>
          <w:i/>
          <w:sz w:val="20"/>
          <w:szCs w:val="20"/>
          <w:lang w:val="en-US"/>
        </w:rPr>
        <w:t>P</w:t>
      </w:r>
      <w:r w:rsidR="0098740F" w:rsidRPr="007E13ED">
        <w:rPr>
          <w:rFonts w:cstheme="minorHAnsi"/>
          <w:i/>
          <w:sz w:val="20"/>
          <w:szCs w:val="20"/>
          <w:lang w:val="en-US"/>
        </w:rPr>
        <w:t>.</w:t>
      </w:r>
      <w:r w:rsidR="003C6A55" w:rsidRPr="007E13ED">
        <w:rPr>
          <w:rFonts w:cstheme="minorHAnsi"/>
          <w:i/>
          <w:sz w:val="20"/>
          <w:szCs w:val="20"/>
          <w:lang w:val="en-US"/>
        </w:rPr>
        <w:t xml:space="preserve"> </w:t>
      </w:r>
      <w:proofErr w:type="spellStart"/>
      <w:r w:rsidR="003C6A55" w:rsidRPr="007E13ED">
        <w:rPr>
          <w:rFonts w:cstheme="minorHAnsi"/>
          <w:i/>
          <w:sz w:val="20"/>
          <w:szCs w:val="20"/>
          <w:lang w:val="en-US"/>
        </w:rPr>
        <w:t>d</w:t>
      </w:r>
      <w:r w:rsidR="003C6A55" w:rsidRPr="00AF636C">
        <w:rPr>
          <w:rFonts w:cstheme="minorHAnsi"/>
          <w:i/>
          <w:sz w:val="20"/>
          <w:szCs w:val="20"/>
          <w:lang w:val="en-US"/>
        </w:rPr>
        <w:t>amselae</w:t>
      </w:r>
      <w:proofErr w:type="spellEnd"/>
      <w:r w:rsidR="007E13ED">
        <w:rPr>
          <w:rFonts w:cstheme="minorHAnsi"/>
          <w:i/>
          <w:sz w:val="20"/>
          <w:szCs w:val="20"/>
          <w:lang w:val="en-US"/>
        </w:rPr>
        <w:t>.</w:t>
      </w:r>
      <w:r>
        <w:rPr>
          <w:rFonts w:cstheme="minorHAnsi"/>
          <w:sz w:val="20"/>
          <w:szCs w:val="20"/>
          <w:lang w:val="en-US"/>
        </w:rPr>
        <w:t xml:space="preserve"> </w:t>
      </w:r>
      <w:r w:rsidR="00FD73FF">
        <w:rPr>
          <w:rFonts w:cstheme="minorHAnsi"/>
          <w:sz w:val="20"/>
          <w:szCs w:val="20"/>
          <w:lang w:val="en-US"/>
        </w:rPr>
        <w:t xml:space="preserve">A good review of the soft tissues infections by this agent was made by </w:t>
      </w:r>
      <w:proofErr w:type="spellStart"/>
      <w:r w:rsidR="00FD73FF" w:rsidRPr="00FD73FF">
        <w:rPr>
          <w:rFonts w:cstheme="minorHAnsi"/>
          <w:sz w:val="20"/>
          <w:szCs w:val="20"/>
          <w:lang w:val="en-US"/>
        </w:rPr>
        <w:t>Hundenborn</w:t>
      </w:r>
      <w:proofErr w:type="spellEnd"/>
      <w:r w:rsidR="00FD73FF">
        <w:rPr>
          <w:rFonts w:cstheme="minorHAnsi"/>
          <w:sz w:val="20"/>
          <w:szCs w:val="20"/>
          <w:lang w:val="en-US"/>
        </w:rPr>
        <w:t xml:space="preserve"> </w:t>
      </w:r>
      <w:r w:rsidR="00FD73FF" w:rsidRPr="00FD73FF">
        <w:rPr>
          <w:rFonts w:cstheme="minorHAnsi"/>
          <w:i/>
          <w:sz w:val="20"/>
          <w:szCs w:val="20"/>
          <w:lang w:val="en-US"/>
        </w:rPr>
        <w:t>et al</w:t>
      </w:r>
      <w:r w:rsidR="0004472C">
        <w:rPr>
          <w:rFonts w:cstheme="minorHAnsi"/>
          <w:i/>
          <w:sz w:val="20"/>
          <w:szCs w:val="20"/>
          <w:lang w:val="en-US"/>
        </w:rPr>
        <w:t xml:space="preserve"> </w:t>
      </w:r>
      <w:r w:rsidR="0004472C">
        <w:rPr>
          <w:rFonts w:cstheme="minorHAnsi"/>
          <w:i/>
          <w:sz w:val="20"/>
          <w:szCs w:val="20"/>
          <w:lang w:val="en-US"/>
        </w:rPr>
        <w:fldChar w:fldCharType="begin" w:fldLock="1"/>
      </w:r>
      <w:r w:rsidR="00F04EBB">
        <w:rPr>
          <w:rFonts w:cstheme="minorHAnsi"/>
          <w:i/>
          <w:sz w:val="20"/>
          <w:szCs w:val="20"/>
          <w:lang w:val="en-US"/>
        </w:rPr>
        <w:instrText>ADDIN CSL_CITATION {"citationItems":[{"id":"ITEM-1","itemData":{"DOI":"10.1155/2013/610632","ISSN":"1687-9627","PMID":"24171004","abstract":"Marine microorganisms are uncommon etiologies of skin and skin structure infections, that is, wound infections. We report a case of severe wound infection, caused by the marine Photobacterium damselae (Vibrionaceae), in a 64-year-old male patient, returning from Australia. The isolate tested positive for pPHDD1, a plasmid conferring high-level virulence. Furthermore, the wound was coinfected with Vibrio harveyi, a halophile bacterium, which has never been reported from human infections before. Identification was achieved by use of Matrix-Assisted Laser Desorption-Ionization Time of Flight Mass Spectrometry (MALDI-TOF) and confirmed by 16S rDNA sequencing. Data retrieval from bibliography was complicated since P. damselae has been renamed often with a number of synonyms present in the literature: Photobacterium damsela, Vibrio damselae, Vibrio damsela, Pasteurella damselae, and Listonella damsela. With all synonyms used as query terms, a literature search provided less than 20 cases published worldwide. A majority of those cases presenting as severe wound infection are even fatal following progression into necrotizing fasciitis. Management with daily wound dressing and antibiotic therapy (ofloxacin empirically, followed by doxycycline after availability of microbiology) led in the reported case to a favorable outcome, which seems to be, however, the exception based on a review of the available literature.","author":[{"dropping-particle":"","family":"Hundenborn","given":"Jörg","non-dropping-particle":"","parse-names":false,"suffix":""},{"dropping-particle":"","family":"Thurig","given":"Steffi","non-dropping-particle":"","parse-names":false,"suffix":""},{"dropping-particle":"","family":"Kommerell","given":"Mechthild","non-dropping-particle":"","parse-names":false,"suffix":""},{"dropping-particle":"","family":"Haag","given":"Heike","non-dropping-particle":"","parse-names":false,"suffix":""},{"dropping-particle":"","family":"Nolte","given":"Oliver","non-dropping-particle":"","parse-names":false,"suffix":""}],"container-title":"Case reports in medicine","id":"ITEM-1","issued":{"date-parts":[["2013"]]},"page":"610632","title":"Severe Wound Infection with Photobacterium damselae ssp. damselae and Vibrio harveyi, following a Laceration Injury in Marine Environment: A Case Report and Review of the Literature.","type":"article-journal","volume":"2013"},"uris":["http://www.mendeley.com/documents/?uuid=386a6865-d844-3866-8c39-4796284ae2f7"]}],"mendeley":{"formattedCitation":"&lt;sup&gt;14&lt;/sup&gt;","plainTextFormattedCitation":"14","previouslyFormattedCitation":"&lt;sup&gt;14&lt;/sup&gt;"},"properties":{"noteIndex":0},"schema":"https://github.com/citation-style-language/schema/raw/master/csl-citation.json"}</w:instrText>
      </w:r>
      <w:r w:rsidR="0004472C">
        <w:rPr>
          <w:rFonts w:cstheme="minorHAnsi"/>
          <w:i/>
          <w:sz w:val="20"/>
          <w:szCs w:val="20"/>
          <w:lang w:val="en-US"/>
        </w:rPr>
        <w:fldChar w:fldCharType="separate"/>
      </w:r>
      <w:r w:rsidR="0004472C" w:rsidRPr="0004472C">
        <w:rPr>
          <w:rFonts w:cstheme="minorHAnsi"/>
          <w:noProof/>
          <w:sz w:val="20"/>
          <w:szCs w:val="20"/>
          <w:vertAlign w:val="superscript"/>
          <w:lang w:val="en-US"/>
        </w:rPr>
        <w:t>14</w:t>
      </w:r>
      <w:r w:rsidR="0004472C">
        <w:rPr>
          <w:rFonts w:cstheme="minorHAnsi"/>
          <w:i/>
          <w:sz w:val="20"/>
          <w:szCs w:val="20"/>
          <w:lang w:val="en-US"/>
        </w:rPr>
        <w:fldChar w:fldCharType="end"/>
      </w:r>
      <w:r w:rsidR="00FD73FF">
        <w:rPr>
          <w:rFonts w:cstheme="minorHAnsi"/>
          <w:i/>
          <w:sz w:val="20"/>
          <w:szCs w:val="20"/>
          <w:lang w:val="en-US"/>
        </w:rPr>
        <w:t xml:space="preserve"> </w:t>
      </w:r>
      <w:r w:rsidR="00FD73FF">
        <w:rPr>
          <w:rFonts w:cstheme="minorHAnsi"/>
          <w:sz w:val="20"/>
          <w:szCs w:val="20"/>
          <w:lang w:val="en-US"/>
        </w:rPr>
        <w:t xml:space="preserve">in 2013, </w:t>
      </w:r>
      <w:r w:rsidR="0004472C">
        <w:rPr>
          <w:rFonts w:cstheme="minorHAnsi"/>
          <w:sz w:val="20"/>
          <w:szCs w:val="20"/>
          <w:lang w:val="en-US"/>
        </w:rPr>
        <w:t>reporting</w:t>
      </w:r>
      <w:r w:rsidR="00FD73FF">
        <w:rPr>
          <w:rFonts w:cstheme="minorHAnsi"/>
          <w:sz w:val="20"/>
          <w:szCs w:val="20"/>
          <w:lang w:val="en-US"/>
        </w:rPr>
        <w:t xml:space="preserve"> 11</w:t>
      </w:r>
      <w:r w:rsidR="0004472C">
        <w:rPr>
          <w:rFonts w:cstheme="minorHAnsi"/>
          <w:sz w:val="20"/>
          <w:szCs w:val="20"/>
          <w:lang w:val="en-US"/>
        </w:rPr>
        <w:t xml:space="preserve"> infection</w:t>
      </w:r>
      <w:r w:rsidR="00FD73FF">
        <w:rPr>
          <w:rFonts w:cstheme="minorHAnsi"/>
          <w:sz w:val="20"/>
          <w:szCs w:val="20"/>
          <w:lang w:val="en-US"/>
        </w:rPr>
        <w:t xml:space="preserve"> cases.</w:t>
      </w:r>
      <w:r w:rsidR="0004472C">
        <w:rPr>
          <w:rFonts w:cstheme="minorHAnsi"/>
          <w:sz w:val="20"/>
          <w:szCs w:val="20"/>
          <w:lang w:val="en-US"/>
        </w:rPr>
        <w:t xml:space="preserve"> </w:t>
      </w:r>
      <w:r w:rsidR="00F04EBB" w:rsidRPr="00AF636C">
        <w:rPr>
          <w:rFonts w:cstheme="minorHAnsi"/>
          <w:sz w:val="20"/>
          <w:szCs w:val="20"/>
          <w:lang w:val="en-US"/>
        </w:rPr>
        <w:t>In the 1</w:t>
      </w:r>
      <w:r w:rsidR="00F04EBB">
        <w:rPr>
          <w:rFonts w:cstheme="minorHAnsi"/>
          <w:sz w:val="20"/>
          <w:szCs w:val="20"/>
          <w:lang w:val="en-US"/>
        </w:rPr>
        <w:t>1</w:t>
      </w:r>
      <w:r w:rsidR="00F04EBB" w:rsidRPr="00AF636C">
        <w:rPr>
          <w:rFonts w:cstheme="minorHAnsi"/>
          <w:sz w:val="20"/>
          <w:szCs w:val="20"/>
          <w:lang w:val="en-US"/>
        </w:rPr>
        <w:t xml:space="preserve"> cases reported, 8 (</w:t>
      </w:r>
      <w:r w:rsidR="00F04EBB">
        <w:rPr>
          <w:rFonts w:cstheme="minorHAnsi"/>
          <w:sz w:val="20"/>
          <w:szCs w:val="20"/>
          <w:lang w:val="en-US"/>
        </w:rPr>
        <w:t>73</w:t>
      </w:r>
      <w:r w:rsidR="00F04EBB" w:rsidRPr="00AF636C">
        <w:rPr>
          <w:rFonts w:cstheme="minorHAnsi"/>
          <w:sz w:val="20"/>
          <w:szCs w:val="20"/>
          <w:lang w:val="en-US"/>
        </w:rPr>
        <w:t xml:space="preserve">%) had a fatal outcome. In the </w:t>
      </w:r>
      <w:r w:rsidR="00F04EBB">
        <w:rPr>
          <w:rFonts w:cstheme="minorHAnsi"/>
          <w:sz w:val="20"/>
          <w:szCs w:val="20"/>
          <w:lang w:val="en-US"/>
        </w:rPr>
        <w:t>3</w:t>
      </w:r>
      <w:r w:rsidR="00F04EBB" w:rsidRPr="00AF636C">
        <w:rPr>
          <w:rFonts w:cstheme="minorHAnsi"/>
          <w:sz w:val="20"/>
          <w:szCs w:val="20"/>
          <w:lang w:val="en-US"/>
        </w:rPr>
        <w:t xml:space="preserve"> </w:t>
      </w:r>
      <w:r w:rsidR="00F04EBB">
        <w:rPr>
          <w:rFonts w:cstheme="minorHAnsi"/>
          <w:sz w:val="20"/>
          <w:szCs w:val="20"/>
          <w:lang w:val="en-US"/>
        </w:rPr>
        <w:t xml:space="preserve">patients </w:t>
      </w:r>
      <w:r w:rsidR="00F04EBB" w:rsidRPr="00AF636C">
        <w:rPr>
          <w:rFonts w:cstheme="minorHAnsi"/>
          <w:sz w:val="20"/>
          <w:szCs w:val="20"/>
          <w:lang w:val="en-US"/>
        </w:rPr>
        <w:t xml:space="preserve">who could be cured, </w:t>
      </w:r>
      <w:r w:rsidR="00F04EBB">
        <w:rPr>
          <w:rFonts w:cstheme="minorHAnsi"/>
          <w:sz w:val="20"/>
          <w:szCs w:val="20"/>
          <w:lang w:val="en-US"/>
        </w:rPr>
        <w:t>1 needed</w:t>
      </w:r>
      <w:r w:rsidR="00F04EBB" w:rsidRPr="00AF636C">
        <w:rPr>
          <w:rFonts w:cstheme="minorHAnsi"/>
          <w:sz w:val="20"/>
          <w:szCs w:val="20"/>
          <w:lang w:val="en-US"/>
        </w:rPr>
        <w:t xml:space="preserve"> an amputation </w:t>
      </w:r>
      <w:r w:rsidR="00F04EBB">
        <w:rPr>
          <w:rFonts w:cstheme="minorHAnsi"/>
          <w:sz w:val="20"/>
          <w:szCs w:val="20"/>
          <w:lang w:val="en-US"/>
        </w:rPr>
        <w:t xml:space="preserve">of the arm. </w:t>
      </w:r>
      <w:r w:rsidR="0004472C" w:rsidRPr="00AF636C">
        <w:rPr>
          <w:rFonts w:cstheme="minorHAnsi"/>
          <w:sz w:val="20"/>
          <w:szCs w:val="20"/>
          <w:lang w:val="en-US"/>
        </w:rPr>
        <w:t xml:space="preserve">When a search with the terms </w:t>
      </w:r>
      <w:r>
        <w:rPr>
          <w:rFonts w:cstheme="minorHAnsi"/>
          <w:sz w:val="20"/>
          <w:szCs w:val="20"/>
          <w:lang w:val="en-US"/>
        </w:rPr>
        <w:t>“</w:t>
      </w:r>
      <w:r w:rsidR="0004472C" w:rsidRPr="00AF636C">
        <w:rPr>
          <w:rFonts w:cstheme="minorHAnsi"/>
          <w:sz w:val="20"/>
          <w:szCs w:val="20"/>
          <w:lang w:val="en-US"/>
        </w:rPr>
        <w:t xml:space="preserve">photobacterium </w:t>
      </w:r>
      <w:proofErr w:type="spellStart"/>
      <w:r w:rsidR="0004472C" w:rsidRPr="00AF636C">
        <w:rPr>
          <w:rFonts w:cstheme="minorHAnsi"/>
          <w:sz w:val="20"/>
          <w:szCs w:val="20"/>
          <w:lang w:val="en-US"/>
        </w:rPr>
        <w:t>damselae</w:t>
      </w:r>
      <w:proofErr w:type="spellEnd"/>
      <w:r w:rsidR="0004472C" w:rsidRPr="00AF636C">
        <w:rPr>
          <w:rFonts w:cstheme="minorHAnsi"/>
          <w:sz w:val="20"/>
          <w:szCs w:val="20"/>
          <w:lang w:val="en-US"/>
        </w:rPr>
        <w:t xml:space="preserve"> OR vibrio </w:t>
      </w:r>
      <w:proofErr w:type="spellStart"/>
      <w:r w:rsidR="0004472C" w:rsidRPr="00AF636C">
        <w:rPr>
          <w:rFonts w:cstheme="minorHAnsi"/>
          <w:sz w:val="20"/>
          <w:szCs w:val="20"/>
          <w:lang w:val="en-US"/>
        </w:rPr>
        <w:t>damselae</w:t>
      </w:r>
      <w:proofErr w:type="spellEnd"/>
      <w:r w:rsidR="0004472C" w:rsidRPr="00AF636C">
        <w:rPr>
          <w:rFonts w:cstheme="minorHAnsi"/>
          <w:sz w:val="20"/>
          <w:szCs w:val="20"/>
          <w:lang w:val="en-US"/>
        </w:rPr>
        <w:t xml:space="preserve">” is </w:t>
      </w:r>
      <w:proofErr w:type="spellStart"/>
      <w:r w:rsidR="0004472C" w:rsidRPr="00AF636C">
        <w:rPr>
          <w:rFonts w:cstheme="minorHAnsi"/>
          <w:sz w:val="20"/>
          <w:szCs w:val="20"/>
          <w:lang w:val="en-US"/>
        </w:rPr>
        <w:t>runned</w:t>
      </w:r>
      <w:proofErr w:type="spellEnd"/>
      <w:r w:rsidR="0004472C" w:rsidRPr="00AF636C">
        <w:rPr>
          <w:rFonts w:cstheme="minorHAnsi"/>
          <w:sz w:val="20"/>
          <w:szCs w:val="20"/>
          <w:lang w:val="en-US"/>
        </w:rPr>
        <w:t xml:space="preserve"> on PUBMED database and it is selected only the case reports we retrieve 27 results, of which only 14 are skin or soft tissue infections </w:t>
      </w:r>
      <w:r w:rsidR="00F04EBB">
        <w:rPr>
          <w:rFonts w:cstheme="minorHAnsi"/>
          <w:sz w:val="20"/>
          <w:szCs w:val="20"/>
          <w:lang w:val="en-US"/>
        </w:rPr>
        <w:t>in human</w:t>
      </w:r>
      <w:r>
        <w:rPr>
          <w:rFonts w:cstheme="minorHAnsi"/>
          <w:sz w:val="20"/>
          <w:szCs w:val="20"/>
          <w:lang w:val="en-US"/>
        </w:rPr>
        <w:t>.</w:t>
      </w:r>
    </w:p>
    <w:p w14:paraId="0D8C7FAA" w14:textId="19320392" w:rsidR="00B212C2" w:rsidRDefault="008D1CE5" w:rsidP="00220956">
      <w:pPr>
        <w:rPr>
          <w:rFonts w:cstheme="minorHAnsi"/>
          <w:sz w:val="20"/>
          <w:szCs w:val="20"/>
          <w:lang w:val="en-US"/>
        </w:rPr>
      </w:pPr>
      <w:proofErr w:type="gramStart"/>
      <w:r w:rsidRPr="00AF636C">
        <w:rPr>
          <w:sz w:val="20"/>
          <w:szCs w:val="20"/>
          <w:lang w:val="en-US"/>
        </w:rPr>
        <w:t>The majority of</w:t>
      </w:r>
      <w:proofErr w:type="gramEnd"/>
      <w:r w:rsidRPr="00AF636C">
        <w:rPr>
          <w:sz w:val="20"/>
          <w:szCs w:val="20"/>
          <w:lang w:val="en-US"/>
        </w:rPr>
        <w:t xml:space="preserve"> the cases occurred in coastal areas of the United States of America, Australia, and Japan. </w:t>
      </w:r>
      <w:r w:rsidR="003C6A55" w:rsidRPr="00AF636C">
        <w:rPr>
          <w:rFonts w:cstheme="minorHAnsi"/>
          <w:sz w:val="20"/>
          <w:szCs w:val="20"/>
          <w:lang w:val="en-US"/>
        </w:rPr>
        <w:t>As far as we</w:t>
      </w:r>
      <w:r w:rsidR="00E023A1">
        <w:rPr>
          <w:rFonts w:cstheme="minorHAnsi"/>
          <w:sz w:val="20"/>
          <w:szCs w:val="20"/>
          <w:lang w:val="en-US"/>
        </w:rPr>
        <w:t xml:space="preserve"> </w:t>
      </w:r>
      <w:r w:rsidR="002A1E4C">
        <w:rPr>
          <w:rFonts w:cstheme="minorHAnsi"/>
          <w:sz w:val="20"/>
          <w:szCs w:val="20"/>
          <w:lang w:val="en-US"/>
        </w:rPr>
        <w:t>could research</w:t>
      </w:r>
      <w:r w:rsidR="003C6A55" w:rsidRPr="00AF636C">
        <w:rPr>
          <w:rFonts w:cstheme="minorHAnsi"/>
          <w:sz w:val="20"/>
          <w:szCs w:val="20"/>
          <w:lang w:val="en-US"/>
        </w:rPr>
        <w:t>, no previous infection with this microorganism was previously described in Portugal</w:t>
      </w:r>
      <w:r w:rsidR="002B5329" w:rsidRPr="00AF636C">
        <w:rPr>
          <w:rFonts w:cstheme="minorHAnsi"/>
          <w:sz w:val="20"/>
          <w:szCs w:val="20"/>
          <w:lang w:val="en-US"/>
        </w:rPr>
        <w:t>.</w:t>
      </w:r>
    </w:p>
    <w:p w14:paraId="402805CE" w14:textId="77777777" w:rsidR="00B212C2" w:rsidRDefault="00B212C2" w:rsidP="00220956">
      <w:pPr>
        <w:rPr>
          <w:rFonts w:cstheme="minorHAnsi"/>
          <w:sz w:val="20"/>
          <w:szCs w:val="20"/>
          <w:lang w:val="en-US"/>
        </w:rPr>
      </w:pPr>
      <w:r>
        <w:rPr>
          <w:rFonts w:cstheme="minorHAnsi"/>
          <w:sz w:val="20"/>
          <w:szCs w:val="20"/>
          <w:lang w:val="en-US"/>
        </w:rPr>
        <w:br w:type="page"/>
      </w:r>
    </w:p>
    <w:p w14:paraId="39CF7B72" w14:textId="2FE966FC" w:rsidR="00715761" w:rsidRPr="00220956" w:rsidRDefault="00863221" w:rsidP="00220956">
      <w:pPr>
        <w:pStyle w:val="Ttulo2"/>
        <w:rPr>
          <w:lang w:val="en-US"/>
        </w:rPr>
      </w:pPr>
      <w:r>
        <w:rPr>
          <w:lang w:val="en-US"/>
        </w:rPr>
        <w:lastRenderedPageBreak/>
        <w:t>Legend</w:t>
      </w:r>
      <w:r w:rsidR="00715761" w:rsidRPr="00220956">
        <w:rPr>
          <w:lang w:val="en-US"/>
        </w:rPr>
        <w:t>:</w:t>
      </w:r>
    </w:p>
    <w:p w14:paraId="0DDD3D7C" w14:textId="62DE7071" w:rsidR="00715761" w:rsidRPr="00F8487B" w:rsidRDefault="00715761" w:rsidP="00220956">
      <w:pPr>
        <w:rPr>
          <w:lang w:val="en-US"/>
        </w:rPr>
      </w:pPr>
      <w:r w:rsidRPr="00F8487B">
        <w:rPr>
          <w:lang w:val="en-US"/>
        </w:rPr>
        <w:t xml:space="preserve">Fig.1: </w:t>
      </w:r>
      <w:r w:rsidR="00F8487B">
        <w:rPr>
          <w:lang w:val="en-US"/>
        </w:rPr>
        <w:t>Clinical presentation at</w:t>
      </w:r>
      <w:r w:rsidR="00F8487B" w:rsidRPr="00F8487B">
        <w:rPr>
          <w:lang w:val="en-US"/>
        </w:rPr>
        <w:t xml:space="preserve"> admission, </w:t>
      </w:r>
      <w:r w:rsidRPr="00F8487B">
        <w:rPr>
          <w:lang w:val="en-US"/>
        </w:rPr>
        <w:t xml:space="preserve">12h </w:t>
      </w:r>
      <w:r w:rsidR="00F8487B" w:rsidRPr="00F8487B">
        <w:rPr>
          <w:lang w:val="en-US"/>
        </w:rPr>
        <w:t>after injury</w:t>
      </w:r>
    </w:p>
    <w:p w14:paraId="368DF0A0" w14:textId="2653F680" w:rsidR="00715761" w:rsidRPr="00F8487B" w:rsidRDefault="00715761" w:rsidP="00220956">
      <w:pPr>
        <w:rPr>
          <w:lang w:val="en-US"/>
        </w:rPr>
      </w:pPr>
      <w:r w:rsidRPr="00F8487B">
        <w:rPr>
          <w:lang w:val="en-US"/>
        </w:rPr>
        <w:t xml:space="preserve">Fig. 2: </w:t>
      </w:r>
      <w:r w:rsidR="00F8487B" w:rsidRPr="00F8487B">
        <w:rPr>
          <w:lang w:val="en-US"/>
        </w:rPr>
        <w:t>Presentation after debridement</w:t>
      </w:r>
    </w:p>
    <w:p w14:paraId="494C5A56" w14:textId="3118074E" w:rsidR="00715761" w:rsidRPr="00F8487B" w:rsidRDefault="00715761" w:rsidP="00220956">
      <w:pPr>
        <w:rPr>
          <w:lang w:val="en-US"/>
        </w:rPr>
      </w:pPr>
      <w:r w:rsidRPr="00F8487B">
        <w:rPr>
          <w:lang w:val="en-US"/>
        </w:rPr>
        <w:t xml:space="preserve">Fig. 3: </w:t>
      </w:r>
      <w:r w:rsidR="00F8487B" w:rsidRPr="00F8487B">
        <w:rPr>
          <w:lang w:val="en-US"/>
        </w:rPr>
        <w:t>P</w:t>
      </w:r>
      <w:r w:rsidR="00F8487B">
        <w:rPr>
          <w:lang w:val="en-US"/>
        </w:rPr>
        <w:t>resentation after reconstruction with acellular dermal matrix</w:t>
      </w:r>
    </w:p>
    <w:p w14:paraId="72845E73" w14:textId="32CEE2C2" w:rsidR="00715761" w:rsidRPr="00F8487B" w:rsidRDefault="00715761" w:rsidP="00220956">
      <w:pPr>
        <w:rPr>
          <w:lang w:val="en-US"/>
        </w:rPr>
      </w:pPr>
      <w:r w:rsidRPr="00F8487B">
        <w:rPr>
          <w:lang w:val="en-US"/>
        </w:rPr>
        <w:t xml:space="preserve">Fig. 4: </w:t>
      </w:r>
      <w:r w:rsidR="00F8487B" w:rsidRPr="00F8487B">
        <w:rPr>
          <w:lang w:val="en-US"/>
        </w:rPr>
        <w:t>2 months post-op</w:t>
      </w:r>
    </w:p>
    <w:p w14:paraId="75AC1C39" w14:textId="4E11E522" w:rsidR="00715761" w:rsidRPr="00F8487B" w:rsidRDefault="00715761" w:rsidP="00220956">
      <w:pPr>
        <w:rPr>
          <w:lang w:val="en-US"/>
        </w:rPr>
      </w:pPr>
      <w:r w:rsidRPr="00F8487B">
        <w:rPr>
          <w:lang w:val="en-US"/>
        </w:rPr>
        <w:t xml:space="preserve">Fig. 5: </w:t>
      </w:r>
      <w:r w:rsidR="00F8487B">
        <w:rPr>
          <w:lang w:val="en-US"/>
        </w:rPr>
        <w:t>6</w:t>
      </w:r>
      <w:r w:rsidR="00F8487B" w:rsidRPr="00F8487B">
        <w:rPr>
          <w:lang w:val="en-US"/>
        </w:rPr>
        <w:t xml:space="preserve"> months post-op </w:t>
      </w:r>
      <w:r w:rsidRPr="00F8487B">
        <w:rPr>
          <w:lang w:val="en-US"/>
        </w:rPr>
        <w:br w:type="page"/>
      </w:r>
    </w:p>
    <w:p w14:paraId="76741A6E" w14:textId="3F27D1E5" w:rsidR="00773A0F" w:rsidRPr="0013652F" w:rsidRDefault="006E35A9" w:rsidP="00220956">
      <w:pPr>
        <w:pStyle w:val="Ttulo2"/>
        <w:rPr>
          <w:rFonts w:asciiTheme="minorHAnsi" w:hAnsiTheme="minorHAnsi" w:cstheme="minorHAnsi"/>
          <w:sz w:val="20"/>
          <w:szCs w:val="20"/>
          <w:lang w:val="en-US"/>
        </w:rPr>
      </w:pPr>
      <w:r w:rsidRPr="0013652F">
        <w:rPr>
          <w:rFonts w:asciiTheme="minorHAnsi" w:hAnsiTheme="minorHAnsi" w:cstheme="minorHAnsi"/>
          <w:sz w:val="20"/>
          <w:szCs w:val="20"/>
          <w:lang w:val="en-US"/>
        </w:rPr>
        <w:lastRenderedPageBreak/>
        <w:t>REFERENCES</w:t>
      </w:r>
    </w:p>
    <w:p w14:paraId="5F26D403" w14:textId="77777777" w:rsidR="00314CE1" w:rsidRPr="0013652F" w:rsidRDefault="00314CE1" w:rsidP="00220956">
      <w:pPr>
        <w:rPr>
          <w:sz w:val="20"/>
          <w:szCs w:val="20"/>
          <w:lang w:val="en-US"/>
        </w:rPr>
      </w:pPr>
    </w:p>
    <w:p w14:paraId="5C385EA6" w14:textId="1BED92B3" w:rsidR="00F04EBB" w:rsidRPr="00BC561B" w:rsidRDefault="00314CE1" w:rsidP="00F04EBB">
      <w:pPr>
        <w:widowControl w:val="0"/>
        <w:autoSpaceDE w:val="0"/>
        <w:autoSpaceDN w:val="0"/>
        <w:adjustRightInd w:val="0"/>
        <w:spacing w:line="240" w:lineRule="auto"/>
        <w:ind w:left="640" w:hanging="640"/>
        <w:rPr>
          <w:rFonts w:ascii="Calibri" w:hAnsi="Calibri" w:cs="Calibri"/>
          <w:noProof/>
          <w:sz w:val="20"/>
          <w:szCs w:val="24"/>
          <w:lang w:val="en-US"/>
        </w:rPr>
      </w:pPr>
      <w:r w:rsidRPr="00F04EBB">
        <w:rPr>
          <w:sz w:val="20"/>
          <w:szCs w:val="20"/>
          <w:lang w:val="en-US"/>
        </w:rPr>
        <w:fldChar w:fldCharType="begin" w:fldLock="1"/>
      </w:r>
      <w:r w:rsidRPr="00F04EBB">
        <w:rPr>
          <w:sz w:val="20"/>
          <w:szCs w:val="20"/>
          <w:lang w:val="en-US"/>
        </w:rPr>
        <w:instrText xml:space="preserve">ADDIN Mendeley Bibliography CSL_BIBLIOGRAPHY </w:instrText>
      </w:r>
      <w:r w:rsidRPr="00F04EBB">
        <w:rPr>
          <w:sz w:val="20"/>
          <w:szCs w:val="20"/>
          <w:lang w:val="en-US"/>
        </w:rPr>
        <w:fldChar w:fldCharType="separate"/>
      </w:r>
      <w:r w:rsidR="00F04EBB" w:rsidRPr="00BC561B">
        <w:rPr>
          <w:rFonts w:ascii="Calibri" w:hAnsi="Calibri" w:cs="Calibri"/>
          <w:noProof/>
          <w:sz w:val="20"/>
          <w:szCs w:val="24"/>
          <w:lang w:val="en-US"/>
        </w:rPr>
        <w:t>1.</w:t>
      </w:r>
      <w:r w:rsidR="00F04EBB" w:rsidRPr="00BC561B">
        <w:rPr>
          <w:rFonts w:ascii="Calibri" w:hAnsi="Calibri" w:cs="Calibri"/>
          <w:noProof/>
          <w:sz w:val="20"/>
          <w:szCs w:val="24"/>
          <w:lang w:val="en-US"/>
        </w:rPr>
        <w:tab/>
        <w:t xml:space="preserve">Wong, C.-H. </w:t>
      </w:r>
      <w:r w:rsidR="00F04EBB" w:rsidRPr="00BC561B">
        <w:rPr>
          <w:rFonts w:ascii="Calibri" w:hAnsi="Calibri" w:cs="Calibri"/>
          <w:i/>
          <w:iCs/>
          <w:noProof/>
          <w:sz w:val="20"/>
          <w:szCs w:val="24"/>
          <w:lang w:val="en-US"/>
        </w:rPr>
        <w:t>et al.</w:t>
      </w:r>
      <w:r w:rsidR="00F04EBB" w:rsidRPr="00BC561B">
        <w:rPr>
          <w:rFonts w:ascii="Calibri" w:hAnsi="Calibri" w:cs="Calibri"/>
          <w:noProof/>
          <w:sz w:val="20"/>
          <w:szCs w:val="24"/>
          <w:lang w:val="en-US"/>
        </w:rPr>
        <w:t xml:space="preserve"> Necrotizing fasciitis: clinical presentation, microbiology, and determinants of mortality. </w:t>
      </w:r>
      <w:r w:rsidR="00F04EBB" w:rsidRPr="00BC561B">
        <w:rPr>
          <w:rFonts w:ascii="Calibri" w:hAnsi="Calibri" w:cs="Calibri"/>
          <w:i/>
          <w:iCs/>
          <w:noProof/>
          <w:sz w:val="20"/>
          <w:szCs w:val="24"/>
          <w:lang w:val="en-US"/>
        </w:rPr>
        <w:t>J. Bone Joint Surg. Am.</w:t>
      </w:r>
      <w:r w:rsidR="00F04EBB" w:rsidRPr="00BC561B">
        <w:rPr>
          <w:rFonts w:ascii="Calibri" w:hAnsi="Calibri" w:cs="Calibri"/>
          <w:noProof/>
          <w:sz w:val="20"/>
          <w:szCs w:val="24"/>
          <w:lang w:val="en-US"/>
        </w:rPr>
        <w:t xml:space="preserve"> </w:t>
      </w:r>
      <w:r w:rsidR="00F04EBB" w:rsidRPr="00BC561B">
        <w:rPr>
          <w:rFonts w:ascii="Calibri" w:hAnsi="Calibri" w:cs="Calibri"/>
          <w:bCs/>
          <w:noProof/>
          <w:sz w:val="20"/>
          <w:szCs w:val="24"/>
          <w:lang w:val="en-US"/>
        </w:rPr>
        <w:t>85</w:t>
      </w:r>
      <w:r w:rsidR="00F04EBB" w:rsidRPr="00BC561B">
        <w:rPr>
          <w:rFonts w:ascii="Calibri" w:hAnsi="Calibri" w:cs="Calibri"/>
          <w:noProof/>
          <w:sz w:val="20"/>
          <w:szCs w:val="24"/>
          <w:lang w:val="en-US"/>
        </w:rPr>
        <w:t>, 1454–60 (2003).</w:t>
      </w:r>
    </w:p>
    <w:p w14:paraId="79940023" w14:textId="77777777" w:rsidR="00F04EBB" w:rsidRPr="00BC561B" w:rsidRDefault="00F04EBB" w:rsidP="00F04EBB">
      <w:pPr>
        <w:widowControl w:val="0"/>
        <w:autoSpaceDE w:val="0"/>
        <w:autoSpaceDN w:val="0"/>
        <w:adjustRightInd w:val="0"/>
        <w:spacing w:line="240" w:lineRule="auto"/>
        <w:ind w:left="640" w:hanging="640"/>
        <w:rPr>
          <w:rFonts w:ascii="Calibri" w:hAnsi="Calibri" w:cs="Calibri"/>
          <w:noProof/>
          <w:sz w:val="20"/>
          <w:szCs w:val="24"/>
          <w:lang w:val="en-US"/>
        </w:rPr>
      </w:pPr>
      <w:r w:rsidRPr="00BC561B">
        <w:rPr>
          <w:rFonts w:ascii="Calibri" w:hAnsi="Calibri" w:cs="Calibri"/>
          <w:noProof/>
          <w:sz w:val="20"/>
          <w:szCs w:val="24"/>
          <w:lang w:val="en-US"/>
        </w:rPr>
        <w:t>2.</w:t>
      </w:r>
      <w:r w:rsidRPr="00BC561B">
        <w:rPr>
          <w:rFonts w:ascii="Calibri" w:hAnsi="Calibri" w:cs="Calibri"/>
          <w:noProof/>
          <w:sz w:val="20"/>
          <w:szCs w:val="24"/>
          <w:lang w:val="en-US"/>
        </w:rPr>
        <w:tab/>
        <w:t xml:space="preserve">Love, M. </w:t>
      </w:r>
      <w:r w:rsidRPr="00BC561B">
        <w:rPr>
          <w:rFonts w:ascii="Calibri" w:hAnsi="Calibri" w:cs="Calibri"/>
          <w:i/>
          <w:iCs/>
          <w:noProof/>
          <w:sz w:val="20"/>
          <w:szCs w:val="24"/>
          <w:lang w:val="en-US"/>
        </w:rPr>
        <w:t>et al.</w:t>
      </w:r>
      <w:r w:rsidRPr="00BC561B">
        <w:rPr>
          <w:rFonts w:ascii="Calibri" w:hAnsi="Calibri" w:cs="Calibri"/>
          <w:noProof/>
          <w:sz w:val="20"/>
          <w:szCs w:val="24"/>
          <w:lang w:val="en-US"/>
        </w:rPr>
        <w:t xml:space="preserve"> Vibrio damsela, a Marine Bacterium, Causes Skin Ulcers on the Damselfish Chromis punctipinnis. </w:t>
      </w:r>
      <w:r w:rsidRPr="00BC561B">
        <w:rPr>
          <w:rFonts w:ascii="Calibri" w:hAnsi="Calibri" w:cs="Calibri"/>
          <w:i/>
          <w:iCs/>
          <w:noProof/>
          <w:sz w:val="20"/>
          <w:szCs w:val="24"/>
          <w:lang w:val="en-US"/>
        </w:rPr>
        <w:t>Science</w:t>
      </w:r>
      <w:r w:rsidRPr="00BC561B">
        <w:rPr>
          <w:rFonts w:ascii="Calibri" w:hAnsi="Calibri" w:cs="Calibri"/>
          <w:noProof/>
          <w:sz w:val="20"/>
          <w:szCs w:val="24"/>
          <w:lang w:val="en-US"/>
        </w:rPr>
        <w:t xml:space="preserve"> </w:t>
      </w:r>
      <w:r w:rsidRPr="00BC561B">
        <w:rPr>
          <w:rFonts w:ascii="Calibri" w:hAnsi="Calibri" w:cs="Calibri"/>
          <w:bCs/>
          <w:noProof/>
          <w:sz w:val="20"/>
          <w:szCs w:val="24"/>
          <w:lang w:val="en-US"/>
        </w:rPr>
        <w:t>214</w:t>
      </w:r>
      <w:r w:rsidRPr="00BC561B">
        <w:rPr>
          <w:rFonts w:ascii="Calibri" w:hAnsi="Calibri" w:cs="Calibri"/>
          <w:noProof/>
          <w:sz w:val="20"/>
          <w:szCs w:val="24"/>
          <w:lang w:val="en-US"/>
        </w:rPr>
        <w:t>, 1139–40 (1981).</w:t>
      </w:r>
    </w:p>
    <w:p w14:paraId="3DD625E4" w14:textId="77777777" w:rsidR="00F04EBB" w:rsidRPr="00BC561B" w:rsidRDefault="00F04EBB" w:rsidP="00F04EBB">
      <w:pPr>
        <w:widowControl w:val="0"/>
        <w:autoSpaceDE w:val="0"/>
        <w:autoSpaceDN w:val="0"/>
        <w:adjustRightInd w:val="0"/>
        <w:spacing w:line="240" w:lineRule="auto"/>
        <w:ind w:left="640" w:hanging="640"/>
        <w:rPr>
          <w:rFonts w:ascii="Calibri" w:hAnsi="Calibri" w:cs="Calibri"/>
          <w:noProof/>
          <w:sz w:val="20"/>
          <w:szCs w:val="24"/>
          <w:lang w:val="en-US"/>
        </w:rPr>
      </w:pPr>
      <w:r w:rsidRPr="00BC561B">
        <w:rPr>
          <w:rFonts w:ascii="Calibri" w:hAnsi="Calibri" w:cs="Calibri"/>
          <w:noProof/>
          <w:sz w:val="20"/>
          <w:szCs w:val="24"/>
          <w:lang w:val="en-US"/>
        </w:rPr>
        <w:t>3.</w:t>
      </w:r>
      <w:r w:rsidRPr="00BC561B">
        <w:rPr>
          <w:rFonts w:ascii="Calibri" w:hAnsi="Calibri" w:cs="Calibri"/>
          <w:noProof/>
          <w:sz w:val="20"/>
          <w:szCs w:val="24"/>
          <w:lang w:val="en-US"/>
        </w:rPr>
        <w:tab/>
        <w:t xml:space="preserve">Childers, B. J. </w:t>
      </w:r>
      <w:r w:rsidRPr="00BC561B">
        <w:rPr>
          <w:rFonts w:ascii="Calibri" w:hAnsi="Calibri" w:cs="Calibri"/>
          <w:i/>
          <w:iCs/>
          <w:noProof/>
          <w:sz w:val="20"/>
          <w:szCs w:val="24"/>
          <w:lang w:val="en-US"/>
        </w:rPr>
        <w:t>et al.</w:t>
      </w:r>
      <w:r w:rsidRPr="00BC561B">
        <w:rPr>
          <w:rFonts w:ascii="Calibri" w:hAnsi="Calibri" w:cs="Calibri"/>
          <w:noProof/>
          <w:sz w:val="20"/>
          <w:szCs w:val="24"/>
          <w:lang w:val="en-US"/>
        </w:rPr>
        <w:t xml:space="preserve"> Necrotizing fasciitis: a fourteen-year retrospective study of 163 consecutive patients. </w:t>
      </w:r>
      <w:r w:rsidRPr="00BC561B">
        <w:rPr>
          <w:rFonts w:ascii="Calibri" w:hAnsi="Calibri" w:cs="Calibri"/>
          <w:i/>
          <w:iCs/>
          <w:noProof/>
          <w:sz w:val="20"/>
          <w:szCs w:val="24"/>
          <w:lang w:val="en-US"/>
        </w:rPr>
        <w:t>Am. Surg.</w:t>
      </w:r>
      <w:r w:rsidRPr="00BC561B">
        <w:rPr>
          <w:rFonts w:ascii="Calibri" w:hAnsi="Calibri" w:cs="Calibri"/>
          <w:noProof/>
          <w:sz w:val="20"/>
          <w:szCs w:val="24"/>
          <w:lang w:val="en-US"/>
        </w:rPr>
        <w:t xml:space="preserve"> </w:t>
      </w:r>
      <w:r w:rsidRPr="00BC561B">
        <w:rPr>
          <w:rFonts w:ascii="Calibri" w:hAnsi="Calibri" w:cs="Calibri"/>
          <w:bCs/>
          <w:noProof/>
          <w:sz w:val="20"/>
          <w:szCs w:val="24"/>
          <w:lang w:val="en-US"/>
        </w:rPr>
        <w:t>68</w:t>
      </w:r>
      <w:r w:rsidRPr="00BC561B">
        <w:rPr>
          <w:rFonts w:ascii="Calibri" w:hAnsi="Calibri" w:cs="Calibri"/>
          <w:noProof/>
          <w:sz w:val="20"/>
          <w:szCs w:val="24"/>
          <w:lang w:val="en-US"/>
        </w:rPr>
        <w:t>, 109–16 (2002).</w:t>
      </w:r>
    </w:p>
    <w:p w14:paraId="5B787A50" w14:textId="77777777" w:rsidR="00F04EBB" w:rsidRPr="00BC561B" w:rsidRDefault="00F04EBB" w:rsidP="00F04EBB">
      <w:pPr>
        <w:widowControl w:val="0"/>
        <w:autoSpaceDE w:val="0"/>
        <w:autoSpaceDN w:val="0"/>
        <w:adjustRightInd w:val="0"/>
        <w:spacing w:line="240" w:lineRule="auto"/>
        <w:ind w:left="640" w:hanging="640"/>
        <w:rPr>
          <w:rFonts w:ascii="Calibri" w:hAnsi="Calibri" w:cs="Calibri"/>
          <w:noProof/>
          <w:sz w:val="20"/>
          <w:szCs w:val="24"/>
          <w:lang w:val="en-US"/>
        </w:rPr>
      </w:pPr>
      <w:r w:rsidRPr="00BC561B">
        <w:rPr>
          <w:rFonts w:ascii="Calibri" w:hAnsi="Calibri" w:cs="Calibri"/>
          <w:noProof/>
          <w:sz w:val="20"/>
          <w:szCs w:val="24"/>
          <w:lang w:val="en-US"/>
        </w:rPr>
        <w:t>4.</w:t>
      </w:r>
      <w:r w:rsidRPr="00BC561B">
        <w:rPr>
          <w:rFonts w:ascii="Calibri" w:hAnsi="Calibri" w:cs="Calibri"/>
          <w:noProof/>
          <w:sz w:val="20"/>
          <w:szCs w:val="24"/>
          <w:lang w:val="en-US"/>
        </w:rPr>
        <w:tab/>
        <w:t xml:space="preserve">Chan, T., Yaghoubian, A., Rosing, D., Kaji, A. &amp; de Virgilio, C. Low sensitivity of physical examination findings in necrotizing soft tissue infection is improved with laboratory values: a prospective study. </w:t>
      </w:r>
      <w:r w:rsidRPr="00BC561B">
        <w:rPr>
          <w:rFonts w:ascii="Calibri" w:hAnsi="Calibri" w:cs="Calibri"/>
          <w:i/>
          <w:iCs/>
          <w:noProof/>
          <w:sz w:val="20"/>
          <w:szCs w:val="24"/>
          <w:lang w:val="en-US"/>
        </w:rPr>
        <w:t>Am. J. Surg.</w:t>
      </w:r>
      <w:r w:rsidRPr="00BC561B">
        <w:rPr>
          <w:rFonts w:ascii="Calibri" w:hAnsi="Calibri" w:cs="Calibri"/>
          <w:noProof/>
          <w:sz w:val="20"/>
          <w:szCs w:val="24"/>
          <w:lang w:val="en-US"/>
        </w:rPr>
        <w:t xml:space="preserve"> </w:t>
      </w:r>
      <w:r w:rsidRPr="00BC561B">
        <w:rPr>
          <w:rFonts w:ascii="Calibri" w:hAnsi="Calibri" w:cs="Calibri"/>
          <w:bCs/>
          <w:noProof/>
          <w:sz w:val="20"/>
          <w:szCs w:val="24"/>
          <w:lang w:val="en-US"/>
        </w:rPr>
        <w:t>196</w:t>
      </w:r>
      <w:r w:rsidRPr="00BC561B">
        <w:rPr>
          <w:rFonts w:ascii="Calibri" w:hAnsi="Calibri" w:cs="Calibri"/>
          <w:noProof/>
          <w:sz w:val="20"/>
          <w:szCs w:val="24"/>
          <w:lang w:val="en-US"/>
        </w:rPr>
        <w:t>, 926–930 (2008).</w:t>
      </w:r>
    </w:p>
    <w:p w14:paraId="37F92AC7" w14:textId="77777777" w:rsidR="00F04EBB" w:rsidRPr="00BC561B" w:rsidRDefault="00F04EBB" w:rsidP="00F04EBB">
      <w:pPr>
        <w:widowControl w:val="0"/>
        <w:autoSpaceDE w:val="0"/>
        <w:autoSpaceDN w:val="0"/>
        <w:adjustRightInd w:val="0"/>
        <w:spacing w:line="240" w:lineRule="auto"/>
        <w:ind w:left="640" w:hanging="640"/>
        <w:rPr>
          <w:rFonts w:ascii="Calibri" w:hAnsi="Calibri" w:cs="Calibri"/>
          <w:noProof/>
          <w:sz w:val="20"/>
          <w:szCs w:val="24"/>
          <w:lang w:val="en-US"/>
        </w:rPr>
      </w:pPr>
      <w:r w:rsidRPr="00BC561B">
        <w:rPr>
          <w:rFonts w:ascii="Calibri" w:hAnsi="Calibri" w:cs="Calibri"/>
          <w:noProof/>
          <w:sz w:val="20"/>
          <w:szCs w:val="24"/>
          <w:lang w:val="en-US"/>
        </w:rPr>
        <w:t>5.</w:t>
      </w:r>
      <w:r w:rsidRPr="00BC561B">
        <w:rPr>
          <w:rFonts w:ascii="Calibri" w:hAnsi="Calibri" w:cs="Calibri"/>
          <w:noProof/>
          <w:sz w:val="20"/>
          <w:szCs w:val="24"/>
          <w:lang w:val="en-US"/>
        </w:rPr>
        <w:tab/>
        <w:t xml:space="preserve">Gonzalez, M. H. Necrotizing fasciitis and gangrene of the upper extremity. </w:t>
      </w:r>
      <w:r w:rsidRPr="00BC561B">
        <w:rPr>
          <w:rFonts w:ascii="Calibri" w:hAnsi="Calibri" w:cs="Calibri"/>
          <w:i/>
          <w:iCs/>
          <w:noProof/>
          <w:sz w:val="20"/>
          <w:szCs w:val="24"/>
          <w:lang w:val="en-US"/>
        </w:rPr>
        <w:t>Hand Clin.</w:t>
      </w:r>
      <w:r w:rsidRPr="00BC561B">
        <w:rPr>
          <w:rFonts w:ascii="Calibri" w:hAnsi="Calibri" w:cs="Calibri"/>
          <w:noProof/>
          <w:sz w:val="20"/>
          <w:szCs w:val="24"/>
          <w:lang w:val="en-US"/>
        </w:rPr>
        <w:t xml:space="preserve"> </w:t>
      </w:r>
      <w:r w:rsidRPr="00BC561B">
        <w:rPr>
          <w:rFonts w:ascii="Calibri" w:hAnsi="Calibri" w:cs="Calibri"/>
          <w:bCs/>
          <w:noProof/>
          <w:sz w:val="20"/>
          <w:szCs w:val="24"/>
          <w:lang w:val="en-US"/>
        </w:rPr>
        <w:t>14</w:t>
      </w:r>
      <w:r w:rsidRPr="00BC561B">
        <w:rPr>
          <w:rFonts w:ascii="Calibri" w:hAnsi="Calibri" w:cs="Calibri"/>
          <w:noProof/>
          <w:sz w:val="20"/>
          <w:szCs w:val="24"/>
          <w:lang w:val="en-US"/>
        </w:rPr>
        <w:t>, 635–45, ix (1998).</w:t>
      </w:r>
    </w:p>
    <w:p w14:paraId="6CEAD45B" w14:textId="77777777" w:rsidR="00F04EBB" w:rsidRPr="00BC561B" w:rsidRDefault="00F04EBB" w:rsidP="00F04EBB">
      <w:pPr>
        <w:widowControl w:val="0"/>
        <w:autoSpaceDE w:val="0"/>
        <w:autoSpaceDN w:val="0"/>
        <w:adjustRightInd w:val="0"/>
        <w:spacing w:line="240" w:lineRule="auto"/>
        <w:ind w:left="640" w:hanging="640"/>
        <w:rPr>
          <w:rFonts w:ascii="Calibri" w:hAnsi="Calibri" w:cs="Calibri"/>
          <w:noProof/>
          <w:sz w:val="20"/>
          <w:szCs w:val="24"/>
          <w:lang w:val="en-US"/>
        </w:rPr>
      </w:pPr>
      <w:r w:rsidRPr="00BC561B">
        <w:rPr>
          <w:rFonts w:ascii="Calibri" w:hAnsi="Calibri" w:cs="Calibri"/>
          <w:noProof/>
          <w:sz w:val="20"/>
          <w:szCs w:val="24"/>
          <w:lang w:val="en-US"/>
        </w:rPr>
        <w:t>6.</w:t>
      </w:r>
      <w:r w:rsidRPr="00BC561B">
        <w:rPr>
          <w:rFonts w:ascii="Calibri" w:hAnsi="Calibri" w:cs="Calibri"/>
          <w:noProof/>
          <w:sz w:val="20"/>
          <w:szCs w:val="24"/>
          <w:lang w:val="en-US"/>
        </w:rPr>
        <w:tab/>
        <w:t xml:space="preserve">Wong, C.-H., Khin, L.-W., Heng, K.-S., Tan, K.-C. &amp; Low, C.-O. The LRINEC (Laboratory Risk Indicator for Necrotizing Fasciitis) score: a tool for distinguishing necrotizing fasciitis from other soft tissue infections. </w:t>
      </w:r>
      <w:r w:rsidRPr="00BC561B">
        <w:rPr>
          <w:rFonts w:ascii="Calibri" w:hAnsi="Calibri" w:cs="Calibri"/>
          <w:i/>
          <w:iCs/>
          <w:noProof/>
          <w:sz w:val="20"/>
          <w:szCs w:val="24"/>
          <w:lang w:val="en-US"/>
        </w:rPr>
        <w:t>Crit. Care Med.</w:t>
      </w:r>
      <w:r w:rsidRPr="00BC561B">
        <w:rPr>
          <w:rFonts w:ascii="Calibri" w:hAnsi="Calibri" w:cs="Calibri"/>
          <w:noProof/>
          <w:sz w:val="20"/>
          <w:szCs w:val="24"/>
          <w:lang w:val="en-US"/>
        </w:rPr>
        <w:t xml:space="preserve"> </w:t>
      </w:r>
      <w:r w:rsidRPr="00BC561B">
        <w:rPr>
          <w:rFonts w:ascii="Calibri" w:hAnsi="Calibri" w:cs="Calibri"/>
          <w:bCs/>
          <w:noProof/>
          <w:sz w:val="20"/>
          <w:szCs w:val="24"/>
          <w:lang w:val="en-US"/>
        </w:rPr>
        <w:t>32</w:t>
      </w:r>
      <w:r w:rsidRPr="00BC561B">
        <w:rPr>
          <w:rFonts w:ascii="Calibri" w:hAnsi="Calibri" w:cs="Calibri"/>
          <w:noProof/>
          <w:sz w:val="20"/>
          <w:szCs w:val="24"/>
          <w:lang w:val="en-US"/>
        </w:rPr>
        <w:t>, 1535–41 (2004).</w:t>
      </w:r>
    </w:p>
    <w:p w14:paraId="07E18C84" w14:textId="77777777" w:rsidR="00F04EBB" w:rsidRPr="00BC561B" w:rsidRDefault="00F04EBB" w:rsidP="00F04EBB">
      <w:pPr>
        <w:widowControl w:val="0"/>
        <w:autoSpaceDE w:val="0"/>
        <w:autoSpaceDN w:val="0"/>
        <w:adjustRightInd w:val="0"/>
        <w:spacing w:line="240" w:lineRule="auto"/>
        <w:ind w:left="640" w:hanging="640"/>
        <w:rPr>
          <w:rFonts w:ascii="Calibri" w:hAnsi="Calibri" w:cs="Calibri"/>
          <w:noProof/>
          <w:sz w:val="20"/>
          <w:szCs w:val="24"/>
          <w:lang w:val="en-US"/>
        </w:rPr>
      </w:pPr>
      <w:r w:rsidRPr="00BC561B">
        <w:rPr>
          <w:rFonts w:ascii="Calibri" w:hAnsi="Calibri" w:cs="Calibri"/>
          <w:noProof/>
          <w:sz w:val="20"/>
          <w:szCs w:val="24"/>
          <w:lang w:val="en-US"/>
        </w:rPr>
        <w:t>7.</w:t>
      </w:r>
      <w:r w:rsidRPr="00BC561B">
        <w:rPr>
          <w:rFonts w:ascii="Calibri" w:hAnsi="Calibri" w:cs="Calibri"/>
          <w:noProof/>
          <w:sz w:val="20"/>
          <w:szCs w:val="24"/>
          <w:lang w:val="en-US"/>
        </w:rPr>
        <w:tab/>
        <w:t xml:space="preserve">Tsai, Y.-H., Hsu, R. W.-W., Huang, K.-C. &amp; Huang, T.-J. Laboratory Indicators for Early Detection and Surgical Treatment of Vibrio Necrotizing Fasciitis. </w:t>
      </w:r>
      <w:r w:rsidRPr="00BC561B">
        <w:rPr>
          <w:rFonts w:ascii="Calibri" w:hAnsi="Calibri" w:cs="Calibri"/>
          <w:i/>
          <w:iCs/>
          <w:noProof/>
          <w:sz w:val="20"/>
          <w:szCs w:val="24"/>
          <w:lang w:val="en-US"/>
        </w:rPr>
        <w:t>Clin. Orthop. Relat. Res.</w:t>
      </w:r>
      <w:r w:rsidRPr="00BC561B">
        <w:rPr>
          <w:rFonts w:ascii="Calibri" w:hAnsi="Calibri" w:cs="Calibri"/>
          <w:noProof/>
          <w:sz w:val="20"/>
          <w:szCs w:val="24"/>
          <w:lang w:val="en-US"/>
        </w:rPr>
        <w:t xml:space="preserve"> </w:t>
      </w:r>
      <w:r w:rsidRPr="00BC561B">
        <w:rPr>
          <w:rFonts w:ascii="Calibri" w:hAnsi="Calibri" w:cs="Calibri"/>
          <w:bCs/>
          <w:noProof/>
          <w:sz w:val="20"/>
          <w:szCs w:val="24"/>
          <w:lang w:val="en-US"/>
        </w:rPr>
        <w:t>468</w:t>
      </w:r>
      <w:r w:rsidRPr="00BC561B">
        <w:rPr>
          <w:rFonts w:ascii="Calibri" w:hAnsi="Calibri" w:cs="Calibri"/>
          <w:noProof/>
          <w:sz w:val="20"/>
          <w:szCs w:val="24"/>
          <w:lang w:val="en-US"/>
        </w:rPr>
        <w:t>, 2230–2237 (2010).</w:t>
      </w:r>
    </w:p>
    <w:p w14:paraId="72D85554" w14:textId="77777777" w:rsidR="00F04EBB" w:rsidRPr="00BC561B" w:rsidRDefault="00F04EBB" w:rsidP="00F04EBB">
      <w:pPr>
        <w:widowControl w:val="0"/>
        <w:autoSpaceDE w:val="0"/>
        <w:autoSpaceDN w:val="0"/>
        <w:adjustRightInd w:val="0"/>
        <w:spacing w:line="240" w:lineRule="auto"/>
        <w:ind w:left="640" w:hanging="640"/>
        <w:rPr>
          <w:rFonts w:ascii="Calibri" w:hAnsi="Calibri" w:cs="Calibri"/>
          <w:noProof/>
          <w:sz w:val="20"/>
          <w:szCs w:val="24"/>
          <w:lang w:val="en-US"/>
        </w:rPr>
      </w:pPr>
      <w:r w:rsidRPr="00BC561B">
        <w:rPr>
          <w:rFonts w:ascii="Calibri" w:hAnsi="Calibri" w:cs="Calibri"/>
          <w:noProof/>
          <w:sz w:val="20"/>
          <w:szCs w:val="24"/>
          <w:lang w:val="en-US"/>
        </w:rPr>
        <w:t>8.</w:t>
      </w:r>
      <w:r w:rsidRPr="00BC561B">
        <w:rPr>
          <w:rFonts w:ascii="Calibri" w:hAnsi="Calibri" w:cs="Calibri"/>
          <w:noProof/>
          <w:sz w:val="20"/>
          <w:szCs w:val="24"/>
          <w:lang w:val="en-US"/>
        </w:rPr>
        <w:tab/>
        <w:t xml:space="preserve">Chauhan, A., Wigton, M. D. &amp; Palmer, B. A. Necrotizing Fasciitis. </w:t>
      </w:r>
      <w:r w:rsidRPr="00BC561B">
        <w:rPr>
          <w:rFonts w:ascii="Calibri" w:hAnsi="Calibri" w:cs="Calibri"/>
          <w:i/>
          <w:iCs/>
          <w:noProof/>
          <w:sz w:val="20"/>
          <w:szCs w:val="24"/>
          <w:lang w:val="en-US"/>
        </w:rPr>
        <w:t>J. Hand Surg. Am.</w:t>
      </w:r>
      <w:r w:rsidRPr="00BC561B">
        <w:rPr>
          <w:rFonts w:ascii="Calibri" w:hAnsi="Calibri" w:cs="Calibri"/>
          <w:noProof/>
          <w:sz w:val="20"/>
          <w:szCs w:val="24"/>
          <w:lang w:val="en-US"/>
        </w:rPr>
        <w:t xml:space="preserve"> </w:t>
      </w:r>
      <w:r w:rsidRPr="00BC561B">
        <w:rPr>
          <w:rFonts w:ascii="Calibri" w:hAnsi="Calibri" w:cs="Calibri"/>
          <w:bCs/>
          <w:noProof/>
          <w:sz w:val="20"/>
          <w:szCs w:val="24"/>
          <w:lang w:val="en-US"/>
        </w:rPr>
        <w:t>39</w:t>
      </w:r>
      <w:r w:rsidRPr="00BC561B">
        <w:rPr>
          <w:rFonts w:ascii="Calibri" w:hAnsi="Calibri" w:cs="Calibri"/>
          <w:noProof/>
          <w:sz w:val="20"/>
          <w:szCs w:val="24"/>
          <w:lang w:val="en-US"/>
        </w:rPr>
        <w:t>, 1598–1601 (2014).</w:t>
      </w:r>
    </w:p>
    <w:p w14:paraId="704E6C40" w14:textId="77777777" w:rsidR="00F04EBB" w:rsidRPr="00BC561B" w:rsidRDefault="00F04EBB" w:rsidP="00F04EBB">
      <w:pPr>
        <w:widowControl w:val="0"/>
        <w:autoSpaceDE w:val="0"/>
        <w:autoSpaceDN w:val="0"/>
        <w:adjustRightInd w:val="0"/>
        <w:spacing w:line="240" w:lineRule="auto"/>
        <w:ind w:left="640" w:hanging="640"/>
        <w:rPr>
          <w:rFonts w:ascii="Calibri" w:hAnsi="Calibri" w:cs="Calibri"/>
          <w:noProof/>
          <w:sz w:val="20"/>
          <w:szCs w:val="24"/>
          <w:lang w:val="en-US"/>
        </w:rPr>
      </w:pPr>
      <w:r w:rsidRPr="00BC561B">
        <w:rPr>
          <w:rFonts w:ascii="Calibri" w:hAnsi="Calibri" w:cs="Calibri"/>
          <w:noProof/>
          <w:sz w:val="20"/>
          <w:szCs w:val="24"/>
          <w:lang w:val="en-US"/>
        </w:rPr>
        <w:t>9.</w:t>
      </w:r>
      <w:r w:rsidRPr="00BC561B">
        <w:rPr>
          <w:rFonts w:ascii="Calibri" w:hAnsi="Calibri" w:cs="Calibri"/>
          <w:noProof/>
          <w:sz w:val="20"/>
          <w:szCs w:val="24"/>
          <w:lang w:val="en-US"/>
        </w:rPr>
        <w:tab/>
        <w:t xml:space="preserve">Angoules, A. G. </w:t>
      </w:r>
      <w:r w:rsidRPr="00BC561B">
        <w:rPr>
          <w:rFonts w:ascii="Calibri" w:hAnsi="Calibri" w:cs="Calibri"/>
          <w:i/>
          <w:iCs/>
          <w:noProof/>
          <w:sz w:val="20"/>
          <w:szCs w:val="24"/>
          <w:lang w:val="en-US"/>
        </w:rPr>
        <w:t>et al.</w:t>
      </w:r>
      <w:r w:rsidRPr="00BC561B">
        <w:rPr>
          <w:rFonts w:ascii="Calibri" w:hAnsi="Calibri" w:cs="Calibri"/>
          <w:noProof/>
          <w:sz w:val="20"/>
          <w:szCs w:val="24"/>
          <w:lang w:val="en-US"/>
        </w:rPr>
        <w:t xml:space="preserve"> Necrotising fasciitis of upper and lower limb: A systematic review. </w:t>
      </w:r>
      <w:r w:rsidRPr="00BC561B">
        <w:rPr>
          <w:rFonts w:ascii="Calibri" w:hAnsi="Calibri" w:cs="Calibri"/>
          <w:i/>
          <w:iCs/>
          <w:noProof/>
          <w:sz w:val="20"/>
          <w:szCs w:val="24"/>
          <w:lang w:val="en-US"/>
        </w:rPr>
        <w:t>Injury</w:t>
      </w:r>
      <w:r w:rsidRPr="00BC561B">
        <w:rPr>
          <w:rFonts w:ascii="Calibri" w:hAnsi="Calibri" w:cs="Calibri"/>
          <w:noProof/>
          <w:sz w:val="20"/>
          <w:szCs w:val="24"/>
          <w:lang w:val="en-US"/>
        </w:rPr>
        <w:t xml:space="preserve"> </w:t>
      </w:r>
      <w:r w:rsidRPr="00BC561B">
        <w:rPr>
          <w:rFonts w:ascii="Calibri" w:hAnsi="Calibri" w:cs="Calibri"/>
          <w:bCs/>
          <w:noProof/>
          <w:sz w:val="20"/>
          <w:szCs w:val="24"/>
          <w:lang w:val="en-US"/>
        </w:rPr>
        <w:t>38</w:t>
      </w:r>
      <w:r w:rsidRPr="00BC561B">
        <w:rPr>
          <w:rFonts w:ascii="Calibri" w:hAnsi="Calibri" w:cs="Calibri"/>
          <w:noProof/>
          <w:sz w:val="20"/>
          <w:szCs w:val="24"/>
          <w:lang w:val="en-US"/>
        </w:rPr>
        <w:t>, S18–S25 (2007).</w:t>
      </w:r>
    </w:p>
    <w:p w14:paraId="0B9BD375" w14:textId="77777777" w:rsidR="00F04EBB" w:rsidRPr="00BC561B" w:rsidRDefault="00F04EBB" w:rsidP="00F04EBB">
      <w:pPr>
        <w:widowControl w:val="0"/>
        <w:autoSpaceDE w:val="0"/>
        <w:autoSpaceDN w:val="0"/>
        <w:adjustRightInd w:val="0"/>
        <w:spacing w:line="240" w:lineRule="auto"/>
        <w:ind w:left="640" w:hanging="640"/>
        <w:rPr>
          <w:rFonts w:ascii="Calibri" w:hAnsi="Calibri" w:cs="Calibri"/>
          <w:noProof/>
          <w:sz w:val="20"/>
          <w:szCs w:val="24"/>
          <w:lang w:val="en-US"/>
        </w:rPr>
      </w:pPr>
      <w:r w:rsidRPr="00BC561B">
        <w:rPr>
          <w:rFonts w:ascii="Calibri" w:hAnsi="Calibri" w:cs="Calibri"/>
          <w:noProof/>
          <w:sz w:val="20"/>
          <w:szCs w:val="24"/>
          <w:lang w:val="en-US"/>
        </w:rPr>
        <w:t>10.</w:t>
      </w:r>
      <w:r w:rsidRPr="00BC561B">
        <w:rPr>
          <w:rFonts w:ascii="Calibri" w:hAnsi="Calibri" w:cs="Calibri"/>
          <w:noProof/>
          <w:sz w:val="20"/>
          <w:szCs w:val="24"/>
          <w:lang w:val="en-US"/>
        </w:rPr>
        <w:tab/>
        <w:t xml:space="preserve">Elliott, D. C., Kufera, J. A. &amp; Myers, R. A. Necrotizing soft tissue infections. Risk factors for mortality and strategies for management. </w:t>
      </w:r>
      <w:r w:rsidRPr="00BC561B">
        <w:rPr>
          <w:rFonts w:ascii="Calibri" w:hAnsi="Calibri" w:cs="Calibri"/>
          <w:i/>
          <w:iCs/>
          <w:noProof/>
          <w:sz w:val="20"/>
          <w:szCs w:val="24"/>
          <w:lang w:val="en-US"/>
        </w:rPr>
        <w:t>Ann. Surg.</w:t>
      </w:r>
      <w:r w:rsidRPr="00BC561B">
        <w:rPr>
          <w:rFonts w:ascii="Calibri" w:hAnsi="Calibri" w:cs="Calibri"/>
          <w:noProof/>
          <w:sz w:val="20"/>
          <w:szCs w:val="24"/>
          <w:lang w:val="en-US"/>
        </w:rPr>
        <w:t xml:space="preserve"> </w:t>
      </w:r>
      <w:r w:rsidRPr="00BC561B">
        <w:rPr>
          <w:rFonts w:ascii="Calibri" w:hAnsi="Calibri" w:cs="Calibri"/>
          <w:bCs/>
          <w:noProof/>
          <w:sz w:val="20"/>
          <w:szCs w:val="24"/>
          <w:lang w:val="en-US"/>
        </w:rPr>
        <w:t>224</w:t>
      </w:r>
      <w:r w:rsidRPr="00BC561B">
        <w:rPr>
          <w:rFonts w:ascii="Calibri" w:hAnsi="Calibri" w:cs="Calibri"/>
          <w:noProof/>
          <w:sz w:val="20"/>
          <w:szCs w:val="24"/>
          <w:lang w:val="en-US"/>
        </w:rPr>
        <w:t>, 672–83 (1996).</w:t>
      </w:r>
    </w:p>
    <w:p w14:paraId="740BDAE2" w14:textId="77777777" w:rsidR="00F04EBB" w:rsidRPr="00BC561B" w:rsidRDefault="00F04EBB" w:rsidP="00F04EBB">
      <w:pPr>
        <w:widowControl w:val="0"/>
        <w:autoSpaceDE w:val="0"/>
        <w:autoSpaceDN w:val="0"/>
        <w:adjustRightInd w:val="0"/>
        <w:spacing w:line="240" w:lineRule="auto"/>
        <w:ind w:left="640" w:hanging="640"/>
        <w:rPr>
          <w:rFonts w:ascii="Calibri" w:hAnsi="Calibri" w:cs="Calibri"/>
          <w:noProof/>
          <w:sz w:val="20"/>
          <w:szCs w:val="24"/>
          <w:lang w:val="en-US"/>
        </w:rPr>
      </w:pPr>
      <w:r w:rsidRPr="00BC561B">
        <w:rPr>
          <w:rFonts w:ascii="Calibri" w:hAnsi="Calibri" w:cs="Calibri"/>
          <w:noProof/>
          <w:sz w:val="20"/>
          <w:szCs w:val="24"/>
          <w:lang w:val="en-US"/>
        </w:rPr>
        <w:t>11.</w:t>
      </w:r>
      <w:r w:rsidRPr="00BC561B">
        <w:rPr>
          <w:rFonts w:ascii="Calibri" w:hAnsi="Calibri" w:cs="Calibri"/>
          <w:noProof/>
          <w:sz w:val="20"/>
          <w:szCs w:val="24"/>
          <w:lang w:val="en-US"/>
        </w:rPr>
        <w:tab/>
        <w:t xml:space="preserve">Stevens, D. L. </w:t>
      </w:r>
      <w:r w:rsidRPr="00BC561B">
        <w:rPr>
          <w:rFonts w:ascii="Calibri" w:hAnsi="Calibri" w:cs="Calibri"/>
          <w:i/>
          <w:iCs/>
          <w:noProof/>
          <w:sz w:val="20"/>
          <w:szCs w:val="24"/>
          <w:lang w:val="en-US"/>
        </w:rPr>
        <w:t>et al.</w:t>
      </w:r>
      <w:r w:rsidRPr="00BC561B">
        <w:rPr>
          <w:rFonts w:ascii="Calibri" w:hAnsi="Calibri" w:cs="Calibri"/>
          <w:noProof/>
          <w:sz w:val="20"/>
          <w:szCs w:val="24"/>
          <w:lang w:val="en-US"/>
        </w:rPr>
        <w:t xml:space="preserve"> Executive Summary: Practice Guidelines for the Diagnosis and Management of Skin and Soft Tissue Infections: 2014 Update by the Infectious Diseases Society of America. </w:t>
      </w:r>
      <w:r w:rsidRPr="00BC561B">
        <w:rPr>
          <w:rFonts w:ascii="Calibri" w:hAnsi="Calibri" w:cs="Calibri"/>
          <w:i/>
          <w:iCs/>
          <w:noProof/>
          <w:sz w:val="20"/>
          <w:szCs w:val="24"/>
          <w:lang w:val="en-US"/>
        </w:rPr>
        <w:t>Clin. Infect. Dis.</w:t>
      </w:r>
      <w:r w:rsidRPr="00BC561B">
        <w:rPr>
          <w:rFonts w:ascii="Calibri" w:hAnsi="Calibri" w:cs="Calibri"/>
          <w:noProof/>
          <w:sz w:val="20"/>
          <w:szCs w:val="24"/>
          <w:lang w:val="en-US"/>
        </w:rPr>
        <w:t xml:space="preserve"> </w:t>
      </w:r>
      <w:r w:rsidRPr="00BC561B">
        <w:rPr>
          <w:rFonts w:ascii="Calibri" w:hAnsi="Calibri" w:cs="Calibri"/>
          <w:bCs/>
          <w:noProof/>
          <w:sz w:val="20"/>
          <w:szCs w:val="24"/>
          <w:lang w:val="en-US"/>
        </w:rPr>
        <w:t>59</w:t>
      </w:r>
      <w:r w:rsidRPr="00BC561B">
        <w:rPr>
          <w:rFonts w:ascii="Calibri" w:hAnsi="Calibri" w:cs="Calibri"/>
          <w:noProof/>
          <w:sz w:val="20"/>
          <w:szCs w:val="24"/>
          <w:lang w:val="en-US"/>
        </w:rPr>
        <w:t>, 147–159 (2014).</w:t>
      </w:r>
    </w:p>
    <w:p w14:paraId="05D916D4" w14:textId="77777777" w:rsidR="00F04EBB" w:rsidRPr="00BC561B" w:rsidRDefault="00F04EBB" w:rsidP="00F04EBB">
      <w:pPr>
        <w:widowControl w:val="0"/>
        <w:autoSpaceDE w:val="0"/>
        <w:autoSpaceDN w:val="0"/>
        <w:adjustRightInd w:val="0"/>
        <w:spacing w:line="240" w:lineRule="auto"/>
        <w:ind w:left="640" w:hanging="640"/>
        <w:rPr>
          <w:rFonts w:ascii="Calibri" w:hAnsi="Calibri" w:cs="Calibri"/>
          <w:noProof/>
          <w:sz w:val="20"/>
          <w:szCs w:val="24"/>
          <w:lang w:val="en-US"/>
        </w:rPr>
      </w:pPr>
      <w:r w:rsidRPr="00BC561B">
        <w:rPr>
          <w:rFonts w:ascii="Calibri" w:hAnsi="Calibri" w:cs="Calibri"/>
          <w:noProof/>
          <w:sz w:val="20"/>
          <w:szCs w:val="24"/>
          <w:lang w:val="en-US"/>
        </w:rPr>
        <w:t>12.</w:t>
      </w:r>
      <w:r w:rsidRPr="00BC561B">
        <w:rPr>
          <w:rFonts w:ascii="Calibri" w:hAnsi="Calibri" w:cs="Calibri"/>
          <w:noProof/>
          <w:sz w:val="20"/>
          <w:szCs w:val="24"/>
          <w:lang w:val="en-US"/>
        </w:rPr>
        <w:tab/>
        <w:t xml:space="preserve">Fontes, R. A., Ogilvie, C. M. &amp; Miclau, T. Necrotizing soft-tissue infections. </w:t>
      </w:r>
      <w:r w:rsidRPr="00BC561B">
        <w:rPr>
          <w:rFonts w:ascii="Calibri" w:hAnsi="Calibri" w:cs="Calibri"/>
          <w:i/>
          <w:iCs/>
          <w:noProof/>
          <w:sz w:val="20"/>
          <w:szCs w:val="24"/>
          <w:lang w:val="en-US"/>
        </w:rPr>
        <w:t>J. Am. Acad. Orthop. Surg.</w:t>
      </w:r>
      <w:r w:rsidRPr="00BC561B">
        <w:rPr>
          <w:rFonts w:ascii="Calibri" w:hAnsi="Calibri" w:cs="Calibri"/>
          <w:noProof/>
          <w:sz w:val="20"/>
          <w:szCs w:val="24"/>
          <w:lang w:val="en-US"/>
        </w:rPr>
        <w:t xml:space="preserve"> </w:t>
      </w:r>
      <w:r w:rsidRPr="00BC561B">
        <w:rPr>
          <w:rFonts w:ascii="Calibri" w:hAnsi="Calibri" w:cs="Calibri"/>
          <w:bCs/>
          <w:noProof/>
          <w:sz w:val="20"/>
          <w:szCs w:val="24"/>
          <w:lang w:val="en-US"/>
        </w:rPr>
        <w:t>8</w:t>
      </w:r>
      <w:r w:rsidRPr="00BC561B">
        <w:rPr>
          <w:rFonts w:ascii="Calibri" w:hAnsi="Calibri" w:cs="Calibri"/>
          <w:noProof/>
          <w:sz w:val="20"/>
          <w:szCs w:val="24"/>
          <w:lang w:val="en-US"/>
        </w:rPr>
        <w:t>, 151–8 (2000).</w:t>
      </w:r>
    </w:p>
    <w:p w14:paraId="744D66E7" w14:textId="77777777" w:rsidR="00F04EBB" w:rsidRPr="00BC561B" w:rsidRDefault="00F04EBB" w:rsidP="00F04EBB">
      <w:pPr>
        <w:widowControl w:val="0"/>
        <w:autoSpaceDE w:val="0"/>
        <w:autoSpaceDN w:val="0"/>
        <w:adjustRightInd w:val="0"/>
        <w:spacing w:line="240" w:lineRule="auto"/>
        <w:ind w:left="640" w:hanging="640"/>
        <w:rPr>
          <w:rFonts w:ascii="Calibri" w:hAnsi="Calibri" w:cs="Calibri"/>
          <w:noProof/>
          <w:sz w:val="20"/>
          <w:szCs w:val="24"/>
          <w:lang w:val="en-US"/>
        </w:rPr>
      </w:pPr>
      <w:r w:rsidRPr="00BC561B">
        <w:rPr>
          <w:rFonts w:ascii="Calibri" w:hAnsi="Calibri" w:cs="Calibri"/>
          <w:noProof/>
          <w:sz w:val="20"/>
          <w:szCs w:val="24"/>
          <w:lang w:val="en-US"/>
        </w:rPr>
        <w:t>13.</w:t>
      </w:r>
      <w:r w:rsidRPr="00BC561B">
        <w:rPr>
          <w:rFonts w:ascii="Calibri" w:hAnsi="Calibri" w:cs="Calibri"/>
          <w:noProof/>
          <w:sz w:val="20"/>
          <w:szCs w:val="24"/>
          <w:lang w:val="en-US"/>
        </w:rPr>
        <w:tab/>
        <w:t xml:space="preserve">Morris, J. G. </w:t>
      </w:r>
      <w:r w:rsidRPr="00BC561B">
        <w:rPr>
          <w:rFonts w:ascii="Calibri" w:hAnsi="Calibri" w:cs="Calibri"/>
          <w:i/>
          <w:iCs/>
          <w:noProof/>
          <w:sz w:val="20"/>
          <w:szCs w:val="24"/>
          <w:lang w:val="en-US"/>
        </w:rPr>
        <w:t>et al.</w:t>
      </w:r>
      <w:r w:rsidRPr="00BC561B">
        <w:rPr>
          <w:rFonts w:ascii="Calibri" w:hAnsi="Calibri" w:cs="Calibri"/>
          <w:noProof/>
          <w:sz w:val="20"/>
          <w:szCs w:val="24"/>
          <w:lang w:val="en-US"/>
        </w:rPr>
        <w:t xml:space="preserve"> Illness caused by Vibrio damsela and Vibrio hollisae. </w:t>
      </w:r>
      <w:r w:rsidRPr="00BC561B">
        <w:rPr>
          <w:rFonts w:ascii="Calibri" w:hAnsi="Calibri" w:cs="Calibri"/>
          <w:i/>
          <w:iCs/>
          <w:noProof/>
          <w:sz w:val="20"/>
          <w:szCs w:val="24"/>
          <w:lang w:val="en-US"/>
        </w:rPr>
        <w:t>Lancet (London, England)</w:t>
      </w:r>
      <w:r w:rsidRPr="00BC561B">
        <w:rPr>
          <w:rFonts w:ascii="Calibri" w:hAnsi="Calibri" w:cs="Calibri"/>
          <w:noProof/>
          <w:sz w:val="20"/>
          <w:szCs w:val="24"/>
          <w:lang w:val="en-US"/>
        </w:rPr>
        <w:t xml:space="preserve"> </w:t>
      </w:r>
      <w:r w:rsidRPr="00BC561B">
        <w:rPr>
          <w:rFonts w:ascii="Calibri" w:hAnsi="Calibri" w:cs="Calibri"/>
          <w:bCs/>
          <w:noProof/>
          <w:sz w:val="20"/>
          <w:szCs w:val="24"/>
          <w:lang w:val="en-US"/>
        </w:rPr>
        <w:t>1</w:t>
      </w:r>
      <w:r w:rsidRPr="00BC561B">
        <w:rPr>
          <w:rFonts w:ascii="Calibri" w:hAnsi="Calibri" w:cs="Calibri"/>
          <w:noProof/>
          <w:sz w:val="20"/>
          <w:szCs w:val="24"/>
          <w:lang w:val="en-US"/>
        </w:rPr>
        <w:t>, 1294–7 (1982).</w:t>
      </w:r>
    </w:p>
    <w:p w14:paraId="5871AC58" w14:textId="77777777" w:rsidR="00F04EBB" w:rsidRPr="00F04EBB" w:rsidRDefault="00F04EBB" w:rsidP="00F04EBB">
      <w:pPr>
        <w:widowControl w:val="0"/>
        <w:autoSpaceDE w:val="0"/>
        <w:autoSpaceDN w:val="0"/>
        <w:adjustRightInd w:val="0"/>
        <w:spacing w:line="240" w:lineRule="auto"/>
        <w:ind w:left="640" w:hanging="640"/>
        <w:rPr>
          <w:rFonts w:ascii="Calibri" w:hAnsi="Calibri" w:cs="Calibri"/>
          <w:noProof/>
          <w:sz w:val="20"/>
        </w:rPr>
      </w:pPr>
      <w:r w:rsidRPr="00BC561B">
        <w:rPr>
          <w:rFonts w:ascii="Calibri" w:hAnsi="Calibri" w:cs="Calibri"/>
          <w:noProof/>
          <w:sz w:val="20"/>
          <w:szCs w:val="24"/>
          <w:lang w:val="en-US"/>
        </w:rPr>
        <w:t>14.</w:t>
      </w:r>
      <w:r w:rsidRPr="00BC561B">
        <w:rPr>
          <w:rFonts w:ascii="Calibri" w:hAnsi="Calibri" w:cs="Calibri"/>
          <w:noProof/>
          <w:sz w:val="20"/>
          <w:szCs w:val="24"/>
          <w:lang w:val="en-US"/>
        </w:rPr>
        <w:tab/>
        <w:t xml:space="preserve">Hundenborn, J., Thurig, S., Kommerell, M., Haag, H. &amp; Nolte, O. Severe Wound Infection with Photobacterium damselae ssp. damselae and Vibrio harveyi, following a Laceration Injury in Marine Environment: A Case Report and Review of the Literature. </w:t>
      </w:r>
      <w:r w:rsidRPr="00F04EBB">
        <w:rPr>
          <w:rFonts w:ascii="Calibri" w:hAnsi="Calibri" w:cs="Calibri"/>
          <w:i/>
          <w:iCs/>
          <w:noProof/>
          <w:sz w:val="20"/>
          <w:szCs w:val="24"/>
        </w:rPr>
        <w:t>Case Rep. Med.</w:t>
      </w:r>
      <w:r w:rsidRPr="00F04EBB">
        <w:rPr>
          <w:rFonts w:ascii="Calibri" w:hAnsi="Calibri" w:cs="Calibri"/>
          <w:noProof/>
          <w:sz w:val="20"/>
          <w:szCs w:val="24"/>
        </w:rPr>
        <w:t xml:space="preserve"> </w:t>
      </w:r>
      <w:r w:rsidRPr="00F04EBB">
        <w:rPr>
          <w:rFonts w:ascii="Calibri" w:hAnsi="Calibri" w:cs="Calibri"/>
          <w:bCs/>
          <w:noProof/>
          <w:sz w:val="20"/>
          <w:szCs w:val="24"/>
        </w:rPr>
        <w:t>2013</w:t>
      </w:r>
      <w:r w:rsidRPr="00F04EBB">
        <w:rPr>
          <w:rFonts w:ascii="Calibri" w:hAnsi="Calibri" w:cs="Calibri"/>
          <w:noProof/>
          <w:sz w:val="20"/>
          <w:szCs w:val="24"/>
        </w:rPr>
        <w:t>, 610632 (2013).</w:t>
      </w:r>
    </w:p>
    <w:p w14:paraId="4AAE0DFE" w14:textId="77777777" w:rsidR="00773A0F" w:rsidRPr="00AF0D9E" w:rsidRDefault="00314CE1" w:rsidP="00220956">
      <w:pPr>
        <w:rPr>
          <w:sz w:val="20"/>
          <w:szCs w:val="20"/>
          <w:lang w:val="en-US"/>
        </w:rPr>
      </w:pPr>
      <w:r w:rsidRPr="00F04EBB">
        <w:rPr>
          <w:sz w:val="20"/>
          <w:szCs w:val="20"/>
          <w:lang w:val="en-US"/>
        </w:rPr>
        <w:fldChar w:fldCharType="end"/>
      </w:r>
    </w:p>
    <w:sectPr w:rsidR="00773A0F" w:rsidRPr="00AF0D9E" w:rsidSect="007C50A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38C68" w14:textId="77777777" w:rsidR="00286B30" w:rsidRDefault="00286B30" w:rsidP="00B212C2">
      <w:pPr>
        <w:spacing w:after="0" w:line="240" w:lineRule="auto"/>
      </w:pPr>
      <w:r>
        <w:separator/>
      </w:r>
    </w:p>
  </w:endnote>
  <w:endnote w:type="continuationSeparator" w:id="0">
    <w:p w14:paraId="187CD0C7" w14:textId="77777777" w:rsidR="00286B30" w:rsidRDefault="00286B30" w:rsidP="00B21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AC395" w14:textId="77777777" w:rsidR="00286B30" w:rsidRDefault="00286B30" w:rsidP="00B212C2">
      <w:pPr>
        <w:spacing w:after="0" w:line="240" w:lineRule="auto"/>
      </w:pPr>
      <w:r>
        <w:separator/>
      </w:r>
    </w:p>
  </w:footnote>
  <w:footnote w:type="continuationSeparator" w:id="0">
    <w:p w14:paraId="14AACC13" w14:textId="77777777" w:rsidR="00286B30" w:rsidRDefault="00286B30" w:rsidP="00B212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9C091F"/>
    <w:multiLevelType w:val="hybridMultilevel"/>
    <w:tmpl w:val="25024412"/>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5A9"/>
    <w:rsid w:val="000012E4"/>
    <w:rsid w:val="00011D0C"/>
    <w:rsid w:val="00025A53"/>
    <w:rsid w:val="0004472C"/>
    <w:rsid w:val="00091533"/>
    <w:rsid w:val="000B7AFD"/>
    <w:rsid w:val="00103856"/>
    <w:rsid w:val="0013652F"/>
    <w:rsid w:val="0014170D"/>
    <w:rsid w:val="0016621B"/>
    <w:rsid w:val="00194FE1"/>
    <w:rsid w:val="001A1FC9"/>
    <w:rsid w:val="001C022A"/>
    <w:rsid w:val="001F3841"/>
    <w:rsid w:val="00210F46"/>
    <w:rsid w:val="00220956"/>
    <w:rsid w:val="00220D15"/>
    <w:rsid w:val="002408B5"/>
    <w:rsid w:val="00242608"/>
    <w:rsid w:val="00276378"/>
    <w:rsid w:val="00283FCC"/>
    <w:rsid w:val="00286B30"/>
    <w:rsid w:val="002A1E4C"/>
    <w:rsid w:val="002B5329"/>
    <w:rsid w:val="002E3CFF"/>
    <w:rsid w:val="002F6E0E"/>
    <w:rsid w:val="003040D8"/>
    <w:rsid w:val="00314CE1"/>
    <w:rsid w:val="003305B0"/>
    <w:rsid w:val="003613C7"/>
    <w:rsid w:val="003A67A9"/>
    <w:rsid w:val="003C6A55"/>
    <w:rsid w:val="00434650"/>
    <w:rsid w:val="00464564"/>
    <w:rsid w:val="00474FCA"/>
    <w:rsid w:val="004B47D4"/>
    <w:rsid w:val="004B625A"/>
    <w:rsid w:val="004D1547"/>
    <w:rsid w:val="004D2889"/>
    <w:rsid w:val="00526F19"/>
    <w:rsid w:val="0056208E"/>
    <w:rsid w:val="00572EFB"/>
    <w:rsid w:val="005978BE"/>
    <w:rsid w:val="005E14AB"/>
    <w:rsid w:val="00604B0C"/>
    <w:rsid w:val="00631AEF"/>
    <w:rsid w:val="00632F03"/>
    <w:rsid w:val="00663B63"/>
    <w:rsid w:val="00664231"/>
    <w:rsid w:val="00665475"/>
    <w:rsid w:val="00686DE1"/>
    <w:rsid w:val="006C561F"/>
    <w:rsid w:val="006E35A9"/>
    <w:rsid w:val="006F7F1D"/>
    <w:rsid w:val="00715761"/>
    <w:rsid w:val="00721715"/>
    <w:rsid w:val="00753628"/>
    <w:rsid w:val="00773A0F"/>
    <w:rsid w:val="00790003"/>
    <w:rsid w:val="007A6C2D"/>
    <w:rsid w:val="007B59A7"/>
    <w:rsid w:val="007C50A4"/>
    <w:rsid w:val="007C7F91"/>
    <w:rsid w:val="007D6E39"/>
    <w:rsid w:val="007E13ED"/>
    <w:rsid w:val="0084167B"/>
    <w:rsid w:val="00863221"/>
    <w:rsid w:val="00874D16"/>
    <w:rsid w:val="008A7B74"/>
    <w:rsid w:val="008B0E02"/>
    <w:rsid w:val="008B1907"/>
    <w:rsid w:val="008C784B"/>
    <w:rsid w:val="008D1CE5"/>
    <w:rsid w:val="008E56E4"/>
    <w:rsid w:val="009145CD"/>
    <w:rsid w:val="00955BA9"/>
    <w:rsid w:val="009777DC"/>
    <w:rsid w:val="0098740F"/>
    <w:rsid w:val="009B4BEC"/>
    <w:rsid w:val="00AC67E7"/>
    <w:rsid w:val="00AD01FF"/>
    <w:rsid w:val="00AF0D9E"/>
    <w:rsid w:val="00AF636C"/>
    <w:rsid w:val="00B10D1D"/>
    <w:rsid w:val="00B154C1"/>
    <w:rsid w:val="00B179A3"/>
    <w:rsid w:val="00B212C2"/>
    <w:rsid w:val="00B7507C"/>
    <w:rsid w:val="00BB4B0E"/>
    <w:rsid w:val="00BB7CF4"/>
    <w:rsid w:val="00BC561B"/>
    <w:rsid w:val="00BD52A3"/>
    <w:rsid w:val="00BD623E"/>
    <w:rsid w:val="00C1509E"/>
    <w:rsid w:val="00C47E23"/>
    <w:rsid w:val="00C50A2A"/>
    <w:rsid w:val="00C60D74"/>
    <w:rsid w:val="00C66597"/>
    <w:rsid w:val="00C6723D"/>
    <w:rsid w:val="00C86DCB"/>
    <w:rsid w:val="00CC1E07"/>
    <w:rsid w:val="00CE3757"/>
    <w:rsid w:val="00CE6251"/>
    <w:rsid w:val="00D11431"/>
    <w:rsid w:val="00D12DA2"/>
    <w:rsid w:val="00D1321D"/>
    <w:rsid w:val="00D336C6"/>
    <w:rsid w:val="00D369D6"/>
    <w:rsid w:val="00D45D0B"/>
    <w:rsid w:val="00D86ECA"/>
    <w:rsid w:val="00D905F2"/>
    <w:rsid w:val="00D9541C"/>
    <w:rsid w:val="00DA0CC7"/>
    <w:rsid w:val="00DB4C62"/>
    <w:rsid w:val="00DC559D"/>
    <w:rsid w:val="00DE3B30"/>
    <w:rsid w:val="00E023A1"/>
    <w:rsid w:val="00E07CAD"/>
    <w:rsid w:val="00E345A8"/>
    <w:rsid w:val="00E37B4A"/>
    <w:rsid w:val="00E51B46"/>
    <w:rsid w:val="00E865FA"/>
    <w:rsid w:val="00EC47E2"/>
    <w:rsid w:val="00F00747"/>
    <w:rsid w:val="00F04EBB"/>
    <w:rsid w:val="00F2418B"/>
    <w:rsid w:val="00F43E51"/>
    <w:rsid w:val="00F4453C"/>
    <w:rsid w:val="00F549EC"/>
    <w:rsid w:val="00F56AE9"/>
    <w:rsid w:val="00F659C8"/>
    <w:rsid w:val="00F74293"/>
    <w:rsid w:val="00F8487B"/>
    <w:rsid w:val="00FA315B"/>
    <w:rsid w:val="00FA780A"/>
    <w:rsid w:val="00FB05DC"/>
    <w:rsid w:val="00FD2723"/>
    <w:rsid w:val="00FD73FF"/>
    <w:rsid w:val="00FE5925"/>
    <w:rsid w:val="00FF577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BDB84"/>
  <w15:chartTrackingRefBased/>
  <w15:docId w15:val="{99865443-669B-440D-B44B-C37CE2D7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0956"/>
    <w:pPr>
      <w:jc w:val="both"/>
    </w:pPr>
  </w:style>
  <w:style w:type="paragraph" w:styleId="Ttulo1">
    <w:name w:val="heading 1"/>
    <w:basedOn w:val="Normal"/>
    <w:next w:val="Normal"/>
    <w:link w:val="Ttulo1Carter"/>
    <w:uiPriority w:val="9"/>
    <w:qFormat/>
    <w:rsid w:val="00C150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ter"/>
    <w:uiPriority w:val="9"/>
    <w:unhideWhenUsed/>
    <w:qFormat/>
    <w:rsid w:val="00220956"/>
    <w:pPr>
      <w:keepNext/>
      <w:keepLines/>
      <w:spacing w:before="40" w:after="0"/>
      <w:outlineLvl w:val="1"/>
    </w:pPr>
    <w:rPr>
      <w:rFonts w:asciiTheme="majorHAnsi" w:eastAsiaTheme="majorEastAsia" w:hAnsiTheme="majorHAnsi" w:cstheme="majorBidi"/>
      <w:color w:val="2F5496" w:themeColor="accent1" w:themeShade="BF"/>
      <w:szCs w:val="26"/>
    </w:rPr>
  </w:style>
  <w:style w:type="paragraph" w:styleId="Ttulo3">
    <w:name w:val="heading 3"/>
    <w:basedOn w:val="Normal"/>
    <w:next w:val="Normal"/>
    <w:link w:val="Ttulo3Carter"/>
    <w:uiPriority w:val="9"/>
    <w:semiHidden/>
    <w:unhideWhenUsed/>
    <w:qFormat/>
    <w:rsid w:val="00025A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arter">
    <w:name w:val="Título 2 Caráter"/>
    <w:basedOn w:val="Tipodeletrapredefinidodopargrafo"/>
    <w:link w:val="Ttulo2"/>
    <w:uiPriority w:val="9"/>
    <w:rsid w:val="00220956"/>
    <w:rPr>
      <w:rFonts w:asciiTheme="majorHAnsi" w:eastAsiaTheme="majorEastAsia" w:hAnsiTheme="majorHAnsi" w:cstheme="majorBidi"/>
      <w:color w:val="2F5496" w:themeColor="accent1" w:themeShade="BF"/>
      <w:szCs w:val="26"/>
    </w:rPr>
  </w:style>
  <w:style w:type="paragraph" w:styleId="PargrafodaLista">
    <w:name w:val="List Paragraph"/>
    <w:basedOn w:val="Normal"/>
    <w:uiPriority w:val="34"/>
    <w:qFormat/>
    <w:rsid w:val="00C1509E"/>
    <w:pPr>
      <w:ind w:left="720"/>
      <w:contextualSpacing/>
    </w:pPr>
  </w:style>
  <w:style w:type="character" w:customStyle="1" w:styleId="Ttulo1Carter">
    <w:name w:val="Título 1 Caráter"/>
    <w:basedOn w:val="Tipodeletrapredefinidodopargrafo"/>
    <w:link w:val="Ttulo1"/>
    <w:uiPriority w:val="9"/>
    <w:rsid w:val="00C1509E"/>
    <w:rPr>
      <w:rFonts w:asciiTheme="majorHAnsi" w:eastAsiaTheme="majorEastAsia" w:hAnsiTheme="majorHAnsi" w:cstheme="majorBidi"/>
      <w:color w:val="2F5496" w:themeColor="accent1" w:themeShade="BF"/>
      <w:sz w:val="32"/>
      <w:szCs w:val="32"/>
    </w:rPr>
  </w:style>
  <w:style w:type="character" w:styleId="Hiperligao">
    <w:name w:val="Hyperlink"/>
    <w:basedOn w:val="Tipodeletrapredefinidodopargrafo"/>
    <w:uiPriority w:val="99"/>
    <w:unhideWhenUsed/>
    <w:rsid w:val="00C1509E"/>
    <w:rPr>
      <w:color w:val="0563C1" w:themeColor="hyperlink"/>
      <w:u w:val="single"/>
    </w:rPr>
  </w:style>
  <w:style w:type="character" w:styleId="MenoNoResolvida">
    <w:name w:val="Unresolved Mention"/>
    <w:basedOn w:val="Tipodeletrapredefinidodopargrafo"/>
    <w:uiPriority w:val="99"/>
    <w:semiHidden/>
    <w:unhideWhenUsed/>
    <w:rsid w:val="00C1509E"/>
    <w:rPr>
      <w:color w:val="808080"/>
      <w:shd w:val="clear" w:color="auto" w:fill="E6E6E6"/>
    </w:rPr>
  </w:style>
  <w:style w:type="character" w:styleId="Hiperligaovisitada">
    <w:name w:val="FollowedHyperlink"/>
    <w:basedOn w:val="Tipodeletrapredefinidodopargrafo"/>
    <w:uiPriority w:val="99"/>
    <w:semiHidden/>
    <w:unhideWhenUsed/>
    <w:rsid w:val="00C1509E"/>
    <w:rPr>
      <w:color w:val="954F72" w:themeColor="followedHyperlink"/>
      <w:u w:val="single"/>
    </w:rPr>
  </w:style>
  <w:style w:type="character" w:customStyle="1" w:styleId="Ttulo3Carter">
    <w:name w:val="Título 3 Caráter"/>
    <w:basedOn w:val="Tipodeletrapredefinidodopargrafo"/>
    <w:link w:val="Ttulo3"/>
    <w:uiPriority w:val="9"/>
    <w:semiHidden/>
    <w:rsid w:val="00025A53"/>
    <w:rPr>
      <w:rFonts w:asciiTheme="majorHAnsi" w:eastAsiaTheme="majorEastAsia" w:hAnsiTheme="majorHAnsi" w:cstheme="majorBidi"/>
      <w:color w:val="1F3763" w:themeColor="accent1" w:themeShade="7F"/>
      <w:sz w:val="24"/>
      <w:szCs w:val="24"/>
    </w:rPr>
  </w:style>
  <w:style w:type="table" w:styleId="TabelacomGrelha">
    <w:name w:val="Table Grid"/>
    <w:basedOn w:val="Tabelanormal"/>
    <w:uiPriority w:val="39"/>
    <w:rsid w:val="00C86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E865FA"/>
    <w:pPr>
      <w:spacing w:after="200" w:line="240" w:lineRule="auto"/>
    </w:pPr>
    <w:rPr>
      <w:i/>
      <w:iCs/>
      <w:color w:val="44546A" w:themeColor="text2"/>
      <w:sz w:val="18"/>
      <w:szCs w:val="18"/>
    </w:rPr>
  </w:style>
  <w:style w:type="character" w:styleId="Refdecomentrio">
    <w:name w:val="annotation reference"/>
    <w:basedOn w:val="Tipodeletrapredefinidodopargrafo"/>
    <w:uiPriority w:val="99"/>
    <w:semiHidden/>
    <w:unhideWhenUsed/>
    <w:rsid w:val="00E51B46"/>
    <w:rPr>
      <w:sz w:val="16"/>
      <w:szCs w:val="16"/>
    </w:rPr>
  </w:style>
  <w:style w:type="paragraph" w:styleId="Textodecomentrio">
    <w:name w:val="annotation text"/>
    <w:basedOn w:val="Normal"/>
    <w:link w:val="TextodecomentrioCarter"/>
    <w:uiPriority w:val="99"/>
    <w:semiHidden/>
    <w:unhideWhenUsed/>
    <w:rsid w:val="00E51B46"/>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E51B46"/>
    <w:rPr>
      <w:sz w:val="20"/>
      <w:szCs w:val="20"/>
    </w:rPr>
  </w:style>
  <w:style w:type="paragraph" w:styleId="Assuntodecomentrio">
    <w:name w:val="annotation subject"/>
    <w:basedOn w:val="Textodecomentrio"/>
    <w:next w:val="Textodecomentrio"/>
    <w:link w:val="AssuntodecomentrioCarter"/>
    <w:uiPriority w:val="99"/>
    <w:semiHidden/>
    <w:unhideWhenUsed/>
    <w:rsid w:val="00E51B46"/>
    <w:rPr>
      <w:b/>
      <w:bCs/>
    </w:rPr>
  </w:style>
  <w:style w:type="character" w:customStyle="1" w:styleId="AssuntodecomentrioCarter">
    <w:name w:val="Assunto de comentário Caráter"/>
    <w:basedOn w:val="TextodecomentrioCarter"/>
    <w:link w:val="Assuntodecomentrio"/>
    <w:uiPriority w:val="99"/>
    <w:semiHidden/>
    <w:rsid w:val="00E51B46"/>
    <w:rPr>
      <w:b/>
      <w:bCs/>
      <w:sz w:val="20"/>
      <w:szCs w:val="20"/>
    </w:rPr>
  </w:style>
  <w:style w:type="paragraph" w:styleId="Textodebalo">
    <w:name w:val="Balloon Text"/>
    <w:basedOn w:val="Normal"/>
    <w:link w:val="TextodebaloCarter"/>
    <w:uiPriority w:val="99"/>
    <w:semiHidden/>
    <w:unhideWhenUsed/>
    <w:rsid w:val="00E51B46"/>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E51B46"/>
    <w:rPr>
      <w:rFonts w:ascii="Segoe UI" w:hAnsi="Segoe UI" w:cs="Segoe UI"/>
      <w:sz w:val="18"/>
      <w:szCs w:val="18"/>
    </w:rPr>
  </w:style>
  <w:style w:type="table" w:customStyle="1" w:styleId="TabelacomGrelha1">
    <w:name w:val="Tabela com Grelha1"/>
    <w:basedOn w:val="Tabelanormal"/>
    <w:next w:val="TabelacomGrelha"/>
    <w:uiPriority w:val="39"/>
    <w:rsid w:val="00E023A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arter"/>
    <w:uiPriority w:val="99"/>
    <w:unhideWhenUsed/>
    <w:rsid w:val="00B212C2"/>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B212C2"/>
  </w:style>
  <w:style w:type="paragraph" w:styleId="Rodap">
    <w:name w:val="footer"/>
    <w:basedOn w:val="Normal"/>
    <w:link w:val="RodapCarter"/>
    <w:uiPriority w:val="99"/>
    <w:unhideWhenUsed/>
    <w:rsid w:val="00B212C2"/>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B21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7634">
      <w:bodyDiv w:val="1"/>
      <w:marLeft w:val="0"/>
      <w:marRight w:val="0"/>
      <w:marTop w:val="0"/>
      <w:marBottom w:val="0"/>
      <w:divBdr>
        <w:top w:val="none" w:sz="0" w:space="0" w:color="auto"/>
        <w:left w:val="none" w:sz="0" w:space="0" w:color="auto"/>
        <w:bottom w:val="none" w:sz="0" w:space="0" w:color="auto"/>
        <w:right w:val="none" w:sz="0" w:space="0" w:color="auto"/>
      </w:divBdr>
    </w:div>
    <w:div w:id="54359422">
      <w:bodyDiv w:val="1"/>
      <w:marLeft w:val="0"/>
      <w:marRight w:val="0"/>
      <w:marTop w:val="0"/>
      <w:marBottom w:val="0"/>
      <w:divBdr>
        <w:top w:val="none" w:sz="0" w:space="0" w:color="auto"/>
        <w:left w:val="none" w:sz="0" w:space="0" w:color="auto"/>
        <w:bottom w:val="none" w:sz="0" w:space="0" w:color="auto"/>
        <w:right w:val="none" w:sz="0" w:space="0" w:color="auto"/>
      </w:divBdr>
    </w:div>
    <w:div w:id="137498493">
      <w:bodyDiv w:val="1"/>
      <w:marLeft w:val="0"/>
      <w:marRight w:val="0"/>
      <w:marTop w:val="0"/>
      <w:marBottom w:val="0"/>
      <w:divBdr>
        <w:top w:val="none" w:sz="0" w:space="0" w:color="auto"/>
        <w:left w:val="none" w:sz="0" w:space="0" w:color="auto"/>
        <w:bottom w:val="none" w:sz="0" w:space="0" w:color="auto"/>
        <w:right w:val="none" w:sz="0" w:space="0" w:color="auto"/>
      </w:divBdr>
    </w:div>
    <w:div w:id="249118647">
      <w:bodyDiv w:val="1"/>
      <w:marLeft w:val="0"/>
      <w:marRight w:val="0"/>
      <w:marTop w:val="0"/>
      <w:marBottom w:val="0"/>
      <w:divBdr>
        <w:top w:val="none" w:sz="0" w:space="0" w:color="auto"/>
        <w:left w:val="none" w:sz="0" w:space="0" w:color="auto"/>
        <w:bottom w:val="none" w:sz="0" w:space="0" w:color="auto"/>
        <w:right w:val="none" w:sz="0" w:space="0" w:color="auto"/>
      </w:divBdr>
    </w:div>
    <w:div w:id="374278402">
      <w:bodyDiv w:val="1"/>
      <w:marLeft w:val="0"/>
      <w:marRight w:val="0"/>
      <w:marTop w:val="0"/>
      <w:marBottom w:val="0"/>
      <w:divBdr>
        <w:top w:val="none" w:sz="0" w:space="0" w:color="auto"/>
        <w:left w:val="none" w:sz="0" w:space="0" w:color="auto"/>
        <w:bottom w:val="none" w:sz="0" w:space="0" w:color="auto"/>
        <w:right w:val="none" w:sz="0" w:space="0" w:color="auto"/>
      </w:divBdr>
    </w:div>
    <w:div w:id="432939274">
      <w:bodyDiv w:val="1"/>
      <w:marLeft w:val="0"/>
      <w:marRight w:val="0"/>
      <w:marTop w:val="0"/>
      <w:marBottom w:val="0"/>
      <w:divBdr>
        <w:top w:val="none" w:sz="0" w:space="0" w:color="auto"/>
        <w:left w:val="none" w:sz="0" w:space="0" w:color="auto"/>
        <w:bottom w:val="none" w:sz="0" w:space="0" w:color="auto"/>
        <w:right w:val="none" w:sz="0" w:space="0" w:color="auto"/>
      </w:divBdr>
    </w:div>
    <w:div w:id="442579436">
      <w:bodyDiv w:val="1"/>
      <w:marLeft w:val="0"/>
      <w:marRight w:val="0"/>
      <w:marTop w:val="0"/>
      <w:marBottom w:val="0"/>
      <w:divBdr>
        <w:top w:val="none" w:sz="0" w:space="0" w:color="auto"/>
        <w:left w:val="none" w:sz="0" w:space="0" w:color="auto"/>
        <w:bottom w:val="none" w:sz="0" w:space="0" w:color="auto"/>
        <w:right w:val="none" w:sz="0" w:space="0" w:color="auto"/>
      </w:divBdr>
    </w:div>
    <w:div w:id="776874191">
      <w:bodyDiv w:val="1"/>
      <w:marLeft w:val="0"/>
      <w:marRight w:val="0"/>
      <w:marTop w:val="0"/>
      <w:marBottom w:val="0"/>
      <w:divBdr>
        <w:top w:val="none" w:sz="0" w:space="0" w:color="auto"/>
        <w:left w:val="none" w:sz="0" w:space="0" w:color="auto"/>
        <w:bottom w:val="none" w:sz="0" w:space="0" w:color="auto"/>
        <w:right w:val="none" w:sz="0" w:space="0" w:color="auto"/>
      </w:divBdr>
    </w:div>
    <w:div w:id="794642077">
      <w:bodyDiv w:val="1"/>
      <w:marLeft w:val="0"/>
      <w:marRight w:val="0"/>
      <w:marTop w:val="0"/>
      <w:marBottom w:val="0"/>
      <w:divBdr>
        <w:top w:val="none" w:sz="0" w:space="0" w:color="auto"/>
        <w:left w:val="none" w:sz="0" w:space="0" w:color="auto"/>
        <w:bottom w:val="none" w:sz="0" w:space="0" w:color="auto"/>
        <w:right w:val="none" w:sz="0" w:space="0" w:color="auto"/>
      </w:divBdr>
    </w:div>
    <w:div w:id="862087107">
      <w:bodyDiv w:val="1"/>
      <w:marLeft w:val="0"/>
      <w:marRight w:val="0"/>
      <w:marTop w:val="0"/>
      <w:marBottom w:val="0"/>
      <w:divBdr>
        <w:top w:val="none" w:sz="0" w:space="0" w:color="auto"/>
        <w:left w:val="none" w:sz="0" w:space="0" w:color="auto"/>
        <w:bottom w:val="none" w:sz="0" w:space="0" w:color="auto"/>
        <w:right w:val="none" w:sz="0" w:space="0" w:color="auto"/>
      </w:divBdr>
    </w:div>
    <w:div w:id="941424932">
      <w:bodyDiv w:val="1"/>
      <w:marLeft w:val="0"/>
      <w:marRight w:val="0"/>
      <w:marTop w:val="0"/>
      <w:marBottom w:val="0"/>
      <w:divBdr>
        <w:top w:val="none" w:sz="0" w:space="0" w:color="auto"/>
        <w:left w:val="none" w:sz="0" w:space="0" w:color="auto"/>
        <w:bottom w:val="none" w:sz="0" w:space="0" w:color="auto"/>
        <w:right w:val="none" w:sz="0" w:space="0" w:color="auto"/>
      </w:divBdr>
    </w:div>
    <w:div w:id="1061715828">
      <w:bodyDiv w:val="1"/>
      <w:marLeft w:val="0"/>
      <w:marRight w:val="0"/>
      <w:marTop w:val="0"/>
      <w:marBottom w:val="0"/>
      <w:divBdr>
        <w:top w:val="none" w:sz="0" w:space="0" w:color="auto"/>
        <w:left w:val="none" w:sz="0" w:space="0" w:color="auto"/>
        <w:bottom w:val="none" w:sz="0" w:space="0" w:color="auto"/>
        <w:right w:val="none" w:sz="0" w:space="0" w:color="auto"/>
      </w:divBdr>
    </w:div>
    <w:div w:id="1120298259">
      <w:bodyDiv w:val="1"/>
      <w:marLeft w:val="0"/>
      <w:marRight w:val="0"/>
      <w:marTop w:val="0"/>
      <w:marBottom w:val="0"/>
      <w:divBdr>
        <w:top w:val="none" w:sz="0" w:space="0" w:color="auto"/>
        <w:left w:val="none" w:sz="0" w:space="0" w:color="auto"/>
        <w:bottom w:val="none" w:sz="0" w:space="0" w:color="auto"/>
        <w:right w:val="none" w:sz="0" w:space="0" w:color="auto"/>
      </w:divBdr>
    </w:div>
    <w:div w:id="1141456766">
      <w:bodyDiv w:val="1"/>
      <w:marLeft w:val="0"/>
      <w:marRight w:val="0"/>
      <w:marTop w:val="0"/>
      <w:marBottom w:val="0"/>
      <w:divBdr>
        <w:top w:val="none" w:sz="0" w:space="0" w:color="auto"/>
        <w:left w:val="none" w:sz="0" w:space="0" w:color="auto"/>
        <w:bottom w:val="none" w:sz="0" w:space="0" w:color="auto"/>
        <w:right w:val="none" w:sz="0" w:space="0" w:color="auto"/>
      </w:divBdr>
    </w:div>
    <w:div w:id="1191147682">
      <w:bodyDiv w:val="1"/>
      <w:marLeft w:val="0"/>
      <w:marRight w:val="0"/>
      <w:marTop w:val="0"/>
      <w:marBottom w:val="0"/>
      <w:divBdr>
        <w:top w:val="none" w:sz="0" w:space="0" w:color="auto"/>
        <w:left w:val="none" w:sz="0" w:space="0" w:color="auto"/>
        <w:bottom w:val="none" w:sz="0" w:space="0" w:color="auto"/>
        <w:right w:val="none" w:sz="0" w:space="0" w:color="auto"/>
      </w:divBdr>
    </w:div>
    <w:div w:id="1235120214">
      <w:bodyDiv w:val="1"/>
      <w:marLeft w:val="0"/>
      <w:marRight w:val="0"/>
      <w:marTop w:val="0"/>
      <w:marBottom w:val="0"/>
      <w:divBdr>
        <w:top w:val="none" w:sz="0" w:space="0" w:color="auto"/>
        <w:left w:val="none" w:sz="0" w:space="0" w:color="auto"/>
        <w:bottom w:val="none" w:sz="0" w:space="0" w:color="auto"/>
        <w:right w:val="none" w:sz="0" w:space="0" w:color="auto"/>
      </w:divBdr>
    </w:div>
    <w:div w:id="1283927476">
      <w:bodyDiv w:val="1"/>
      <w:marLeft w:val="0"/>
      <w:marRight w:val="0"/>
      <w:marTop w:val="0"/>
      <w:marBottom w:val="0"/>
      <w:divBdr>
        <w:top w:val="none" w:sz="0" w:space="0" w:color="auto"/>
        <w:left w:val="none" w:sz="0" w:space="0" w:color="auto"/>
        <w:bottom w:val="none" w:sz="0" w:space="0" w:color="auto"/>
        <w:right w:val="none" w:sz="0" w:space="0" w:color="auto"/>
      </w:divBdr>
    </w:div>
    <w:div w:id="1401249647">
      <w:bodyDiv w:val="1"/>
      <w:marLeft w:val="0"/>
      <w:marRight w:val="0"/>
      <w:marTop w:val="0"/>
      <w:marBottom w:val="0"/>
      <w:divBdr>
        <w:top w:val="none" w:sz="0" w:space="0" w:color="auto"/>
        <w:left w:val="none" w:sz="0" w:space="0" w:color="auto"/>
        <w:bottom w:val="none" w:sz="0" w:space="0" w:color="auto"/>
        <w:right w:val="none" w:sz="0" w:space="0" w:color="auto"/>
      </w:divBdr>
    </w:div>
    <w:div w:id="1437866278">
      <w:bodyDiv w:val="1"/>
      <w:marLeft w:val="0"/>
      <w:marRight w:val="0"/>
      <w:marTop w:val="0"/>
      <w:marBottom w:val="0"/>
      <w:divBdr>
        <w:top w:val="none" w:sz="0" w:space="0" w:color="auto"/>
        <w:left w:val="none" w:sz="0" w:space="0" w:color="auto"/>
        <w:bottom w:val="none" w:sz="0" w:space="0" w:color="auto"/>
        <w:right w:val="none" w:sz="0" w:space="0" w:color="auto"/>
      </w:divBdr>
    </w:div>
    <w:div w:id="1542593534">
      <w:bodyDiv w:val="1"/>
      <w:marLeft w:val="0"/>
      <w:marRight w:val="0"/>
      <w:marTop w:val="0"/>
      <w:marBottom w:val="0"/>
      <w:divBdr>
        <w:top w:val="none" w:sz="0" w:space="0" w:color="auto"/>
        <w:left w:val="none" w:sz="0" w:space="0" w:color="auto"/>
        <w:bottom w:val="none" w:sz="0" w:space="0" w:color="auto"/>
        <w:right w:val="none" w:sz="0" w:space="0" w:color="auto"/>
      </w:divBdr>
    </w:div>
    <w:div w:id="1603033777">
      <w:bodyDiv w:val="1"/>
      <w:marLeft w:val="0"/>
      <w:marRight w:val="0"/>
      <w:marTop w:val="0"/>
      <w:marBottom w:val="0"/>
      <w:divBdr>
        <w:top w:val="none" w:sz="0" w:space="0" w:color="auto"/>
        <w:left w:val="none" w:sz="0" w:space="0" w:color="auto"/>
        <w:bottom w:val="none" w:sz="0" w:space="0" w:color="auto"/>
        <w:right w:val="none" w:sz="0" w:space="0" w:color="auto"/>
      </w:divBdr>
    </w:div>
    <w:div w:id="1648433978">
      <w:bodyDiv w:val="1"/>
      <w:marLeft w:val="0"/>
      <w:marRight w:val="0"/>
      <w:marTop w:val="0"/>
      <w:marBottom w:val="0"/>
      <w:divBdr>
        <w:top w:val="none" w:sz="0" w:space="0" w:color="auto"/>
        <w:left w:val="none" w:sz="0" w:space="0" w:color="auto"/>
        <w:bottom w:val="none" w:sz="0" w:space="0" w:color="auto"/>
        <w:right w:val="none" w:sz="0" w:space="0" w:color="auto"/>
      </w:divBdr>
    </w:div>
    <w:div w:id="1697342289">
      <w:bodyDiv w:val="1"/>
      <w:marLeft w:val="0"/>
      <w:marRight w:val="0"/>
      <w:marTop w:val="0"/>
      <w:marBottom w:val="0"/>
      <w:divBdr>
        <w:top w:val="none" w:sz="0" w:space="0" w:color="auto"/>
        <w:left w:val="none" w:sz="0" w:space="0" w:color="auto"/>
        <w:bottom w:val="none" w:sz="0" w:space="0" w:color="auto"/>
        <w:right w:val="none" w:sz="0" w:space="0" w:color="auto"/>
      </w:divBdr>
    </w:div>
    <w:div w:id="1814102401">
      <w:bodyDiv w:val="1"/>
      <w:marLeft w:val="0"/>
      <w:marRight w:val="0"/>
      <w:marTop w:val="0"/>
      <w:marBottom w:val="0"/>
      <w:divBdr>
        <w:top w:val="none" w:sz="0" w:space="0" w:color="auto"/>
        <w:left w:val="none" w:sz="0" w:space="0" w:color="auto"/>
        <w:bottom w:val="none" w:sz="0" w:space="0" w:color="auto"/>
        <w:right w:val="none" w:sz="0" w:space="0" w:color="auto"/>
      </w:divBdr>
    </w:div>
    <w:div w:id="1904169943">
      <w:bodyDiv w:val="1"/>
      <w:marLeft w:val="0"/>
      <w:marRight w:val="0"/>
      <w:marTop w:val="0"/>
      <w:marBottom w:val="0"/>
      <w:divBdr>
        <w:top w:val="none" w:sz="0" w:space="0" w:color="auto"/>
        <w:left w:val="none" w:sz="0" w:space="0" w:color="auto"/>
        <w:bottom w:val="none" w:sz="0" w:space="0" w:color="auto"/>
        <w:right w:val="none" w:sz="0" w:space="0" w:color="auto"/>
      </w:divBdr>
    </w:div>
    <w:div w:id="1969238292">
      <w:bodyDiv w:val="1"/>
      <w:marLeft w:val="0"/>
      <w:marRight w:val="0"/>
      <w:marTop w:val="0"/>
      <w:marBottom w:val="0"/>
      <w:divBdr>
        <w:top w:val="none" w:sz="0" w:space="0" w:color="auto"/>
        <w:left w:val="none" w:sz="0" w:space="0" w:color="auto"/>
        <w:bottom w:val="none" w:sz="0" w:space="0" w:color="auto"/>
        <w:right w:val="none" w:sz="0" w:space="0" w:color="auto"/>
      </w:divBdr>
    </w:div>
    <w:div w:id="2022127055">
      <w:bodyDiv w:val="1"/>
      <w:marLeft w:val="0"/>
      <w:marRight w:val="0"/>
      <w:marTop w:val="0"/>
      <w:marBottom w:val="0"/>
      <w:divBdr>
        <w:top w:val="none" w:sz="0" w:space="0" w:color="auto"/>
        <w:left w:val="none" w:sz="0" w:space="0" w:color="auto"/>
        <w:bottom w:val="none" w:sz="0" w:space="0" w:color="auto"/>
        <w:right w:val="none" w:sz="0" w:space="0" w:color="auto"/>
      </w:divBdr>
    </w:div>
    <w:div w:id="206144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807C7-5707-40DF-80EF-150ED0AE4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1518</TotalTime>
  <Pages>6</Pages>
  <Words>10426</Words>
  <Characters>56303</Characters>
  <Application>Microsoft Office Word</Application>
  <DocSecurity>0</DocSecurity>
  <Lines>469</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Diogo Guimarães</dc:creator>
  <cp:keywords/>
  <dc:description/>
  <cp:lastModifiedBy>Diogo Guimarães</cp:lastModifiedBy>
  <cp:revision>15</cp:revision>
  <dcterms:created xsi:type="dcterms:W3CDTF">2019-09-10T18:59:00Z</dcterms:created>
  <dcterms:modified xsi:type="dcterms:W3CDTF">2019-11-06T21:54:00Z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e095d5cb-c7eb-34b2-9d5a-5912662303a9</vt:lpwstr>
  </property>
  <property fmtid="{D5CDD505-2E9C-101B-9397-08002B2CF9AE}" pid="24" name="Mendeley Citation Style_1">
    <vt:lpwstr>http://www.zotero.org/styles/nature</vt:lpwstr>
  </property>
  <property fmtid="{D5CDD505-2E9C-101B-9397-08002B2CF9AE}" pid="25" name="_DocHome">
    <vt:i4>-41118840</vt:i4>
  </property>
</Properties>
</file>