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3ED7" w14:textId="42F18700" w:rsidR="007A6A83" w:rsidRPr="00C83467" w:rsidRDefault="007A6A83" w:rsidP="00003F8D">
      <w:pPr>
        <w:spacing w:line="360" w:lineRule="auto"/>
        <w:rPr>
          <w:rFonts w:cstheme="minorHAnsi"/>
          <w:b/>
          <w:lang w:val="en-GB"/>
        </w:rPr>
      </w:pPr>
      <w:r w:rsidRPr="00C83467">
        <w:rPr>
          <w:rFonts w:cstheme="minorHAnsi"/>
          <w:b/>
          <w:lang w:val="en-GB"/>
        </w:rPr>
        <w:t xml:space="preserve">INTRODUCTION </w:t>
      </w:r>
    </w:p>
    <w:p w14:paraId="468FB40B" w14:textId="6C9D0A43" w:rsidR="007A6A83" w:rsidRPr="00C83467" w:rsidRDefault="007A6A83" w:rsidP="00003F8D">
      <w:pPr>
        <w:spacing w:line="360" w:lineRule="auto"/>
        <w:ind w:firstLine="708"/>
        <w:jc w:val="both"/>
        <w:rPr>
          <w:rFonts w:cstheme="minorHAnsi"/>
        </w:rPr>
      </w:pPr>
      <w:r w:rsidRPr="00C83467">
        <w:rPr>
          <w:rFonts w:cstheme="minorHAnsi"/>
        </w:rPr>
        <w:t>Rheumatoid Arthritis (RA) is a chronic systemic autoimmune disease predominantly characterized by chronic inflammation of synovial joints. Without appropriate therapy the disease almost inevitably leads to severe joint deformities, particularly of the hands, chronic pain and suffering, disability, inability to work, poor quality of life and early mortality.</w:t>
      </w:r>
      <w:r w:rsidRPr="00150A93">
        <w:rPr>
          <w:rFonts w:cstheme="minorHAnsi"/>
          <w:b/>
          <w:noProof/>
          <w:vertAlign w:val="superscript"/>
        </w:rPr>
        <w:t>1</w:t>
      </w:r>
      <w:r w:rsidRPr="00C83467">
        <w:rPr>
          <w:rFonts w:cstheme="minorHAnsi"/>
        </w:rPr>
        <w:t xml:space="preserve"> Chronic glucocorticoids and non-steroidal anti-inflammatory drugs used from the 1950´s failed to control disease and had too many associated side-effects, often life-threatening.</w:t>
      </w:r>
      <w:r w:rsidRPr="00150A93">
        <w:rPr>
          <w:rFonts w:cstheme="minorHAnsi"/>
          <w:b/>
          <w:noProof/>
          <w:vertAlign w:val="superscript"/>
        </w:rPr>
        <w:t>2</w:t>
      </w:r>
      <w:r>
        <w:rPr>
          <w:rFonts w:cstheme="minorHAnsi"/>
        </w:rPr>
        <w:t xml:space="preserve"> </w:t>
      </w:r>
      <w:r w:rsidRPr="00C83467">
        <w:rPr>
          <w:rFonts w:cstheme="minorHAnsi"/>
        </w:rPr>
        <w:t>The era of innovative medicine occurred in the late 1990’s with the focus shifted to a treat to target–based approach, with new treatment paradigms, including early diagnosis and an intensive management approach.</w:t>
      </w:r>
      <w:r>
        <w:rPr>
          <w:rFonts w:cstheme="minorHAnsi"/>
        </w:rPr>
        <w:t xml:space="preserve"> </w:t>
      </w:r>
      <w:r w:rsidRPr="00C83467">
        <w:rPr>
          <w:rFonts w:cstheme="minorHAnsi"/>
        </w:rPr>
        <w:t xml:space="preserve">This was made possible through the use of </w:t>
      </w:r>
      <w:r w:rsidR="00F92467">
        <w:rPr>
          <w:rFonts w:cstheme="minorHAnsi"/>
        </w:rPr>
        <w:t xml:space="preserve">biotechnological </w:t>
      </w:r>
      <w:r w:rsidR="00F92467" w:rsidRPr="00C83467">
        <w:rPr>
          <w:rFonts w:cstheme="minorHAnsi"/>
        </w:rPr>
        <w:t>disease-modifying anti-rheumatic drugs</w:t>
      </w:r>
      <w:r w:rsidR="00F92467">
        <w:rPr>
          <w:rFonts w:cstheme="minorHAnsi"/>
        </w:rPr>
        <w:t xml:space="preserve"> (bDMARD)</w:t>
      </w:r>
      <w:r w:rsidRPr="00C83467">
        <w:rPr>
          <w:rFonts w:cstheme="minorHAnsi"/>
        </w:rPr>
        <w:t xml:space="preserve"> in addition</w:t>
      </w:r>
      <w:r w:rsidR="00F92467">
        <w:rPr>
          <w:rFonts w:cstheme="minorHAnsi"/>
        </w:rPr>
        <w:t xml:space="preserve"> or as an alternative</w:t>
      </w:r>
      <w:r w:rsidRPr="00C83467">
        <w:rPr>
          <w:rFonts w:cstheme="minorHAnsi"/>
        </w:rPr>
        <w:t xml:space="preserve"> to synthetic disease-modifying anti-rheumatic drugs (</w:t>
      </w:r>
      <w:proofErr w:type="spellStart"/>
      <w:r w:rsidRPr="00C83467">
        <w:rPr>
          <w:rFonts w:cstheme="minorHAnsi"/>
        </w:rPr>
        <w:t>sDMARD</w:t>
      </w:r>
      <w:proofErr w:type="spellEnd"/>
      <w:r w:rsidRPr="00C83467">
        <w:rPr>
          <w:rFonts w:cstheme="minorHAnsi"/>
        </w:rPr>
        <w:t>).</w:t>
      </w:r>
      <w:r w:rsidR="00F92467" w:rsidRPr="00150A93">
        <w:rPr>
          <w:rFonts w:cstheme="minorHAnsi"/>
          <w:b/>
          <w:noProof/>
          <w:vertAlign w:val="superscript"/>
        </w:rPr>
        <w:t>3</w:t>
      </w:r>
      <w:r w:rsidR="00F92467">
        <w:rPr>
          <w:rFonts w:cstheme="minorHAnsi"/>
          <w:b/>
          <w:noProof/>
          <w:vertAlign w:val="superscript"/>
        </w:rPr>
        <w:t>,</w:t>
      </w:r>
      <w:r w:rsidRPr="00150A93">
        <w:rPr>
          <w:rFonts w:cstheme="minorHAnsi"/>
          <w:b/>
          <w:noProof/>
          <w:vertAlign w:val="superscript"/>
        </w:rPr>
        <w:t>4,5</w:t>
      </w:r>
      <w:r>
        <w:rPr>
          <w:rFonts w:cstheme="minorHAnsi"/>
        </w:rPr>
        <w:t xml:space="preserve"> </w:t>
      </w:r>
      <w:r w:rsidRPr="00C83467">
        <w:rPr>
          <w:rFonts w:cstheme="minorHAnsi"/>
        </w:rPr>
        <w:t>The first biological therapies to be developed in rheumatology were the tumor necrosis factor inhibitors (</w:t>
      </w:r>
      <w:proofErr w:type="spellStart"/>
      <w:r w:rsidRPr="00C83467">
        <w:rPr>
          <w:rFonts w:cstheme="minorHAnsi"/>
        </w:rPr>
        <w:t>TNFi</w:t>
      </w:r>
      <w:proofErr w:type="spellEnd"/>
      <w:r w:rsidRPr="00C83467">
        <w:rPr>
          <w:rFonts w:cstheme="minorHAnsi"/>
        </w:rPr>
        <w:t>) for patients who failed treatment with sDMARDs.</w:t>
      </w:r>
      <w:r w:rsidRPr="00150A93">
        <w:rPr>
          <w:rFonts w:cstheme="minorHAnsi"/>
          <w:b/>
          <w:noProof/>
          <w:vertAlign w:val="superscript"/>
        </w:rPr>
        <w:t>4,6</w:t>
      </w:r>
      <w:r>
        <w:rPr>
          <w:rFonts w:cstheme="minorHAnsi"/>
        </w:rPr>
        <w:t xml:space="preserve"> </w:t>
      </w:r>
      <w:r w:rsidR="00634471" w:rsidRPr="00C83467">
        <w:rPr>
          <w:rFonts w:cstheme="minorHAnsi"/>
        </w:rPr>
        <w:t xml:space="preserve">Most importantly, the therapeutic judgment has to take into account co-morbidities (such as heart failure and infectious risk), past history of neoplasia and ideally identify those with a high risk </w:t>
      </w:r>
      <w:r w:rsidR="00634471">
        <w:rPr>
          <w:rFonts w:cstheme="minorHAnsi"/>
        </w:rPr>
        <w:t xml:space="preserve">of </w:t>
      </w:r>
      <w:r w:rsidR="00634471" w:rsidRPr="00C83467">
        <w:rPr>
          <w:rFonts w:cstheme="minorHAnsi"/>
        </w:rPr>
        <w:t>relapse.</w:t>
      </w:r>
      <w:r w:rsidR="00634471" w:rsidRPr="00150A93">
        <w:rPr>
          <w:rFonts w:cstheme="minorHAnsi"/>
          <w:b/>
          <w:noProof/>
          <w:vertAlign w:val="superscript"/>
        </w:rPr>
        <w:t>6</w:t>
      </w:r>
      <w:r w:rsidR="00634471" w:rsidRPr="00C83467">
        <w:rPr>
          <w:rFonts w:cstheme="minorHAnsi"/>
        </w:rPr>
        <w:t xml:space="preserve"> </w:t>
      </w:r>
      <w:r w:rsidRPr="00C83467">
        <w:rPr>
          <w:rFonts w:cstheme="minorHAnsi"/>
        </w:rPr>
        <w:t>Currently there is a much wider therapeutic armamentarium ranging from membrane receptor agonists or antagonists (Fc-CTLA4, CD20), anti-cytokine (Il-6, IL-17) to JAK kinase inhibitors.</w:t>
      </w:r>
      <w:r w:rsidRPr="00150A93">
        <w:rPr>
          <w:rFonts w:cstheme="minorHAnsi"/>
          <w:b/>
          <w:noProof/>
          <w:vertAlign w:val="superscript"/>
        </w:rPr>
        <w:t>7</w:t>
      </w:r>
      <w:r w:rsidRPr="00150A93">
        <w:rPr>
          <w:rFonts w:cstheme="minorHAnsi"/>
          <w:b/>
        </w:rPr>
        <w:t xml:space="preserve"> </w:t>
      </w:r>
    </w:p>
    <w:p w14:paraId="11FAE018" w14:textId="5F9FAD84" w:rsidR="007A6A83" w:rsidRPr="00C83467" w:rsidRDefault="007A6A83" w:rsidP="00003F8D">
      <w:pPr>
        <w:spacing w:line="360" w:lineRule="auto"/>
        <w:ind w:firstLine="708"/>
        <w:jc w:val="both"/>
        <w:rPr>
          <w:rFonts w:cstheme="minorHAnsi"/>
        </w:rPr>
      </w:pPr>
      <w:r w:rsidRPr="00C83467">
        <w:rPr>
          <w:rFonts w:cstheme="minorHAnsi"/>
        </w:rPr>
        <w:t xml:space="preserve">Despite advances there are still no easily assessable bio-markers to establish a personalized treatment approach at the time of disease onset or diagnosis. Similarly, </w:t>
      </w:r>
      <w:r>
        <w:rPr>
          <w:rFonts w:cstheme="minorHAnsi"/>
        </w:rPr>
        <w:t>during</w:t>
      </w:r>
      <w:r w:rsidRPr="00C83467">
        <w:rPr>
          <w:rFonts w:cstheme="minorHAnsi"/>
        </w:rPr>
        <w:t xml:space="preserve"> follow-up most therapeutic decisions frequently remain empirical. This is the case when tentatively adapting the chosen therapy to a personalized optimal dose and regimen, but also when prescribing co-therapies or switch</w:t>
      </w:r>
      <w:r>
        <w:rPr>
          <w:rFonts w:cstheme="minorHAnsi"/>
        </w:rPr>
        <w:t>ing</w:t>
      </w:r>
      <w:r w:rsidRPr="00C83467">
        <w:rPr>
          <w:rFonts w:cstheme="minorHAnsi"/>
        </w:rPr>
        <w:t xml:space="preserve"> to other bDMARD when the treatment is inefficient, or associated with intolerance or adverse events.</w:t>
      </w:r>
      <w:r w:rsidR="007A5A19">
        <w:rPr>
          <w:rFonts w:cstheme="minorHAnsi"/>
          <w:noProof/>
        </w:rPr>
        <w:t xml:space="preserve"> </w:t>
      </w:r>
      <w:r w:rsidRPr="00C83467">
        <w:rPr>
          <w:rFonts w:cstheme="minorHAnsi"/>
        </w:rPr>
        <w:t xml:space="preserve">Furthermore, therapies may be ineffective (wrong target) or become neutralized due to their immunogenicity. Of note, in Portugal, these therapies are entirely state subsidized and are associated with a significant societal cost. </w:t>
      </w:r>
    </w:p>
    <w:p w14:paraId="6073A0E1" w14:textId="21868691" w:rsidR="007A6A83" w:rsidRDefault="007A6A83" w:rsidP="00003F8D">
      <w:pPr>
        <w:spacing w:line="360" w:lineRule="auto"/>
        <w:ind w:firstLine="708"/>
        <w:jc w:val="both"/>
        <w:rPr>
          <w:rFonts w:cstheme="minorHAnsi"/>
        </w:rPr>
      </w:pPr>
      <w:r w:rsidRPr="00C83467">
        <w:rPr>
          <w:rFonts w:cstheme="minorHAnsi"/>
        </w:rPr>
        <w:t xml:space="preserve">Clinical assessment of disease activity, progression and remission are robust and quantitative, as are indicators of patient’s quality of life. </w:t>
      </w:r>
      <w:r w:rsidR="005A6DE9">
        <w:rPr>
          <w:rFonts w:cstheme="minorHAnsi"/>
        </w:rPr>
        <w:t>In this work w</w:t>
      </w:r>
      <w:r w:rsidRPr="00C83467">
        <w:rPr>
          <w:rFonts w:cstheme="minorHAnsi"/>
        </w:rPr>
        <w:t>e aim</w:t>
      </w:r>
      <w:r w:rsidR="002428A6">
        <w:rPr>
          <w:rFonts w:cstheme="minorHAnsi"/>
        </w:rPr>
        <w:t>ed</w:t>
      </w:r>
      <w:r w:rsidRPr="00C83467">
        <w:rPr>
          <w:rFonts w:cstheme="minorHAnsi"/>
        </w:rPr>
        <w:t xml:space="preserve"> to study every single patient with RA that ever received biological therapy in our Unit and answer some very simple questions that nevertheless remain at the core of the major </w:t>
      </w:r>
      <w:r w:rsidRPr="00C83467">
        <w:rPr>
          <w:rFonts w:cstheme="minorHAnsi"/>
        </w:rPr>
        <w:lastRenderedPageBreak/>
        <w:t xml:space="preserve">investment for these patients. Are our patients free of deformities? Are they able to work and do they lead productive lives? Have they retained their original therapies? Was a switch required? Was therapy interrupted and for what reason? Have they suffered important side-effects? Do they suffer from important co-morbidities? Have we lost patients to follow-up? Are they alive? </w:t>
      </w:r>
    </w:p>
    <w:p w14:paraId="4EEFBF5D" w14:textId="77777777" w:rsidR="007A6A83" w:rsidRDefault="007A6A83" w:rsidP="00003F8D">
      <w:pPr>
        <w:spacing w:line="360" w:lineRule="auto"/>
        <w:ind w:firstLine="708"/>
        <w:jc w:val="both"/>
        <w:rPr>
          <w:rFonts w:cstheme="minorHAnsi"/>
        </w:rPr>
      </w:pPr>
    </w:p>
    <w:p w14:paraId="5E8D34A4" w14:textId="77777777" w:rsidR="007A6A83" w:rsidRDefault="007A6A83" w:rsidP="00003F8D">
      <w:pPr>
        <w:spacing w:line="360" w:lineRule="auto"/>
        <w:jc w:val="both"/>
        <w:rPr>
          <w:rFonts w:cstheme="minorHAnsi"/>
          <w:b/>
        </w:rPr>
      </w:pPr>
      <w:r w:rsidRPr="00C83467">
        <w:rPr>
          <w:rFonts w:cstheme="minorHAnsi"/>
          <w:b/>
        </w:rPr>
        <w:t xml:space="preserve">MATERIALS AND METHODS </w:t>
      </w:r>
    </w:p>
    <w:p w14:paraId="6A2959F5" w14:textId="77777777" w:rsidR="007A6A83" w:rsidRPr="00C83467" w:rsidRDefault="007A6A83" w:rsidP="00003F8D">
      <w:pPr>
        <w:spacing w:line="360" w:lineRule="auto"/>
        <w:jc w:val="both"/>
        <w:rPr>
          <w:rFonts w:cstheme="minorHAnsi"/>
          <w:b/>
        </w:rPr>
      </w:pPr>
      <w:r w:rsidRPr="00C83467">
        <w:rPr>
          <w:rFonts w:cstheme="minorHAnsi"/>
          <w:b/>
        </w:rPr>
        <w:t>1. STUDY DESIGN AND POPULATION</w:t>
      </w:r>
    </w:p>
    <w:p w14:paraId="4F6CF8CD" w14:textId="77777777" w:rsidR="007A6A83" w:rsidRDefault="007A6A83" w:rsidP="00003F8D">
      <w:pPr>
        <w:spacing w:line="360" w:lineRule="auto"/>
        <w:ind w:firstLine="708"/>
        <w:jc w:val="both"/>
        <w:rPr>
          <w:rFonts w:cstheme="minorHAnsi"/>
          <w:color w:val="000000" w:themeColor="text1"/>
        </w:rPr>
      </w:pPr>
      <w:r w:rsidRPr="00C83467">
        <w:rPr>
          <w:rFonts w:cstheme="minorHAnsi"/>
          <w:color w:val="000000" w:themeColor="text1"/>
        </w:rPr>
        <w:t xml:space="preserve">This is a cross-sectional study that took place in </w:t>
      </w:r>
      <w:r>
        <w:rPr>
          <w:rFonts w:cstheme="minorHAnsi"/>
          <w:color w:val="000000" w:themeColor="text1"/>
        </w:rPr>
        <w:t>an outpatient care</w:t>
      </w:r>
      <w:r w:rsidRPr="00C83467">
        <w:rPr>
          <w:rFonts w:cstheme="minorHAnsi"/>
          <w:color w:val="000000" w:themeColor="text1"/>
        </w:rPr>
        <w:t xml:space="preserve"> setting between December 2017 and May 2018. We only included patients that were on biological therapy for at least three months. All fulfilled </w:t>
      </w:r>
      <w:r w:rsidRPr="00C83467">
        <w:rPr>
          <w:rFonts w:cstheme="minorHAnsi"/>
        </w:rPr>
        <w:t>the American College of Rheumatology 1987</w:t>
      </w:r>
      <w:r w:rsidRPr="00150A93">
        <w:rPr>
          <w:rFonts w:cstheme="minorHAnsi"/>
          <w:b/>
          <w:noProof/>
          <w:vertAlign w:val="superscript"/>
        </w:rPr>
        <w:t>8</w:t>
      </w:r>
      <w:r>
        <w:rPr>
          <w:rFonts w:cstheme="minorHAnsi"/>
        </w:rPr>
        <w:t xml:space="preserve"> </w:t>
      </w:r>
      <w:r w:rsidRPr="00C83467">
        <w:rPr>
          <w:rFonts w:cstheme="minorHAnsi"/>
        </w:rPr>
        <w:t>and 2010</w:t>
      </w:r>
      <w:r w:rsidRPr="00150A93">
        <w:rPr>
          <w:rFonts w:cstheme="minorHAnsi"/>
          <w:b/>
          <w:noProof/>
          <w:vertAlign w:val="superscript"/>
        </w:rPr>
        <w:t>9</w:t>
      </w:r>
      <w:r>
        <w:rPr>
          <w:rFonts w:cstheme="minorHAnsi"/>
        </w:rPr>
        <w:t xml:space="preserve"> </w:t>
      </w:r>
      <w:r w:rsidRPr="00C83467">
        <w:rPr>
          <w:rFonts w:cstheme="minorHAnsi"/>
        </w:rPr>
        <w:t>revised criteria for the classification of Rheumatoid Arthritis</w:t>
      </w:r>
      <w:r w:rsidRPr="00C83467">
        <w:rPr>
          <w:rFonts w:cstheme="minorHAnsi"/>
          <w:color w:val="000000" w:themeColor="text1"/>
        </w:rPr>
        <w:t xml:space="preserve"> (RA) </w:t>
      </w:r>
      <w:r w:rsidRPr="00C83467">
        <w:rPr>
          <w:rFonts w:cstheme="minorHAnsi"/>
        </w:rPr>
        <w:t xml:space="preserve">and were aged </w:t>
      </w:r>
      <w:r w:rsidRPr="00C83467">
        <w:rPr>
          <w:rFonts w:cstheme="minorHAnsi"/>
        </w:rPr>
        <w:sym w:font="Symbol" w:char="F0B3"/>
      </w:r>
      <w:r w:rsidRPr="00C83467">
        <w:rPr>
          <w:rFonts w:cstheme="minorHAnsi"/>
        </w:rPr>
        <w:t>18 years.</w:t>
      </w:r>
      <w:r w:rsidRPr="00C83467">
        <w:rPr>
          <w:rFonts w:cstheme="minorHAnsi"/>
          <w:color w:val="000000" w:themeColor="text1"/>
        </w:rPr>
        <w:t xml:space="preserve"> </w:t>
      </w:r>
      <w:r w:rsidRPr="00C83467">
        <w:rPr>
          <w:rFonts w:cstheme="minorHAnsi"/>
        </w:rPr>
        <w:t xml:space="preserve">Our Unit´s database allowed us to identify 94 patients with RA </w:t>
      </w:r>
      <w:r w:rsidRPr="00C83467">
        <w:rPr>
          <w:rFonts w:cstheme="minorHAnsi"/>
          <w:color w:val="000000" w:themeColor="text1"/>
        </w:rPr>
        <w:t>that started biological therapy (bDMARD) from 01/2002 to 12/2017. At the time of recall, seven patients were lost to follow-up, six patients had died, and four refused to participate in our study. Overall, recall involved 77 patients. Each patient underwent a physical examination, recording of disease activity and hand joint deformities and was requested to complete a questionnaire regarding demographic and social characteristics as well as generic Health Related Quality of Life</w:t>
      </w:r>
      <w:r>
        <w:rPr>
          <w:rFonts w:cstheme="minorHAnsi"/>
          <w:color w:val="000000" w:themeColor="text1"/>
        </w:rPr>
        <w:t xml:space="preserve"> (HR-</w:t>
      </w:r>
      <w:proofErr w:type="spellStart"/>
      <w:r>
        <w:rPr>
          <w:rFonts w:cstheme="minorHAnsi"/>
          <w:color w:val="000000" w:themeColor="text1"/>
        </w:rPr>
        <w:t>QoL</w:t>
      </w:r>
      <w:proofErr w:type="spellEnd"/>
      <w:r>
        <w:rPr>
          <w:rFonts w:cstheme="minorHAnsi"/>
          <w:color w:val="000000" w:themeColor="text1"/>
        </w:rPr>
        <w:t>)</w:t>
      </w:r>
      <w:r w:rsidRPr="00C83467">
        <w:rPr>
          <w:rFonts w:cstheme="minorHAnsi"/>
          <w:color w:val="000000" w:themeColor="text1"/>
        </w:rPr>
        <w:t xml:space="preserve"> questionnaires validated for Portugal.</w:t>
      </w:r>
      <w:r w:rsidRPr="00C83467" w:rsidDel="007C7861">
        <w:rPr>
          <w:rFonts w:cstheme="minorHAnsi"/>
          <w:color w:val="000000" w:themeColor="text1"/>
        </w:rPr>
        <w:t xml:space="preserve"> </w:t>
      </w:r>
      <w:r w:rsidRPr="00C83467">
        <w:rPr>
          <w:rFonts w:cstheme="minorHAnsi"/>
          <w:color w:val="000000" w:themeColor="text1"/>
        </w:rPr>
        <w:t xml:space="preserve"> Demographic and clinical data was also extracted from the medical records. The Charlson Comorbidity Index (CCI</w:t>
      </w:r>
      <w:proofErr w:type="gramStart"/>
      <w:r w:rsidRPr="00C83467">
        <w:rPr>
          <w:rFonts w:cstheme="minorHAnsi"/>
          <w:color w:val="000000" w:themeColor="text1"/>
        </w:rPr>
        <w:t>)</w:t>
      </w:r>
      <w:r w:rsidRPr="00150A93">
        <w:rPr>
          <w:rFonts w:cstheme="minorHAnsi"/>
          <w:b/>
          <w:noProof/>
          <w:color w:val="000000" w:themeColor="text1"/>
          <w:vertAlign w:val="superscript"/>
        </w:rPr>
        <w:t>10</w:t>
      </w:r>
      <w:proofErr w:type="gramEnd"/>
      <w:r w:rsidRPr="00C83467">
        <w:rPr>
          <w:rFonts w:cstheme="minorHAnsi"/>
          <w:color w:val="000000" w:themeColor="text1"/>
        </w:rPr>
        <w:t xml:space="preserve"> </w:t>
      </w:r>
      <w:r>
        <w:rPr>
          <w:rFonts w:cstheme="minorHAnsi"/>
          <w:color w:val="000000" w:themeColor="text1"/>
        </w:rPr>
        <w:t xml:space="preserve">which </w:t>
      </w:r>
      <w:r w:rsidRPr="00C83467">
        <w:rPr>
          <w:rFonts w:cstheme="minorHAnsi"/>
          <w:color w:val="000000" w:themeColor="text1"/>
          <w:lang w:val="en-GB"/>
        </w:rPr>
        <w:t>predicts 10-year survival in patients with multiple comorbidities was calculated for all patients at onset of bDMARD therapy and at time of recall.</w:t>
      </w:r>
      <w:r w:rsidRPr="00C83467">
        <w:rPr>
          <w:rFonts w:cstheme="minorHAnsi"/>
          <w:color w:val="000000" w:themeColor="text1"/>
        </w:rPr>
        <w:t xml:space="preserve"> Pharmacy refill information was obtained for every patient under self-administered biological therapy. </w:t>
      </w:r>
      <w:r>
        <w:rPr>
          <w:rFonts w:cstheme="minorHAnsi"/>
          <w:color w:val="000000" w:themeColor="text1"/>
        </w:rPr>
        <w:t xml:space="preserve">The study was registered at </w:t>
      </w:r>
      <w:proofErr w:type="spellStart"/>
      <w:r>
        <w:rPr>
          <w:rFonts w:cstheme="minorHAnsi"/>
          <w:color w:val="000000" w:themeColor="text1"/>
        </w:rPr>
        <w:t>EuroQol</w:t>
      </w:r>
      <w:proofErr w:type="spellEnd"/>
      <w:r>
        <w:rPr>
          <w:rFonts w:cstheme="minorHAnsi"/>
          <w:color w:val="000000" w:themeColor="text1"/>
        </w:rPr>
        <w:t xml:space="preserve"> Group website (14</w:t>
      </w:r>
      <w:r w:rsidRPr="00460432">
        <w:rPr>
          <w:rFonts w:cstheme="minorHAnsi"/>
          <w:color w:val="000000" w:themeColor="text1"/>
          <w:vertAlign w:val="superscript"/>
        </w:rPr>
        <w:t>th</w:t>
      </w:r>
      <w:r>
        <w:rPr>
          <w:rFonts w:cstheme="minorHAnsi"/>
          <w:color w:val="000000" w:themeColor="text1"/>
        </w:rPr>
        <w:t xml:space="preserve"> July 2013) and collaboration was obtained from Professor Pedro Lopes Ferreira (24</w:t>
      </w:r>
      <w:r w:rsidRPr="00460432">
        <w:rPr>
          <w:rFonts w:cstheme="minorHAnsi"/>
          <w:color w:val="000000" w:themeColor="text1"/>
          <w:vertAlign w:val="superscript"/>
        </w:rPr>
        <w:t>th</w:t>
      </w:r>
      <w:r>
        <w:rPr>
          <w:rFonts w:cstheme="minorHAnsi"/>
          <w:color w:val="000000" w:themeColor="text1"/>
        </w:rPr>
        <w:t xml:space="preserve"> January 2015). </w:t>
      </w:r>
      <w:r w:rsidRPr="00C83467">
        <w:rPr>
          <w:rFonts w:cstheme="minorHAnsi"/>
          <w:color w:val="000000" w:themeColor="text1"/>
        </w:rPr>
        <w:t xml:space="preserve">The study protocol was approved by the hospital </w:t>
      </w:r>
      <w:r>
        <w:rPr>
          <w:rFonts w:cstheme="minorHAnsi"/>
          <w:color w:val="000000" w:themeColor="text1"/>
        </w:rPr>
        <w:t xml:space="preserve">Ethics Committee (process 183/2015) and the </w:t>
      </w:r>
      <w:proofErr w:type="spellStart"/>
      <w:r w:rsidRPr="00460432">
        <w:rPr>
          <w:rFonts w:cstheme="minorHAnsi"/>
          <w:color w:val="000000" w:themeColor="text1"/>
        </w:rPr>
        <w:t>Comissão</w:t>
      </w:r>
      <w:proofErr w:type="spellEnd"/>
      <w:r w:rsidRPr="00460432">
        <w:rPr>
          <w:rFonts w:cstheme="minorHAnsi"/>
          <w:color w:val="000000" w:themeColor="text1"/>
        </w:rPr>
        <w:t xml:space="preserve"> Nacional de </w:t>
      </w:r>
      <w:proofErr w:type="spellStart"/>
      <w:r w:rsidRPr="00460432">
        <w:rPr>
          <w:rFonts w:cstheme="minorHAnsi"/>
          <w:color w:val="000000" w:themeColor="text1"/>
        </w:rPr>
        <w:t>Protecção</w:t>
      </w:r>
      <w:proofErr w:type="spellEnd"/>
      <w:r w:rsidRPr="00460432">
        <w:rPr>
          <w:rFonts w:cstheme="minorHAnsi"/>
          <w:color w:val="000000" w:themeColor="text1"/>
        </w:rPr>
        <w:t xml:space="preserve"> de Dados</w:t>
      </w:r>
      <w:r>
        <w:rPr>
          <w:rFonts w:cstheme="minorHAnsi"/>
          <w:color w:val="000000" w:themeColor="text1"/>
        </w:rPr>
        <w:t xml:space="preserve"> (3886/2016). </w:t>
      </w:r>
    </w:p>
    <w:p w14:paraId="2291A06C" w14:textId="77777777" w:rsidR="007A6A83" w:rsidRDefault="007A6A83" w:rsidP="00003F8D">
      <w:pPr>
        <w:spacing w:line="360" w:lineRule="auto"/>
        <w:ind w:firstLine="708"/>
        <w:jc w:val="both"/>
        <w:rPr>
          <w:rFonts w:cstheme="minorHAnsi"/>
          <w:b/>
          <w:color w:val="000000" w:themeColor="text1"/>
        </w:rPr>
      </w:pPr>
    </w:p>
    <w:p w14:paraId="47C421CE" w14:textId="77777777" w:rsidR="007A6A83" w:rsidRPr="00C83467" w:rsidRDefault="007A6A83" w:rsidP="00003F8D">
      <w:pPr>
        <w:spacing w:line="360" w:lineRule="auto"/>
        <w:jc w:val="both"/>
        <w:rPr>
          <w:rFonts w:cstheme="minorHAnsi"/>
          <w:b/>
          <w:color w:val="000000" w:themeColor="text1"/>
        </w:rPr>
      </w:pPr>
      <w:r w:rsidRPr="00C83467">
        <w:rPr>
          <w:rFonts w:cstheme="minorHAnsi"/>
          <w:b/>
          <w:color w:val="000000" w:themeColor="text1"/>
        </w:rPr>
        <w:t>2. THERAPEUTIC APPROACH</w:t>
      </w:r>
    </w:p>
    <w:p w14:paraId="4A51BC1E" w14:textId="77777777" w:rsidR="007A6A83" w:rsidRDefault="007A6A83" w:rsidP="00003F8D">
      <w:pPr>
        <w:spacing w:line="360" w:lineRule="auto"/>
        <w:ind w:firstLine="708"/>
        <w:jc w:val="both"/>
        <w:rPr>
          <w:rFonts w:cstheme="minorHAnsi"/>
          <w:color w:val="000000" w:themeColor="text1"/>
        </w:rPr>
      </w:pPr>
      <w:r>
        <w:rPr>
          <w:rFonts w:cstheme="minorHAnsi"/>
          <w:color w:val="000000" w:themeColor="text1"/>
        </w:rPr>
        <w:t>In the latter years, a</w:t>
      </w:r>
      <w:r w:rsidRPr="00C83467">
        <w:rPr>
          <w:rFonts w:cstheme="minorHAnsi"/>
          <w:color w:val="000000" w:themeColor="text1"/>
        </w:rPr>
        <w:t xml:space="preserve"> T2T approach was followed according to recommendations.</w:t>
      </w:r>
      <w:r w:rsidRPr="00150A93">
        <w:rPr>
          <w:rFonts w:cstheme="minorHAnsi"/>
          <w:b/>
          <w:noProof/>
          <w:color w:val="000000" w:themeColor="text1"/>
          <w:vertAlign w:val="superscript"/>
        </w:rPr>
        <w:t>5</w:t>
      </w:r>
      <w:r w:rsidRPr="00150A93">
        <w:rPr>
          <w:rFonts w:cstheme="minorHAnsi"/>
          <w:b/>
          <w:color w:val="000000" w:themeColor="text1"/>
        </w:rPr>
        <w:t xml:space="preserve"> </w:t>
      </w:r>
      <w:r w:rsidRPr="00C83467">
        <w:rPr>
          <w:rFonts w:cstheme="minorHAnsi"/>
          <w:color w:val="000000" w:themeColor="text1"/>
        </w:rPr>
        <w:t xml:space="preserve">When an anti-TNFα patient was intolerant to methotrexate, failed to reach at least low </w:t>
      </w:r>
      <w:r w:rsidRPr="00C83467">
        <w:rPr>
          <w:rFonts w:cstheme="minorHAnsi"/>
          <w:color w:val="000000" w:themeColor="text1"/>
        </w:rPr>
        <w:lastRenderedPageBreak/>
        <w:t xml:space="preserve">disease activity or presented with poor prognostic signs, a switch was performed, to rituximab, tocilizumab or </w:t>
      </w:r>
      <w:proofErr w:type="spellStart"/>
      <w:r w:rsidRPr="00C83467">
        <w:rPr>
          <w:rFonts w:cstheme="minorHAnsi"/>
          <w:color w:val="000000" w:themeColor="text1"/>
        </w:rPr>
        <w:t>abatacept</w:t>
      </w:r>
      <w:proofErr w:type="spellEnd"/>
      <w:r w:rsidRPr="00C83467">
        <w:rPr>
          <w:rFonts w:cstheme="minorHAnsi"/>
          <w:color w:val="000000" w:themeColor="text1"/>
        </w:rPr>
        <w:t xml:space="preserve">, depending on prior medical history and comorbidities and also according to marketing authorizations and ministry of health re-imbursement policies at the time. Rituximab was administered at the dose of 1 g, 2 weeks apart, with the exception of one patient with </w:t>
      </w:r>
      <w:proofErr w:type="spellStart"/>
      <w:r w:rsidRPr="00C83467">
        <w:rPr>
          <w:rFonts w:cstheme="minorHAnsi"/>
          <w:color w:val="000000" w:themeColor="text1"/>
        </w:rPr>
        <w:t>Sjögren´s</w:t>
      </w:r>
      <w:proofErr w:type="spellEnd"/>
      <w:r w:rsidRPr="00C83467">
        <w:rPr>
          <w:rFonts w:cstheme="minorHAnsi"/>
          <w:color w:val="000000" w:themeColor="text1"/>
        </w:rPr>
        <w:t xml:space="preserve"> syndrome that received 375 mg/m</w:t>
      </w:r>
      <w:r w:rsidRPr="00C83467">
        <w:rPr>
          <w:rFonts w:cstheme="minorHAnsi"/>
          <w:color w:val="000000" w:themeColor="text1"/>
          <w:vertAlign w:val="superscript"/>
        </w:rPr>
        <w:t>2</w:t>
      </w:r>
      <w:r w:rsidRPr="00C83467">
        <w:rPr>
          <w:rFonts w:cstheme="minorHAnsi"/>
          <w:color w:val="000000" w:themeColor="text1"/>
        </w:rPr>
        <w:t xml:space="preserve"> – 4 doses, weekly. Prednisolone was tapered and discontinued whenever possible. </w:t>
      </w:r>
    </w:p>
    <w:p w14:paraId="3CAAB466" w14:textId="77777777" w:rsidR="007A6A83" w:rsidRPr="00C83467" w:rsidRDefault="007A6A83" w:rsidP="00003F8D">
      <w:pPr>
        <w:spacing w:line="360" w:lineRule="auto"/>
        <w:ind w:firstLine="708"/>
        <w:jc w:val="both"/>
        <w:rPr>
          <w:rFonts w:cstheme="minorHAnsi"/>
          <w:b/>
          <w:color w:val="000000" w:themeColor="text1"/>
        </w:rPr>
      </w:pPr>
    </w:p>
    <w:p w14:paraId="7BD77D4D" w14:textId="77777777" w:rsidR="007A6A83" w:rsidRPr="00C83467" w:rsidRDefault="007A6A83" w:rsidP="00003F8D">
      <w:pPr>
        <w:spacing w:line="360" w:lineRule="auto"/>
        <w:jc w:val="both"/>
        <w:rPr>
          <w:rFonts w:cstheme="minorHAnsi"/>
          <w:b/>
          <w:color w:val="000000" w:themeColor="text1"/>
        </w:rPr>
      </w:pPr>
      <w:r w:rsidRPr="00C83467">
        <w:rPr>
          <w:rFonts w:cstheme="minorHAnsi"/>
          <w:b/>
          <w:color w:val="000000" w:themeColor="text1"/>
        </w:rPr>
        <w:t>3. DISEASE ACTIVITY AND DEFORMITIES</w:t>
      </w:r>
    </w:p>
    <w:p w14:paraId="14EEE16C" w14:textId="77777777" w:rsidR="007A6A83" w:rsidRDefault="007A6A83" w:rsidP="00003F8D">
      <w:pPr>
        <w:spacing w:line="360" w:lineRule="auto"/>
        <w:ind w:firstLine="708"/>
        <w:jc w:val="both"/>
        <w:rPr>
          <w:rFonts w:cstheme="minorHAnsi"/>
          <w:color w:val="000000" w:themeColor="text1"/>
        </w:rPr>
      </w:pPr>
      <w:r w:rsidRPr="00C83467">
        <w:rPr>
          <w:rFonts w:cstheme="minorHAnsi"/>
          <w:color w:val="000000" w:themeColor="text1"/>
        </w:rPr>
        <w:t>Disease activity was measured by Disease Activity Score 28-erythrocyte sedimentation rate [DAS28-ESR]</w:t>
      </w:r>
      <w:r w:rsidR="006E5C02" w:rsidRPr="00150A93">
        <w:rPr>
          <w:rFonts w:cstheme="minorHAnsi"/>
          <w:b/>
          <w:color w:val="000000" w:themeColor="text1"/>
          <w:vertAlign w:val="superscript"/>
        </w:rPr>
        <w:t>11</w:t>
      </w:r>
      <w:r w:rsidRPr="00150A93">
        <w:rPr>
          <w:rFonts w:cstheme="minorHAnsi"/>
          <w:b/>
          <w:color w:val="000000" w:themeColor="text1"/>
        </w:rPr>
        <w:t xml:space="preserve"> </w:t>
      </w:r>
      <w:r w:rsidRPr="00C83467">
        <w:rPr>
          <w:rFonts w:cstheme="minorHAnsi"/>
          <w:color w:val="000000" w:themeColor="text1"/>
        </w:rPr>
        <w:t>defined as follows: high disease activity (HDA) &gt; 5.1; moderate disease activity (MDA) ≥ 3.2 and ≤5.1; low disease activity (LDA) ≥ 2.6 and &lt; 3.2; remission &lt; 2.6. DAS28-ESR</w:t>
      </w:r>
      <w:r>
        <w:rPr>
          <w:rFonts w:cstheme="minorHAnsi"/>
          <w:color w:val="000000" w:themeColor="text1"/>
        </w:rPr>
        <w:t xml:space="preserve"> was routinely recorded at clinic visits. </w:t>
      </w:r>
      <w:r w:rsidRPr="00C83467">
        <w:rPr>
          <w:rFonts w:cstheme="minorHAnsi"/>
          <w:color w:val="000000" w:themeColor="text1"/>
        </w:rPr>
        <w:t xml:space="preserve">In a subset of patients, at recall, the number of wrist and hand deformities was counted by the physician per patient.  </w:t>
      </w:r>
    </w:p>
    <w:p w14:paraId="2B4A95D2" w14:textId="77777777" w:rsidR="007A6A83" w:rsidRPr="00C83467" w:rsidRDefault="007A6A83" w:rsidP="00003F8D">
      <w:pPr>
        <w:spacing w:line="360" w:lineRule="auto"/>
        <w:ind w:firstLine="708"/>
        <w:jc w:val="both"/>
        <w:rPr>
          <w:rFonts w:cstheme="minorHAnsi"/>
          <w:color w:val="000000" w:themeColor="text1"/>
        </w:rPr>
      </w:pPr>
    </w:p>
    <w:p w14:paraId="67626BDC" w14:textId="77777777" w:rsidR="007A6A83" w:rsidRPr="00C83467" w:rsidRDefault="007A6A83" w:rsidP="00003F8D">
      <w:pPr>
        <w:spacing w:line="360" w:lineRule="auto"/>
        <w:jc w:val="both"/>
        <w:rPr>
          <w:rFonts w:cstheme="minorHAnsi"/>
          <w:b/>
          <w:color w:val="000000" w:themeColor="text1"/>
        </w:rPr>
      </w:pPr>
      <w:r w:rsidRPr="00C83467">
        <w:rPr>
          <w:rFonts w:cstheme="minorHAnsi"/>
          <w:b/>
          <w:color w:val="000000" w:themeColor="text1"/>
        </w:rPr>
        <w:t xml:space="preserve">4. HEALTH ASSESSMENT QUESTIONNAIRE </w:t>
      </w:r>
    </w:p>
    <w:p w14:paraId="45D0B734" w14:textId="59E3EB63" w:rsidR="007A6A83" w:rsidRDefault="007A6A83" w:rsidP="00003F8D">
      <w:pPr>
        <w:spacing w:line="360" w:lineRule="auto"/>
        <w:ind w:firstLine="708"/>
        <w:jc w:val="both"/>
        <w:rPr>
          <w:rFonts w:cstheme="minorHAnsi"/>
          <w:color w:val="000000" w:themeColor="text1"/>
        </w:rPr>
      </w:pPr>
      <w:r w:rsidRPr="00C83467">
        <w:rPr>
          <w:rFonts w:cstheme="minorHAnsi"/>
          <w:color w:val="000000" w:themeColor="text1"/>
        </w:rPr>
        <w:t>The functional status was measured by the health assessment questionnaire (HAQ). The HAQ consists of eight categories which evaluate the patient’s difficulty with activities of daily living over the past week. The questionnaire consists of 41 total items: 20 specific activities are grouped into 8 functional categories with each category given a single score equal to the maximum value of their component activities, 13 additional questions on the use of assistive devices, and 8 additional questions assessing help received from others using a scale 0,</w:t>
      </w:r>
      <w:r w:rsidR="00B24FEE">
        <w:rPr>
          <w:rFonts w:cstheme="minorHAnsi"/>
          <w:color w:val="000000" w:themeColor="text1"/>
        </w:rPr>
        <w:t xml:space="preserve"> </w:t>
      </w:r>
      <w:r w:rsidRPr="00C83467">
        <w:rPr>
          <w:rFonts w:cstheme="minorHAnsi"/>
          <w:color w:val="000000" w:themeColor="text1"/>
        </w:rPr>
        <w:t>1, 2 or 3</w:t>
      </w:r>
      <w:r>
        <w:rPr>
          <w:rFonts w:cstheme="minorHAnsi"/>
          <w:color w:val="000000" w:themeColor="text1"/>
        </w:rPr>
        <w:t>.</w:t>
      </w:r>
      <w:r w:rsidRPr="00C83467">
        <w:rPr>
          <w:rFonts w:cstheme="minorHAnsi"/>
          <w:color w:val="000000" w:themeColor="text1"/>
        </w:rPr>
        <w:t xml:space="preserve"> </w:t>
      </w:r>
      <w:r w:rsidRPr="00F12AE6">
        <w:rPr>
          <w:rFonts w:cstheme="minorHAnsi"/>
          <w:color w:val="000000" w:themeColor="text1"/>
        </w:rPr>
        <w:t>The patient's responses are made on a scale from zero (no disability) to three (completely disabled)</w:t>
      </w:r>
      <w:r>
        <w:rPr>
          <w:rFonts w:cstheme="minorHAnsi"/>
          <w:color w:val="000000" w:themeColor="text1"/>
        </w:rPr>
        <w:t>.</w:t>
      </w:r>
      <w:r w:rsidR="00154DC9" w:rsidRPr="00150A93">
        <w:rPr>
          <w:rFonts w:cstheme="minorHAnsi"/>
          <w:b/>
          <w:color w:val="000000" w:themeColor="text1"/>
          <w:vertAlign w:val="superscript"/>
        </w:rPr>
        <w:t>12-15</w:t>
      </w:r>
      <w:r>
        <w:rPr>
          <w:rFonts w:cstheme="minorHAnsi"/>
          <w:color w:val="000000" w:themeColor="text1"/>
        </w:rPr>
        <w:t xml:space="preserve"> </w:t>
      </w:r>
    </w:p>
    <w:p w14:paraId="73112F63" w14:textId="77777777" w:rsidR="007A6A83" w:rsidRDefault="007A6A83" w:rsidP="00003F8D">
      <w:pPr>
        <w:spacing w:line="360" w:lineRule="auto"/>
        <w:ind w:firstLine="708"/>
        <w:jc w:val="both"/>
        <w:rPr>
          <w:rFonts w:cstheme="minorHAnsi"/>
          <w:b/>
          <w:color w:val="000000" w:themeColor="text1"/>
        </w:rPr>
      </w:pPr>
    </w:p>
    <w:p w14:paraId="7553DF93" w14:textId="77777777" w:rsidR="007A6A83" w:rsidRPr="00C83467" w:rsidRDefault="007A6A83" w:rsidP="00003F8D">
      <w:pPr>
        <w:spacing w:line="360" w:lineRule="auto"/>
        <w:jc w:val="both"/>
        <w:rPr>
          <w:rFonts w:cstheme="minorHAnsi"/>
          <w:color w:val="000000" w:themeColor="text1"/>
        </w:rPr>
      </w:pPr>
      <w:r w:rsidRPr="00C83467">
        <w:rPr>
          <w:rFonts w:cstheme="minorHAnsi"/>
          <w:b/>
          <w:color w:val="000000" w:themeColor="text1"/>
        </w:rPr>
        <w:t>5. PATIENT COMPLIANCE</w:t>
      </w:r>
      <w:r w:rsidRPr="00C83467">
        <w:rPr>
          <w:rFonts w:cstheme="minorHAnsi"/>
          <w:color w:val="000000" w:themeColor="text1"/>
        </w:rPr>
        <w:t xml:space="preserve"> </w:t>
      </w:r>
    </w:p>
    <w:p w14:paraId="2DB4F8EC" w14:textId="77777777" w:rsidR="007A6A83" w:rsidRDefault="007A6A83" w:rsidP="00003F8D">
      <w:pPr>
        <w:spacing w:line="360" w:lineRule="auto"/>
        <w:ind w:firstLine="708"/>
        <w:jc w:val="both"/>
        <w:rPr>
          <w:rFonts w:cstheme="minorHAnsi"/>
          <w:color w:val="000000" w:themeColor="text1"/>
        </w:rPr>
      </w:pPr>
      <w:r w:rsidRPr="00C83467">
        <w:rPr>
          <w:rFonts w:cstheme="minorHAnsi"/>
        </w:rPr>
        <w:t xml:space="preserve">Compliance was determined by the proportion of days covered (PDC) for the index biologic during the 12-month follow-up period. Non-compliance of self-administered biologics (etanercept adalimumab, </w:t>
      </w:r>
      <w:proofErr w:type="spellStart"/>
      <w:r w:rsidRPr="00C83467">
        <w:rPr>
          <w:rFonts w:cstheme="minorHAnsi"/>
        </w:rPr>
        <w:t>golimumab</w:t>
      </w:r>
      <w:proofErr w:type="spellEnd"/>
      <w:r w:rsidRPr="00C83467">
        <w:rPr>
          <w:rFonts w:cstheme="minorHAnsi"/>
        </w:rPr>
        <w:t xml:space="preserve"> and tocilizumab) was defined as proportion of days covered &lt;80% during the post index period.</w:t>
      </w:r>
      <w:r w:rsidRPr="00150A93">
        <w:rPr>
          <w:rFonts w:cstheme="minorHAnsi"/>
          <w:b/>
          <w:noProof/>
          <w:vertAlign w:val="superscript"/>
        </w:rPr>
        <w:t>16</w:t>
      </w:r>
      <w:r>
        <w:rPr>
          <w:rFonts w:cstheme="minorHAnsi"/>
        </w:rPr>
        <w:t xml:space="preserve"> </w:t>
      </w:r>
      <w:r w:rsidRPr="00C83467">
        <w:rPr>
          <w:rFonts w:cstheme="minorHAnsi"/>
        </w:rPr>
        <w:t xml:space="preserve">Patient </w:t>
      </w:r>
      <w:r w:rsidRPr="00C83467">
        <w:rPr>
          <w:rFonts w:cstheme="minorHAnsi"/>
          <w:color w:val="000000" w:themeColor="text1"/>
        </w:rPr>
        <w:t xml:space="preserve">compliance was obtained by using pharmacy refill information for the duration of one </w:t>
      </w:r>
      <w:r w:rsidRPr="00C83467">
        <w:rPr>
          <w:rFonts w:cstheme="minorHAnsi"/>
          <w:color w:val="000000" w:themeColor="text1"/>
        </w:rPr>
        <w:lastRenderedPageBreak/>
        <w:t xml:space="preserve">year prior to recall visit. Patients were considered non-compliant with medication when less than 80% of prescriptions were collected from the pharmacy. Patients under intravenous medication (rituximab, tocilizumab, infliximab, and </w:t>
      </w:r>
      <w:proofErr w:type="spellStart"/>
      <w:r w:rsidRPr="00C83467">
        <w:rPr>
          <w:rFonts w:cstheme="minorHAnsi"/>
          <w:color w:val="000000" w:themeColor="text1"/>
        </w:rPr>
        <w:t>abatacept</w:t>
      </w:r>
      <w:proofErr w:type="spellEnd"/>
      <w:r w:rsidRPr="00C83467">
        <w:rPr>
          <w:rFonts w:cstheme="minorHAnsi"/>
          <w:color w:val="000000" w:themeColor="text1"/>
        </w:rPr>
        <w:t xml:space="preserve">) were considered compliant since administration of biologics is performed in the Outpatient clinic by qualified nurses. </w:t>
      </w:r>
    </w:p>
    <w:p w14:paraId="12BE4C94" w14:textId="77777777" w:rsidR="007A6A83" w:rsidRPr="00C83467" w:rsidRDefault="007A6A83" w:rsidP="00003F8D">
      <w:pPr>
        <w:spacing w:line="360" w:lineRule="auto"/>
        <w:ind w:firstLine="708"/>
        <w:jc w:val="both"/>
        <w:rPr>
          <w:rFonts w:cstheme="minorHAnsi"/>
        </w:rPr>
      </w:pPr>
    </w:p>
    <w:p w14:paraId="298C9140" w14:textId="77777777" w:rsidR="007A6A83" w:rsidRPr="00C83467" w:rsidRDefault="007A6A83" w:rsidP="00003F8D">
      <w:pPr>
        <w:spacing w:line="360" w:lineRule="auto"/>
        <w:jc w:val="both"/>
        <w:rPr>
          <w:rFonts w:cstheme="minorHAnsi"/>
          <w:b/>
          <w:color w:val="000000" w:themeColor="text1"/>
        </w:rPr>
      </w:pPr>
      <w:r w:rsidRPr="00C83467">
        <w:rPr>
          <w:rFonts w:cstheme="minorHAnsi"/>
          <w:b/>
          <w:color w:val="000000" w:themeColor="text1"/>
        </w:rPr>
        <w:t>6. HEALTH RELATED QUALITY OF LIFE</w:t>
      </w:r>
    </w:p>
    <w:p w14:paraId="10AD02AB" w14:textId="77777777" w:rsidR="00780C4D" w:rsidRDefault="007A6A83" w:rsidP="000129E6">
      <w:pPr>
        <w:pStyle w:val="Pr-formataoHTML"/>
        <w:spacing w:line="360" w:lineRule="auto"/>
        <w:jc w:val="both"/>
        <w:rPr>
          <w:rFonts w:asciiTheme="minorHAnsi" w:hAnsiTheme="minorHAnsi" w:cstheme="minorHAnsi"/>
          <w:sz w:val="24"/>
          <w:szCs w:val="24"/>
          <w:lang w:val="en-GB"/>
        </w:rPr>
      </w:pPr>
      <w:r w:rsidRPr="00C83467">
        <w:rPr>
          <w:rFonts w:asciiTheme="minorHAnsi" w:hAnsiTheme="minorHAnsi" w:cstheme="minorHAnsi"/>
          <w:color w:val="000000" w:themeColor="text1"/>
          <w:sz w:val="24"/>
          <w:szCs w:val="24"/>
          <w:lang w:val="en-GB"/>
        </w:rPr>
        <w:tab/>
        <w:t>HR</w:t>
      </w:r>
      <w:r>
        <w:rPr>
          <w:rFonts w:asciiTheme="minorHAnsi" w:hAnsiTheme="minorHAnsi" w:cstheme="minorHAnsi"/>
          <w:color w:val="000000" w:themeColor="text1"/>
          <w:sz w:val="24"/>
          <w:szCs w:val="24"/>
          <w:lang w:val="en-GB"/>
        </w:rPr>
        <w:t>-</w:t>
      </w:r>
      <w:proofErr w:type="spellStart"/>
      <w:r w:rsidRPr="00C83467">
        <w:rPr>
          <w:rFonts w:asciiTheme="minorHAnsi" w:hAnsiTheme="minorHAnsi" w:cstheme="minorHAnsi"/>
          <w:color w:val="000000" w:themeColor="text1"/>
          <w:sz w:val="24"/>
          <w:szCs w:val="24"/>
          <w:lang w:val="en-GB"/>
        </w:rPr>
        <w:t>QoL</w:t>
      </w:r>
      <w:proofErr w:type="spellEnd"/>
      <w:r w:rsidRPr="00C83467">
        <w:rPr>
          <w:rFonts w:asciiTheme="minorHAnsi" w:hAnsiTheme="minorHAnsi" w:cstheme="minorHAnsi"/>
          <w:color w:val="000000" w:themeColor="text1"/>
          <w:sz w:val="24"/>
          <w:szCs w:val="24"/>
          <w:lang w:val="en-GB"/>
        </w:rPr>
        <w:t xml:space="preserve"> is defined as those aspects of quality of life that directly or indirectly relate to health, a concept that includes physical, psychological, and social domains</w:t>
      </w:r>
      <w:r w:rsidR="00780C4D">
        <w:rPr>
          <w:rFonts w:asciiTheme="minorHAnsi" w:hAnsiTheme="minorHAnsi" w:cstheme="minorHAnsi"/>
          <w:color w:val="000000" w:themeColor="text1"/>
          <w:sz w:val="24"/>
          <w:szCs w:val="24"/>
          <w:lang w:val="en-GB"/>
        </w:rPr>
        <w:t xml:space="preserve"> and was measured through t</w:t>
      </w:r>
      <w:r w:rsidRPr="000129E6">
        <w:rPr>
          <w:rFonts w:asciiTheme="minorHAnsi" w:hAnsiTheme="minorHAnsi" w:cstheme="minorHAnsi"/>
          <w:sz w:val="24"/>
          <w:szCs w:val="24"/>
          <w:lang w:val="en-GB"/>
        </w:rPr>
        <w:t>he Short Form (</w:t>
      </w:r>
      <w:r w:rsidR="00780C4D">
        <w:rPr>
          <w:rFonts w:asciiTheme="minorHAnsi" w:hAnsiTheme="minorHAnsi" w:cstheme="minorHAnsi"/>
          <w:sz w:val="24"/>
          <w:szCs w:val="24"/>
          <w:lang w:val="en-GB"/>
        </w:rPr>
        <w:t>SF-</w:t>
      </w:r>
      <w:r w:rsidRPr="000129E6">
        <w:rPr>
          <w:rFonts w:asciiTheme="minorHAnsi" w:hAnsiTheme="minorHAnsi" w:cstheme="minorHAnsi"/>
          <w:sz w:val="24"/>
          <w:szCs w:val="24"/>
          <w:lang w:val="en-GB"/>
        </w:rPr>
        <w:t xml:space="preserve">36) Health Survey </w:t>
      </w:r>
      <w:r w:rsidR="00780C4D">
        <w:rPr>
          <w:rFonts w:asciiTheme="minorHAnsi" w:hAnsiTheme="minorHAnsi" w:cstheme="minorHAnsi"/>
          <w:sz w:val="24"/>
          <w:szCs w:val="24"/>
          <w:lang w:val="en-GB"/>
        </w:rPr>
        <w:t xml:space="preserve">and the </w:t>
      </w:r>
      <w:proofErr w:type="spellStart"/>
      <w:r w:rsidR="00780C4D" w:rsidRPr="00780C4D">
        <w:rPr>
          <w:rFonts w:asciiTheme="minorHAnsi" w:hAnsiTheme="minorHAnsi" w:cstheme="minorHAnsi"/>
          <w:sz w:val="24"/>
          <w:szCs w:val="24"/>
          <w:lang w:val="en-GB"/>
        </w:rPr>
        <w:t>EuroQoL</w:t>
      </w:r>
      <w:proofErr w:type="spellEnd"/>
      <w:r w:rsidR="00780C4D" w:rsidRPr="00780C4D">
        <w:rPr>
          <w:rFonts w:asciiTheme="minorHAnsi" w:hAnsiTheme="minorHAnsi" w:cstheme="minorHAnsi"/>
          <w:sz w:val="24"/>
          <w:szCs w:val="24"/>
          <w:lang w:val="en-GB"/>
        </w:rPr>
        <w:t xml:space="preserve"> Group</w:t>
      </w:r>
      <w:r w:rsidR="00780C4D">
        <w:rPr>
          <w:rFonts w:asciiTheme="minorHAnsi" w:hAnsiTheme="minorHAnsi" w:cstheme="minorHAnsi"/>
          <w:sz w:val="24"/>
          <w:szCs w:val="24"/>
          <w:lang w:val="en-GB"/>
        </w:rPr>
        <w:t xml:space="preserve"> </w:t>
      </w:r>
      <w:r w:rsidR="00780C4D" w:rsidRPr="00780C4D">
        <w:rPr>
          <w:rFonts w:asciiTheme="minorHAnsi" w:hAnsiTheme="minorHAnsi" w:cstheme="minorHAnsi"/>
          <w:sz w:val="24"/>
          <w:szCs w:val="24"/>
          <w:lang w:val="en-GB"/>
        </w:rPr>
        <w:t>5D-3L</w:t>
      </w:r>
      <w:r w:rsidR="00780C4D">
        <w:rPr>
          <w:rFonts w:asciiTheme="minorHAnsi" w:hAnsiTheme="minorHAnsi" w:cstheme="minorHAnsi"/>
          <w:sz w:val="24"/>
          <w:szCs w:val="24"/>
          <w:lang w:val="en-GB"/>
        </w:rPr>
        <w:t xml:space="preserve"> (</w:t>
      </w:r>
      <w:r w:rsidR="00780C4D" w:rsidRPr="00780C4D">
        <w:rPr>
          <w:rFonts w:asciiTheme="minorHAnsi" w:hAnsiTheme="minorHAnsi" w:cstheme="minorHAnsi"/>
          <w:sz w:val="24"/>
          <w:szCs w:val="24"/>
          <w:lang w:val="en-GB"/>
        </w:rPr>
        <w:t>EQ-</w:t>
      </w:r>
      <w:r w:rsidR="00780C4D">
        <w:rPr>
          <w:rFonts w:asciiTheme="minorHAnsi" w:hAnsiTheme="minorHAnsi" w:cstheme="minorHAnsi"/>
          <w:sz w:val="24"/>
          <w:szCs w:val="24"/>
          <w:lang w:val="en-GB"/>
        </w:rPr>
        <w:t xml:space="preserve">5D-3L). </w:t>
      </w:r>
    </w:p>
    <w:p w14:paraId="584C195C" w14:textId="77777777" w:rsidR="007A6A83" w:rsidRPr="000129E6" w:rsidRDefault="00780C4D" w:rsidP="000129E6">
      <w:pPr>
        <w:pStyle w:val="Pr-formataoHTML"/>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ab/>
        <w:t xml:space="preserve">SF-36 </w:t>
      </w:r>
      <w:r w:rsidR="007A6A83" w:rsidRPr="000129E6">
        <w:rPr>
          <w:rFonts w:asciiTheme="minorHAnsi" w:hAnsiTheme="minorHAnsi" w:cstheme="minorHAnsi"/>
          <w:sz w:val="24"/>
          <w:szCs w:val="24"/>
          <w:lang w:val="en-GB"/>
        </w:rPr>
        <w:t xml:space="preserve">is a 36-item, patient-reported survey </w:t>
      </w:r>
      <w:r w:rsidR="000129E6">
        <w:rPr>
          <w:rFonts w:asciiTheme="minorHAnsi" w:hAnsiTheme="minorHAnsi" w:cstheme="minorHAnsi"/>
          <w:sz w:val="24"/>
          <w:szCs w:val="24"/>
          <w:lang w:val="en-GB"/>
        </w:rPr>
        <w:t xml:space="preserve">consisting </w:t>
      </w:r>
      <w:r w:rsidR="007A6A83" w:rsidRPr="000129E6">
        <w:rPr>
          <w:rFonts w:asciiTheme="minorHAnsi" w:hAnsiTheme="minorHAnsi" w:cstheme="minorHAnsi"/>
          <w:sz w:val="24"/>
          <w:szCs w:val="24"/>
          <w:lang w:val="en-GB"/>
        </w:rPr>
        <w:t>of eight scaled scores, which are the weighted sums of the questions in their section. Some questions have an inverted scale</w:t>
      </w:r>
      <w:r w:rsidR="000129E6">
        <w:rPr>
          <w:rFonts w:asciiTheme="minorHAnsi" w:hAnsiTheme="minorHAnsi" w:cstheme="minorHAnsi"/>
          <w:sz w:val="24"/>
          <w:szCs w:val="24"/>
          <w:lang w:val="en-GB"/>
        </w:rPr>
        <w:t xml:space="preserve">. </w:t>
      </w:r>
      <w:r w:rsidR="007A6A83" w:rsidRPr="000129E6">
        <w:rPr>
          <w:rFonts w:asciiTheme="minorHAnsi" w:hAnsiTheme="minorHAnsi" w:cstheme="minorHAnsi"/>
          <w:sz w:val="24"/>
          <w:szCs w:val="24"/>
          <w:lang w:val="en-GB"/>
        </w:rPr>
        <w:t xml:space="preserve">After each scale is directly transformed into a 0-100 scale, </w:t>
      </w:r>
      <w:r>
        <w:rPr>
          <w:rFonts w:asciiTheme="minorHAnsi" w:hAnsiTheme="minorHAnsi" w:cstheme="minorHAnsi"/>
          <w:sz w:val="24"/>
          <w:szCs w:val="24"/>
          <w:lang w:val="en-GB"/>
        </w:rPr>
        <w:t>t</w:t>
      </w:r>
      <w:r w:rsidR="007A6A83" w:rsidRPr="000129E6">
        <w:rPr>
          <w:rFonts w:asciiTheme="minorHAnsi" w:hAnsiTheme="minorHAnsi" w:cstheme="minorHAnsi"/>
          <w:sz w:val="24"/>
          <w:szCs w:val="24"/>
          <w:lang w:val="en-GB"/>
        </w:rPr>
        <w:t xml:space="preserve">he lower the score the higher the disability, in other words, a score of zero is equivalent to maximum disability and a score of 100 is equivalent to no disability. The eight dimensions are: vitality (V), physical functioning (PF), bodily pain (BP), general health perceptions (GH), physical role functioning (RP), emotional role functioning (RE), social role functioning (SF) and mental health (MH). Scoring algorithms allow for aggregating scores from the eight SF-36 subscales in two distinct scores: a Physical Component Summary (PCS) and a Mental Component Summary (MCS). The global health transition question (HTQ) asks respondents to rate their general health compared with 1 year ago, with five categories of response: ‘much better,’ ‘somewhat better,’ ‘about the same,’ ‘somewhat worse’ and ‘much worse. </w:t>
      </w:r>
      <w:r>
        <w:rPr>
          <w:rFonts w:asciiTheme="minorHAnsi" w:hAnsiTheme="minorHAnsi" w:cstheme="minorHAnsi"/>
          <w:sz w:val="24"/>
          <w:szCs w:val="24"/>
          <w:lang w:val="en-GB"/>
        </w:rPr>
        <w:t xml:space="preserve">In the present study </w:t>
      </w:r>
      <w:r w:rsidR="007A6A83" w:rsidRPr="000129E6">
        <w:rPr>
          <w:rFonts w:asciiTheme="minorHAnsi" w:hAnsiTheme="minorHAnsi" w:cstheme="minorHAnsi"/>
          <w:sz w:val="24"/>
          <w:szCs w:val="24"/>
          <w:lang w:val="en-GB"/>
        </w:rPr>
        <w:t>SF-36 was standardized according to the norms for the Portuguese population.</w:t>
      </w:r>
      <w:r w:rsidR="007A6A83" w:rsidRPr="00150A93">
        <w:rPr>
          <w:rFonts w:asciiTheme="minorHAnsi" w:hAnsiTheme="minorHAnsi" w:cstheme="minorHAnsi"/>
          <w:b/>
          <w:noProof/>
          <w:sz w:val="24"/>
          <w:szCs w:val="24"/>
          <w:vertAlign w:val="superscript"/>
          <w:lang w:val="en-GB"/>
        </w:rPr>
        <w:t>17,18</w:t>
      </w:r>
    </w:p>
    <w:p w14:paraId="12EB1FD7" w14:textId="0F53ED55" w:rsidR="007A6A83" w:rsidRDefault="00780C4D" w:rsidP="00003F8D">
      <w:pPr>
        <w:pStyle w:val="Pr-formataoHTML"/>
        <w:spacing w:line="360" w:lineRule="auto"/>
        <w:jc w:val="both"/>
        <w:rPr>
          <w:rFonts w:cstheme="minorHAnsi"/>
          <w:lang w:val="en-GB"/>
        </w:rPr>
      </w:pPr>
      <w:r>
        <w:rPr>
          <w:rFonts w:asciiTheme="minorHAnsi" w:hAnsiTheme="minorHAnsi" w:cstheme="minorHAnsi"/>
          <w:b/>
          <w:sz w:val="24"/>
          <w:szCs w:val="24"/>
          <w:lang w:val="en-GB"/>
        </w:rPr>
        <w:tab/>
      </w:r>
      <w:r w:rsidR="007A6A83" w:rsidRPr="00C83467">
        <w:rPr>
          <w:rFonts w:asciiTheme="minorHAnsi" w:hAnsiTheme="minorHAnsi" w:cstheme="minorHAnsi"/>
          <w:sz w:val="24"/>
          <w:szCs w:val="24"/>
          <w:lang w:val="en-GB"/>
        </w:rPr>
        <w:t xml:space="preserve">Each patient was asked to report their socio-demographic characteristics (age, gender, marital status) and complete the EQ-5D-3L in order to self-report their own health in </w:t>
      </w:r>
      <w:r w:rsidR="007A6A83">
        <w:rPr>
          <w:rFonts w:asciiTheme="minorHAnsi" w:hAnsiTheme="minorHAnsi" w:cstheme="minorHAnsi"/>
          <w:sz w:val="24"/>
          <w:szCs w:val="24"/>
          <w:lang w:val="en-GB"/>
        </w:rPr>
        <w:t>a</w:t>
      </w:r>
      <w:r w:rsidR="007A6A83" w:rsidRPr="00C83467">
        <w:rPr>
          <w:rFonts w:asciiTheme="minorHAnsi" w:hAnsiTheme="minorHAnsi" w:cstheme="minorHAnsi"/>
          <w:sz w:val="24"/>
          <w:szCs w:val="24"/>
          <w:lang w:val="en-GB"/>
        </w:rPr>
        <w:t xml:space="preserve"> five-dimension descriptive system (mobility, self-care, usual activities, pain/discomfort and anxiety/depression)</w:t>
      </w:r>
      <w:r w:rsidR="007A6A83">
        <w:rPr>
          <w:rFonts w:asciiTheme="minorHAnsi" w:hAnsiTheme="minorHAnsi" w:cstheme="minorHAnsi"/>
          <w:sz w:val="24"/>
          <w:szCs w:val="24"/>
          <w:lang w:val="en-GB"/>
        </w:rPr>
        <w:t xml:space="preserve">. </w:t>
      </w:r>
      <w:r w:rsidR="007A6A83" w:rsidRPr="004D147F">
        <w:rPr>
          <w:rFonts w:asciiTheme="minorHAnsi" w:hAnsiTheme="minorHAnsi" w:cstheme="minorHAnsi"/>
          <w:sz w:val="24"/>
          <w:szCs w:val="24"/>
          <w:lang w:val="en-GB"/>
        </w:rPr>
        <w:t>Each attribute has</w:t>
      </w:r>
      <w:r w:rsidR="007A6A83">
        <w:rPr>
          <w:rFonts w:asciiTheme="minorHAnsi" w:hAnsiTheme="minorHAnsi" w:cstheme="minorHAnsi"/>
          <w:sz w:val="24"/>
          <w:szCs w:val="24"/>
          <w:lang w:val="en-GB"/>
        </w:rPr>
        <w:t xml:space="preserve"> </w:t>
      </w:r>
      <w:r w:rsidR="007A6A83" w:rsidRPr="004D147F">
        <w:rPr>
          <w:rFonts w:asciiTheme="minorHAnsi" w:hAnsiTheme="minorHAnsi" w:cstheme="minorHAnsi"/>
          <w:sz w:val="24"/>
          <w:szCs w:val="24"/>
          <w:lang w:val="en-GB"/>
        </w:rPr>
        <w:t>three levels: no problems, some problems, and severe problems,</w:t>
      </w:r>
      <w:r w:rsidR="007A6A83">
        <w:rPr>
          <w:rFonts w:asciiTheme="minorHAnsi" w:hAnsiTheme="minorHAnsi" w:cstheme="minorHAnsi"/>
          <w:sz w:val="24"/>
          <w:szCs w:val="24"/>
          <w:lang w:val="en-GB"/>
        </w:rPr>
        <w:t xml:space="preserve"> </w:t>
      </w:r>
      <w:r w:rsidR="007A6A83" w:rsidRPr="004D147F">
        <w:rPr>
          <w:rFonts w:asciiTheme="minorHAnsi" w:hAnsiTheme="minorHAnsi" w:cstheme="minorHAnsi"/>
          <w:sz w:val="24"/>
          <w:szCs w:val="24"/>
          <w:lang w:val="en-GB"/>
        </w:rPr>
        <w:t xml:space="preserve">resulting in 243 </w:t>
      </w:r>
      <w:r w:rsidR="007A6A83">
        <w:rPr>
          <w:rFonts w:asciiTheme="minorHAnsi" w:hAnsiTheme="minorHAnsi" w:cstheme="minorHAnsi"/>
          <w:sz w:val="24"/>
          <w:szCs w:val="24"/>
          <w:lang w:val="en-GB"/>
        </w:rPr>
        <w:t>possible health states</w:t>
      </w:r>
      <w:r w:rsidR="00FF3400">
        <w:rPr>
          <w:rFonts w:asciiTheme="minorHAnsi" w:hAnsiTheme="minorHAnsi" w:cstheme="minorHAnsi"/>
          <w:sz w:val="24"/>
          <w:szCs w:val="24"/>
          <w:lang w:val="en-GB"/>
        </w:rPr>
        <w:t>, the best of which corresponds to a score of 1</w:t>
      </w:r>
      <w:r w:rsidR="007A6A83">
        <w:rPr>
          <w:rFonts w:asciiTheme="minorHAnsi" w:hAnsiTheme="minorHAnsi" w:cstheme="minorHAnsi"/>
          <w:sz w:val="24"/>
          <w:szCs w:val="24"/>
          <w:lang w:val="en-GB"/>
        </w:rPr>
        <w:t xml:space="preserve">.  </w:t>
      </w:r>
      <w:r w:rsidR="00FF3400" w:rsidRPr="004D147F">
        <w:rPr>
          <w:rFonts w:asciiTheme="minorHAnsi" w:hAnsiTheme="minorHAnsi" w:cstheme="minorHAnsi"/>
          <w:sz w:val="24"/>
          <w:szCs w:val="24"/>
          <w:lang w:val="en-GB"/>
        </w:rPr>
        <w:t>Each</w:t>
      </w:r>
      <w:r w:rsidR="00FF3400">
        <w:rPr>
          <w:rFonts w:asciiTheme="minorHAnsi" w:hAnsiTheme="minorHAnsi" w:cstheme="minorHAnsi"/>
          <w:sz w:val="24"/>
          <w:szCs w:val="24"/>
          <w:lang w:val="en-GB"/>
        </w:rPr>
        <w:t xml:space="preserve"> </w:t>
      </w:r>
      <w:r w:rsidR="00FF3400" w:rsidRPr="004D147F">
        <w:rPr>
          <w:rFonts w:asciiTheme="minorHAnsi" w:hAnsiTheme="minorHAnsi" w:cstheme="minorHAnsi"/>
          <w:sz w:val="24"/>
          <w:szCs w:val="24"/>
          <w:lang w:val="en-GB"/>
        </w:rPr>
        <w:t xml:space="preserve">health state </w:t>
      </w:r>
      <w:r w:rsidR="00FF3400">
        <w:rPr>
          <w:rFonts w:asciiTheme="minorHAnsi" w:hAnsiTheme="minorHAnsi" w:cstheme="minorHAnsi"/>
          <w:sz w:val="24"/>
          <w:szCs w:val="24"/>
          <w:lang w:val="en-GB"/>
        </w:rPr>
        <w:t>was then</w:t>
      </w:r>
      <w:r w:rsidR="00FF3400" w:rsidRPr="004D147F">
        <w:rPr>
          <w:rFonts w:asciiTheme="minorHAnsi" w:hAnsiTheme="minorHAnsi" w:cstheme="minorHAnsi"/>
          <w:sz w:val="24"/>
          <w:szCs w:val="24"/>
          <w:lang w:val="en-GB"/>
        </w:rPr>
        <w:t xml:space="preserve"> assigned an index </w:t>
      </w:r>
      <w:r w:rsidR="00FF3400">
        <w:rPr>
          <w:rFonts w:asciiTheme="minorHAnsi" w:hAnsiTheme="minorHAnsi" w:cstheme="minorHAnsi"/>
          <w:sz w:val="24"/>
          <w:szCs w:val="24"/>
          <w:lang w:val="en-GB"/>
        </w:rPr>
        <w:t>value</w:t>
      </w:r>
      <w:r w:rsidR="00FF3400" w:rsidRPr="004D147F">
        <w:rPr>
          <w:rFonts w:asciiTheme="minorHAnsi" w:hAnsiTheme="minorHAnsi" w:cstheme="minorHAnsi"/>
          <w:sz w:val="24"/>
          <w:szCs w:val="24"/>
          <w:lang w:val="en-GB"/>
        </w:rPr>
        <w:t xml:space="preserve"> by applying scores</w:t>
      </w:r>
      <w:r w:rsidR="00FF3400">
        <w:rPr>
          <w:rFonts w:asciiTheme="minorHAnsi" w:hAnsiTheme="minorHAnsi" w:cstheme="minorHAnsi"/>
          <w:sz w:val="24"/>
          <w:szCs w:val="24"/>
          <w:lang w:val="en-GB"/>
        </w:rPr>
        <w:t xml:space="preserve"> </w:t>
      </w:r>
      <w:r w:rsidR="00FF3400" w:rsidRPr="004D147F">
        <w:rPr>
          <w:rFonts w:asciiTheme="minorHAnsi" w:hAnsiTheme="minorHAnsi" w:cstheme="minorHAnsi"/>
          <w:sz w:val="24"/>
          <w:szCs w:val="24"/>
          <w:lang w:val="en-GB"/>
        </w:rPr>
        <w:t xml:space="preserve">from </w:t>
      </w:r>
      <w:r w:rsidR="00FF3400">
        <w:rPr>
          <w:rFonts w:asciiTheme="minorHAnsi" w:hAnsiTheme="minorHAnsi" w:cstheme="minorHAnsi"/>
          <w:sz w:val="24"/>
          <w:szCs w:val="24"/>
          <w:lang w:val="en-GB"/>
        </w:rPr>
        <w:t xml:space="preserve">national Portuguese preference weights (tariffs) using a </w:t>
      </w:r>
      <w:r w:rsidR="00FF3400">
        <w:rPr>
          <w:rFonts w:asciiTheme="minorHAnsi" w:hAnsiTheme="minorHAnsi" w:cstheme="minorHAnsi"/>
          <w:sz w:val="24"/>
          <w:szCs w:val="24"/>
          <w:lang w:val="en-GB"/>
        </w:rPr>
        <w:lastRenderedPageBreak/>
        <w:t>validated model</w:t>
      </w:r>
      <w:r w:rsidR="00FF3400" w:rsidRPr="00C83467">
        <w:rPr>
          <w:rFonts w:asciiTheme="minorHAnsi" w:hAnsiTheme="minorHAnsi" w:cstheme="minorHAnsi"/>
          <w:sz w:val="24"/>
          <w:szCs w:val="24"/>
          <w:lang w:val="en-GB"/>
        </w:rPr>
        <w:t>.</w:t>
      </w:r>
      <w:r w:rsidR="00FF3400" w:rsidRPr="00150A93">
        <w:rPr>
          <w:rFonts w:asciiTheme="minorHAnsi" w:hAnsiTheme="minorHAnsi" w:cstheme="minorHAnsi"/>
          <w:b/>
          <w:noProof/>
          <w:sz w:val="24"/>
          <w:szCs w:val="24"/>
          <w:vertAlign w:val="superscript"/>
          <w:lang w:val="en-GB"/>
        </w:rPr>
        <w:t>19,20</w:t>
      </w:r>
      <w:r w:rsidR="00FF3400">
        <w:rPr>
          <w:rFonts w:asciiTheme="minorHAnsi" w:hAnsiTheme="minorHAnsi" w:cstheme="minorHAnsi"/>
          <w:b/>
          <w:noProof/>
          <w:sz w:val="24"/>
          <w:szCs w:val="24"/>
          <w:vertAlign w:val="superscript"/>
          <w:lang w:val="en-GB"/>
        </w:rPr>
        <w:t xml:space="preserve"> </w:t>
      </w:r>
      <w:r w:rsidR="007A6A83">
        <w:rPr>
          <w:rFonts w:asciiTheme="minorHAnsi" w:hAnsiTheme="minorHAnsi" w:cstheme="minorHAnsi"/>
          <w:sz w:val="24"/>
          <w:szCs w:val="24"/>
          <w:lang w:val="en-GB"/>
        </w:rPr>
        <w:t xml:space="preserve">Indicated </w:t>
      </w:r>
      <w:r w:rsidR="007A6A83" w:rsidRPr="00C83467">
        <w:rPr>
          <w:rFonts w:asciiTheme="minorHAnsi" w:hAnsiTheme="minorHAnsi" w:cstheme="minorHAnsi"/>
          <w:sz w:val="24"/>
          <w:szCs w:val="24"/>
          <w:lang w:val="en-GB"/>
        </w:rPr>
        <w:t xml:space="preserve">on a </w:t>
      </w:r>
      <w:r w:rsidR="007A6A83">
        <w:rPr>
          <w:rFonts w:asciiTheme="minorHAnsi" w:hAnsiTheme="minorHAnsi" w:cstheme="minorHAnsi"/>
          <w:sz w:val="24"/>
          <w:szCs w:val="24"/>
          <w:lang w:val="en-GB"/>
        </w:rPr>
        <w:t>Visual Analogue Scale (</w:t>
      </w:r>
      <w:r w:rsidR="007A6A83" w:rsidRPr="00C83467">
        <w:rPr>
          <w:rFonts w:asciiTheme="minorHAnsi" w:hAnsiTheme="minorHAnsi" w:cstheme="minorHAnsi"/>
          <w:sz w:val="24"/>
          <w:szCs w:val="24"/>
          <w:lang w:val="en-GB"/>
        </w:rPr>
        <w:t>VAS</w:t>
      </w:r>
      <w:r w:rsidR="007A6A83">
        <w:rPr>
          <w:rFonts w:asciiTheme="minorHAnsi" w:hAnsiTheme="minorHAnsi" w:cstheme="minorHAnsi"/>
          <w:sz w:val="24"/>
          <w:szCs w:val="24"/>
          <w:lang w:val="en-GB"/>
        </w:rPr>
        <w:t xml:space="preserve">) range from </w:t>
      </w:r>
      <w:r w:rsidR="007A6A83" w:rsidRPr="00C83467">
        <w:rPr>
          <w:rFonts w:asciiTheme="minorHAnsi" w:hAnsiTheme="minorHAnsi" w:cstheme="minorHAnsi"/>
          <w:sz w:val="24"/>
          <w:szCs w:val="24"/>
          <w:lang w:val="en-GB"/>
        </w:rPr>
        <w:t xml:space="preserve">with endpoints 0 for the ‘‘worst imaginable health state’’ </w:t>
      </w:r>
      <w:r w:rsidR="007A6A83">
        <w:rPr>
          <w:rFonts w:asciiTheme="minorHAnsi" w:hAnsiTheme="minorHAnsi" w:cstheme="minorHAnsi"/>
          <w:sz w:val="24"/>
          <w:szCs w:val="24"/>
          <w:lang w:val="en-GB"/>
        </w:rPr>
        <w:t>to</w:t>
      </w:r>
      <w:r w:rsidR="007A6A83" w:rsidRPr="00C83467">
        <w:rPr>
          <w:rFonts w:asciiTheme="minorHAnsi" w:hAnsiTheme="minorHAnsi" w:cstheme="minorHAnsi"/>
          <w:sz w:val="24"/>
          <w:szCs w:val="24"/>
          <w:lang w:val="en-GB"/>
        </w:rPr>
        <w:t xml:space="preserve"> 100 for the ‘‘best imaginable health state’’. </w:t>
      </w:r>
    </w:p>
    <w:p w14:paraId="61313792" w14:textId="77777777" w:rsidR="007A6A83" w:rsidRDefault="007A6A83" w:rsidP="00003F8D">
      <w:pPr>
        <w:pStyle w:val="Pr-formataoHTML"/>
        <w:spacing w:line="360" w:lineRule="auto"/>
        <w:jc w:val="both"/>
        <w:rPr>
          <w:rFonts w:cstheme="minorHAnsi"/>
          <w:b/>
          <w:caps/>
          <w:color w:val="000000" w:themeColor="text1"/>
          <w:lang w:val="en-GB"/>
        </w:rPr>
      </w:pPr>
    </w:p>
    <w:p w14:paraId="382DCC48" w14:textId="77777777" w:rsidR="007A6A83" w:rsidRPr="00C83467" w:rsidRDefault="007A6A83" w:rsidP="00003F8D">
      <w:pPr>
        <w:spacing w:line="360" w:lineRule="auto"/>
        <w:jc w:val="both"/>
        <w:rPr>
          <w:rFonts w:cstheme="minorHAnsi"/>
          <w:b/>
          <w:caps/>
          <w:color w:val="000000" w:themeColor="text1"/>
          <w:lang w:val="en-GB"/>
        </w:rPr>
      </w:pPr>
      <w:r w:rsidRPr="00C83467">
        <w:rPr>
          <w:rFonts w:cstheme="minorHAnsi"/>
          <w:b/>
          <w:caps/>
          <w:color w:val="000000" w:themeColor="text1"/>
          <w:lang w:val="en-GB"/>
        </w:rPr>
        <w:t xml:space="preserve">7. Statistical analysis </w:t>
      </w:r>
    </w:p>
    <w:p w14:paraId="5002C3BE" w14:textId="77777777" w:rsidR="007A6A83" w:rsidRDefault="007A6A83" w:rsidP="00003F8D">
      <w:pPr>
        <w:spacing w:line="360" w:lineRule="auto"/>
        <w:ind w:firstLine="708"/>
        <w:jc w:val="both"/>
        <w:rPr>
          <w:rFonts w:cstheme="minorHAnsi"/>
          <w:color w:val="000000" w:themeColor="text1"/>
          <w:lang w:val="en-GB"/>
        </w:rPr>
      </w:pPr>
      <w:r w:rsidRPr="00C83467">
        <w:rPr>
          <w:rFonts w:cstheme="minorHAnsi"/>
          <w:color w:val="000000" w:themeColor="text1"/>
          <w:lang w:val="en-GB"/>
        </w:rPr>
        <w:t xml:space="preserve">According to distribution normality continuous variables were recorded as means (± standard deviation) or </w:t>
      </w:r>
      <w:r>
        <w:rPr>
          <w:rFonts w:cstheme="minorHAnsi"/>
          <w:color w:val="000000" w:themeColor="text1"/>
          <w:lang w:val="en-GB"/>
        </w:rPr>
        <w:t xml:space="preserve">medians </w:t>
      </w:r>
      <w:r w:rsidRPr="00060B9D">
        <w:rPr>
          <w:rFonts w:cstheme="minorHAnsi"/>
          <w:color w:val="000000" w:themeColor="text1"/>
          <w:lang w:val="en-GB"/>
        </w:rPr>
        <w:t>(IQR1 - IQR3)</w:t>
      </w:r>
      <w:r w:rsidRPr="00C83467">
        <w:rPr>
          <w:rFonts w:cstheme="minorHAnsi"/>
          <w:color w:val="000000" w:themeColor="text1"/>
          <w:lang w:val="en-GB"/>
        </w:rPr>
        <w:t xml:space="preserve"> and comparisons were made using the Mann-Whitney test. Dichotomous variables were examined by frequency distribution, recorded as proportions, and comparisons were made using the Chi-squared test or Fisher’s exact test for independent samples. The Wilcoxon Signed Rank test was used to compare paired means for continuous data that were not normally distributed. Correlations between continuous and nominal variables were analysed with Pearson's or Spearman´s correlation coefficient, respectively. </w:t>
      </w:r>
      <w:r>
        <w:rPr>
          <w:rFonts w:cstheme="minorHAnsi"/>
          <w:color w:val="000000" w:themeColor="text1"/>
          <w:lang w:val="en-GB"/>
        </w:rPr>
        <w:t>Only</w:t>
      </w:r>
      <w:r w:rsidRPr="00C83467">
        <w:rPr>
          <w:rFonts w:cstheme="minorHAnsi"/>
          <w:color w:val="000000" w:themeColor="text1"/>
          <w:lang w:val="en-GB"/>
        </w:rPr>
        <w:t xml:space="preserve"> </w:t>
      </w:r>
      <w:r w:rsidRPr="001760DB">
        <w:rPr>
          <w:rFonts w:cstheme="minorHAnsi"/>
          <w:color w:val="000000" w:themeColor="text1"/>
          <w:lang w:val="en-GB"/>
        </w:rPr>
        <w:t xml:space="preserve">moderate correlations (Spearman rho values &lt;0.40) were considered for the </w:t>
      </w:r>
      <w:r>
        <w:rPr>
          <w:rFonts w:cstheme="minorHAnsi"/>
          <w:color w:val="000000" w:themeColor="text1"/>
          <w:lang w:val="en-GB"/>
        </w:rPr>
        <w:t>regression</w:t>
      </w:r>
      <w:r w:rsidRPr="001760DB">
        <w:rPr>
          <w:rFonts w:cstheme="minorHAnsi"/>
          <w:color w:val="000000" w:themeColor="text1"/>
          <w:lang w:val="en-GB"/>
        </w:rPr>
        <w:t xml:space="preserve"> model.</w:t>
      </w:r>
      <w:r>
        <w:rPr>
          <w:rFonts w:cstheme="minorHAnsi"/>
          <w:color w:val="000000" w:themeColor="text1"/>
          <w:lang w:val="en-GB"/>
        </w:rPr>
        <w:t xml:space="preserve"> N</w:t>
      </w:r>
      <w:r w:rsidRPr="00C83467">
        <w:rPr>
          <w:rFonts w:cstheme="minorHAnsi"/>
          <w:color w:val="000000" w:themeColor="text1"/>
          <w:lang w:val="en-GB"/>
        </w:rPr>
        <w:t>ominal two-sided p values of &lt;0.05 were considered statistically significant. Analyses were performed using SPSS version 23.</w:t>
      </w:r>
    </w:p>
    <w:p w14:paraId="151C24D8" w14:textId="77777777" w:rsidR="007A6A83" w:rsidRPr="00C83467" w:rsidRDefault="007A6A83" w:rsidP="00003F8D">
      <w:pPr>
        <w:spacing w:line="360" w:lineRule="auto"/>
        <w:ind w:firstLine="708"/>
        <w:jc w:val="both"/>
        <w:rPr>
          <w:rFonts w:cstheme="minorHAnsi"/>
          <w:b/>
        </w:rPr>
      </w:pPr>
    </w:p>
    <w:p w14:paraId="73BE3D9E" w14:textId="77777777" w:rsidR="007A6A83" w:rsidRDefault="007A6A83" w:rsidP="00003F8D">
      <w:pPr>
        <w:spacing w:line="360" w:lineRule="auto"/>
        <w:jc w:val="both"/>
        <w:rPr>
          <w:rFonts w:cstheme="minorHAnsi"/>
          <w:b/>
        </w:rPr>
      </w:pPr>
      <w:r w:rsidRPr="00C83467">
        <w:rPr>
          <w:rFonts w:cstheme="minorHAnsi"/>
          <w:b/>
        </w:rPr>
        <w:t>RESULTS</w:t>
      </w:r>
    </w:p>
    <w:p w14:paraId="644EDDB8" w14:textId="77777777" w:rsidR="007A6A83" w:rsidRPr="00C83467" w:rsidRDefault="007A6A83" w:rsidP="00003F8D">
      <w:pPr>
        <w:spacing w:line="360" w:lineRule="auto"/>
        <w:jc w:val="both"/>
        <w:rPr>
          <w:rFonts w:cstheme="minorHAnsi"/>
          <w:b/>
        </w:rPr>
      </w:pPr>
    </w:p>
    <w:p w14:paraId="409CB77B" w14:textId="77777777" w:rsidR="007A6A83" w:rsidRPr="00B5141E" w:rsidRDefault="007A6A83" w:rsidP="00003F8D">
      <w:pPr>
        <w:spacing w:line="360" w:lineRule="auto"/>
        <w:jc w:val="both"/>
        <w:rPr>
          <w:rFonts w:cstheme="minorHAnsi"/>
          <w:b/>
          <w:caps/>
        </w:rPr>
      </w:pPr>
      <w:r w:rsidRPr="00B5141E">
        <w:rPr>
          <w:rFonts w:cstheme="minorHAnsi"/>
          <w:b/>
          <w:caps/>
        </w:rPr>
        <w:t xml:space="preserve">Result </w:t>
      </w:r>
      <w:r>
        <w:rPr>
          <w:rFonts w:cstheme="minorHAnsi"/>
          <w:b/>
          <w:caps/>
        </w:rPr>
        <w:t>1. Initial Patient Cohort</w:t>
      </w:r>
      <w:r w:rsidRPr="00B5141E">
        <w:rPr>
          <w:rFonts w:cstheme="minorHAnsi"/>
          <w:b/>
          <w:caps/>
        </w:rPr>
        <w:t>: demographic and clinical features</w:t>
      </w:r>
    </w:p>
    <w:p w14:paraId="5737C924" w14:textId="77777777" w:rsidR="007A6A83" w:rsidRDefault="007A6A83" w:rsidP="00003F8D">
      <w:pPr>
        <w:spacing w:line="360" w:lineRule="auto"/>
        <w:ind w:firstLine="708"/>
        <w:jc w:val="both"/>
        <w:rPr>
          <w:rFonts w:cstheme="minorHAnsi"/>
        </w:rPr>
      </w:pPr>
      <w:r w:rsidRPr="00C83467">
        <w:rPr>
          <w:rFonts w:cstheme="minorHAnsi"/>
        </w:rPr>
        <w:t xml:space="preserve">Overall 94 patients started bDMARD in their fifth decade of life, after a median disease duration of four years (Table I). The majority of patients were female and significantly younger than the male counterpart at bDMARD onset (p=0.038).  There were no other differences between the types of bDMARD as regards </w:t>
      </w:r>
      <w:r>
        <w:rPr>
          <w:rFonts w:cstheme="minorHAnsi"/>
        </w:rPr>
        <w:t>gender</w:t>
      </w:r>
      <w:r w:rsidRPr="00C83467">
        <w:rPr>
          <w:rFonts w:cstheme="minorHAnsi"/>
        </w:rPr>
        <w:t xml:space="preserve"> attribution (Supplementary Table I). Rheumatoid factor or anti-CCP </w:t>
      </w:r>
      <w:r>
        <w:rPr>
          <w:rFonts w:cstheme="minorHAnsi"/>
        </w:rPr>
        <w:t>antibodies tested positive in 81</w:t>
      </w:r>
      <w:r w:rsidRPr="00C83467">
        <w:rPr>
          <w:rFonts w:cstheme="minorHAnsi"/>
        </w:rPr>
        <w:t>% of the patients. The first patient started bDMARD in 2002. Methotrexate (MTX) - median dose 20 mg per week and corticosteroids - median dose prednisolone (PDN) equivalent 10 mg/day had failed to control disease activity in 87% and 6</w:t>
      </w:r>
      <w:r>
        <w:rPr>
          <w:rFonts w:cstheme="minorHAnsi"/>
        </w:rPr>
        <w:t>6</w:t>
      </w:r>
      <w:r w:rsidRPr="00C83467">
        <w:rPr>
          <w:rFonts w:cstheme="minorHAnsi"/>
        </w:rPr>
        <w:t>% of patients, respectively. Treated dyslipidemia and arterial hypertension were frequently documented, 1</w:t>
      </w:r>
      <w:r>
        <w:rPr>
          <w:rFonts w:cstheme="minorHAnsi"/>
        </w:rPr>
        <w:t>0% of patients were obese and 16</w:t>
      </w:r>
      <w:r w:rsidRPr="00C83467">
        <w:rPr>
          <w:rFonts w:cstheme="minorHAnsi"/>
        </w:rPr>
        <w:t xml:space="preserve">% </w:t>
      </w:r>
      <w:r>
        <w:rPr>
          <w:rFonts w:cstheme="minorHAnsi"/>
        </w:rPr>
        <w:t xml:space="preserve">were </w:t>
      </w:r>
      <w:r w:rsidRPr="00C83467">
        <w:rPr>
          <w:rFonts w:cstheme="minorHAnsi"/>
        </w:rPr>
        <w:t>smoke</w:t>
      </w:r>
      <w:r>
        <w:rPr>
          <w:rFonts w:cstheme="minorHAnsi"/>
        </w:rPr>
        <w:t>rs</w:t>
      </w:r>
      <w:r w:rsidRPr="00C83467">
        <w:rPr>
          <w:rFonts w:cstheme="minorHAnsi"/>
        </w:rPr>
        <w:t xml:space="preserve">. The Charlson comorbidity index estimated a median 10-year survival of 90%. </w:t>
      </w:r>
    </w:p>
    <w:p w14:paraId="122C53A8" w14:textId="77777777" w:rsidR="007A6A83" w:rsidRPr="00C83467" w:rsidRDefault="007A6A83" w:rsidP="00003F8D">
      <w:pPr>
        <w:spacing w:line="360" w:lineRule="auto"/>
        <w:ind w:firstLine="708"/>
        <w:jc w:val="both"/>
        <w:rPr>
          <w:rFonts w:cstheme="minorHAnsi"/>
        </w:rPr>
      </w:pPr>
    </w:p>
    <w:p w14:paraId="499204E2" w14:textId="77777777" w:rsidR="007A6A83" w:rsidRPr="00B5141E" w:rsidRDefault="007A6A83" w:rsidP="00003F8D">
      <w:pPr>
        <w:spacing w:line="360" w:lineRule="auto"/>
        <w:jc w:val="both"/>
        <w:rPr>
          <w:rFonts w:cstheme="minorHAnsi"/>
          <w:b/>
          <w:caps/>
        </w:rPr>
      </w:pPr>
      <w:r w:rsidRPr="00B5141E">
        <w:rPr>
          <w:rFonts w:cstheme="minorHAnsi"/>
          <w:b/>
          <w:caps/>
        </w:rPr>
        <w:lastRenderedPageBreak/>
        <w:t>Result 2. Recall Patient Cohort: demographic and clinical features</w:t>
      </w:r>
    </w:p>
    <w:p w14:paraId="01D23C6E" w14:textId="77777777" w:rsidR="007A6A83" w:rsidRPr="00C83467" w:rsidRDefault="007A6A83" w:rsidP="00003F8D">
      <w:pPr>
        <w:spacing w:line="360" w:lineRule="auto"/>
        <w:ind w:firstLine="708"/>
        <w:jc w:val="both"/>
        <w:rPr>
          <w:rFonts w:cstheme="minorHAnsi"/>
        </w:rPr>
      </w:pPr>
      <w:r w:rsidRPr="00C83467">
        <w:rPr>
          <w:rFonts w:cstheme="minorHAnsi"/>
        </w:rPr>
        <w:t>Recruitment was achieved in 77 patients</w:t>
      </w:r>
      <w:r>
        <w:rPr>
          <w:rFonts w:cstheme="minorHAnsi"/>
        </w:rPr>
        <w:t xml:space="preserve">, the majority of whom between 47 and 66 years of age (table II). </w:t>
      </w:r>
      <w:r w:rsidRPr="00C83467">
        <w:rPr>
          <w:rFonts w:cstheme="minorHAnsi"/>
        </w:rPr>
        <w:t xml:space="preserve">However, as regards professional status almost half of the population was in retirement (49%) and 28% were unemployed. </w:t>
      </w:r>
      <w:r w:rsidR="000C488D">
        <w:rPr>
          <w:rFonts w:cstheme="minorHAnsi"/>
        </w:rPr>
        <w:t xml:space="preserve">The majority (40.8%) </w:t>
      </w:r>
      <w:r w:rsidR="000C488D" w:rsidRPr="00C83467">
        <w:rPr>
          <w:rFonts w:cstheme="minorHAnsi"/>
        </w:rPr>
        <w:t>only had 4 years of schooling</w:t>
      </w:r>
      <w:r w:rsidR="000C488D">
        <w:rPr>
          <w:rFonts w:cstheme="minorHAnsi"/>
        </w:rPr>
        <w:t xml:space="preserve">; </w:t>
      </w:r>
      <w:r w:rsidRPr="00C83467">
        <w:rPr>
          <w:rFonts w:cstheme="minorHAnsi"/>
        </w:rPr>
        <w:t>11% had completed 12 years of schooling</w:t>
      </w:r>
      <w:r w:rsidR="000C488D">
        <w:rPr>
          <w:rFonts w:cstheme="minorHAnsi"/>
        </w:rPr>
        <w:t xml:space="preserve"> and 17% underwent</w:t>
      </w:r>
      <w:r w:rsidRPr="00C83467">
        <w:rPr>
          <w:rFonts w:cstheme="minorHAnsi"/>
        </w:rPr>
        <w:t xml:space="preserve"> </w:t>
      </w:r>
      <w:r w:rsidR="000C488D">
        <w:rPr>
          <w:rFonts w:cstheme="minorHAnsi"/>
        </w:rPr>
        <w:t xml:space="preserve">a </w:t>
      </w:r>
      <w:r w:rsidRPr="00C83467">
        <w:rPr>
          <w:rFonts w:cstheme="minorHAnsi"/>
        </w:rPr>
        <w:t xml:space="preserve">university education, the latter </w:t>
      </w:r>
      <w:r>
        <w:rPr>
          <w:rFonts w:cstheme="minorHAnsi"/>
        </w:rPr>
        <w:t xml:space="preserve">three times </w:t>
      </w:r>
      <w:r w:rsidRPr="00C83467">
        <w:rPr>
          <w:rFonts w:cstheme="minorHAnsi"/>
        </w:rPr>
        <w:t xml:space="preserve">more frequent in </w:t>
      </w:r>
      <w:r w:rsidR="000C488D">
        <w:rPr>
          <w:rFonts w:cstheme="minorHAnsi"/>
        </w:rPr>
        <w:t>men</w:t>
      </w:r>
      <w:r w:rsidRPr="00C83467">
        <w:rPr>
          <w:rFonts w:cstheme="minorHAnsi"/>
        </w:rPr>
        <w:t xml:space="preserve">. </w:t>
      </w:r>
      <w:r w:rsidR="00CB62B7">
        <w:rPr>
          <w:rFonts w:cstheme="minorHAnsi"/>
        </w:rPr>
        <w:t>Only 17% were single</w:t>
      </w:r>
      <w:r w:rsidR="00CB62B7" w:rsidRPr="00C83467">
        <w:rPr>
          <w:rFonts w:cstheme="minorHAnsi"/>
        </w:rPr>
        <w:t>.</w:t>
      </w:r>
    </w:p>
    <w:p w14:paraId="7964F1C5" w14:textId="27A32EB0" w:rsidR="007A6A83" w:rsidRPr="00C83467" w:rsidRDefault="007A6A83" w:rsidP="00003F8D">
      <w:pPr>
        <w:spacing w:line="360" w:lineRule="auto"/>
        <w:ind w:firstLine="708"/>
        <w:jc w:val="both"/>
        <w:rPr>
          <w:rFonts w:cstheme="minorHAnsi"/>
        </w:rPr>
      </w:pPr>
      <w:r w:rsidRPr="00C83467">
        <w:rPr>
          <w:rFonts w:cstheme="minorHAnsi"/>
        </w:rPr>
        <w:t>Over two thirds (79%) of the patients remained on bDMARD (n=61), the majority of whom were on etanercept and tocilizumab; 75% remained on the original bDMARD with an adequate compliance</w:t>
      </w:r>
      <w:r>
        <w:rPr>
          <w:rFonts w:cstheme="minorHAnsi"/>
        </w:rPr>
        <w:t xml:space="preserve"> (Table III)</w:t>
      </w:r>
      <w:r w:rsidRPr="00C83467">
        <w:rPr>
          <w:rFonts w:cstheme="minorHAnsi"/>
        </w:rPr>
        <w:t xml:space="preserve">. Approximately </w:t>
      </w:r>
      <w:r w:rsidR="006D5141">
        <w:rPr>
          <w:rFonts w:cstheme="minorHAnsi"/>
        </w:rPr>
        <w:t>one fifth</w:t>
      </w:r>
      <w:r w:rsidRPr="00C83467">
        <w:rPr>
          <w:rFonts w:cstheme="minorHAnsi"/>
        </w:rPr>
        <w:t xml:space="preserve"> of the patients stopped bDMARD (n=16), mostly due to infection but also because of primar</w:t>
      </w:r>
      <w:r w:rsidR="004E0F36">
        <w:rPr>
          <w:rFonts w:cstheme="minorHAnsi"/>
        </w:rPr>
        <w:t xml:space="preserve">y or secondary failure or </w:t>
      </w:r>
      <w:proofErr w:type="spellStart"/>
      <w:r w:rsidR="004E0F36">
        <w:rPr>
          <w:rFonts w:cstheme="minorHAnsi"/>
        </w:rPr>
        <w:t>wil</w:t>
      </w:r>
      <w:r w:rsidRPr="00C83467">
        <w:rPr>
          <w:rFonts w:cstheme="minorHAnsi"/>
        </w:rPr>
        <w:t>fully</w:t>
      </w:r>
      <w:proofErr w:type="spellEnd"/>
      <w:r w:rsidRPr="00C83467">
        <w:rPr>
          <w:rFonts w:cstheme="minorHAnsi"/>
        </w:rPr>
        <w:t xml:space="preserve"> due to subjectively controlled disease activity. </w:t>
      </w:r>
      <w:r w:rsidR="005F594B">
        <w:rPr>
          <w:rFonts w:cstheme="minorHAnsi"/>
        </w:rPr>
        <w:t>One third of patients (n=22)</w:t>
      </w:r>
      <w:r>
        <w:rPr>
          <w:rFonts w:cstheme="minorHAnsi"/>
        </w:rPr>
        <w:t xml:space="preserve"> </w:t>
      </w:r>
      <w:r w:rsidRPr="00C83467">
        <w:rPr>
          <w:rFonts w:cstheme="minorHAnsi"/>
        </w:rPr>
        <w:t xml:space="preserve">switched from the original bDMARD, 14 having required further switches. Maximal number of 3 and 4 switches occurred in single patients. After bDMARD onset, MTX use reduced from 95 to 22% (p=0.002, Chi square test between frequencies). Likewise, steroid use significantly decreased from 74 to 30%, (p&lt;0.001, Chi square test between frequencies), halving the prednisolone equivalent dose to a median of 5 mg/day. Of note, the frequency of steroid use was slightly higher in those patients that discontinued bDMARD. </w:t>
      </w:r>
      <w:r w:rsidRPr="00C83467">
        <w:rPr>
          <w:rFonts w:cstheme="minorHAnsi"/>
          <w:lang w:val="en-GB"/>
        </w:rPr>
        <w:t xml:space="preserve">Approximately 40% presented </w:t>
      </w:r>
      <w:r w:rsidRPr="00C83467">
        <w:rPr>
          <w:rFonts w:cstheme="minorHAnsi"/>
        </w:rPr>
        <w:t>hand deformities, but the median number of deformities per patient was generally very low. Smoking, obesity, chronic anxiety and depression were only registered in females while dyslipidemia and arterial hypertension were equally distributed among the participants. The original age difference between males and females was no longer present, with no other difference between sexes as regards demographic features, disease duration from diagnosis to recall, onset of first bDMARD and follow-up</w:t>
      </w:r>
      <w:r>
        <w:rPr>
          <w:rFonts w:cstheme="minorHAnsi"/>
        </w:rPr>
        <w:t>.</w:t>
      </w:r>
      <w:r w:rsidRPr="00C83467">
        <w:rPr>
          <w:rFonts w:cstheme="minorHAnsi"/>
        </w:rPr>
        <w:t xml:space="preserve"> </w:t>
      </w:r>
      <w:r w:rsidRPr="00C83467">
        <w:rPr>
          <w:rFonts w:cstheme="minorHAnsi"/>
          <w:lang w:val="en-GB"/>
        </w:rPr>
        <w:t>Unlike before, t</w:t>
      </w:r>
      <w:r w:rsidRPr="00C83467">
        <w:rPr>
          <w:rFonts w:cstheme="minorHAnsi"/>
        </w:rPr>
        <w:t>he Charlson comorbidity index was now higher in man than women, estimating a lower 10-year survival for the former</w:t>
      </w:r>
      <w:r>
        <w:rPr>
          <w:rFonts w:cstheme="minorHAnsi"/>
        </w:rPr>
        <w:t xml:space="preserve"> (p=0.019)</w:t>
      </w:r>
      <w:r w:rsidRPr="00C83467">
        <w:rPr>
          <w:rFonts w:cstheme="minorHAnsi"/>
        </w:rPr>
        <w:t xml:space="preserve"> (</w:t>
      </w:r>
      <w:r>
        <w:rPr>
          <w:rFonts w:cstheme="minorHAnsi"/>
        </w:rPr>
        <w:t xml:space="preserve">Supplementary </w:t>
      </w:r>
      <w:r w:rsidRPr="00C83467">
        <w:rPr>
          <w:rFonts w:cstheme="minorHAnsi"/>
        </w:rPr>
        <w:t>Table II).</w:t>
      </w:r>
    </w:p>
    <w:p w14:paraId="309BFA0C" w14:textId="77777777" w:rsidR="007A6A83" w:rsidRDefault="007A6A83" w:rsidP="00003F8D">
      <w:pPr>
        <w:spacing w:line="360" w:lineRule="auto"/>
        <w:ind w:firstLine="708"/>
        <w:jc w:val="both"/>
        <w:rPr>
          <w:rFonts w:cstheme="minorHAnsi"/>
        </w:rPr>
      </w:pPr>
      <w:r w:rsidRPr="0017195F">
        <w:rPr>
          <w:rFonts w:cstheme="minorHAnsi"/>
        </w:rPr>
        <w:t>At recall, DAS28-ESR and HAQ were significantly lower when compared to the pre-bDMARD values, both with a p value &lt;0.001, [CI -2.56 to -1.6 and -1.04 to -0.533) respectively (Wilcoxon Signed Rank test)].</w:t>
      </w:r>
      <w:r w:rsidRPr="00C83467">
        <w:rPr>
          <w:rFonts w:cstheme="minorHAnsi"/>
        </w:rPr>
        <w:t xml:space="preserve"> However the recall median DAS28-ESR of 3.2 (IQR 2.390 – 3.950) was borderline between low and moderate disease activity, irrespective of current bDMARD therapy (p=0.917 Mann Whitney-U test - MWU). The </w:t>
      </w:r>
      <w:r w:rsidRPr="00C83467">
        <w:rPr>
          <w:rFonts w:cstheme="minorHAnsi"/>
        </w:rPr>
        <w:lastRenderedPageBreak/>
        <w:t>median HAQ-DI index at recall was 1.</w:t>
      </w:r>
      <w:r>
        <w:rPr>
          <w:rFonts w:cstheme="minorHAnsi"/>
        </w:rPr>
        <w:t>31</w:t>
      </w:r>
      <w:r w:rsidRPr="00C83467">
        <w:rPr>
          <w:rFonts w:cstheme="minorHAnsi"/>
        </w:rPr>
        <w:t>0 (IQR 0.500 – 1.810) similarly indicative of mild to moderate disability</w:t>
      </w:r>
      <w:r>
        <w:rPr>
          <w:rFonts w:cstheme="minorHAnsi"/>
        </w:rPr>
        <w:t xml:space="preserve"> and best correlated to pre-bDMARD HAQ</w:t>
      </w:r>
      <w:r w:rsidRPr="00C83467">
        <w:rPr>
          <w:rFonts w:cstheme="minorHAnsi"/>
        </w:rPr>
        <w:t>. Of note, the pre-bDMARD HAQ could only be obtained for 28</w:t>
      </w:r>
      <w:r>
        <w:rPr>
          <w:rFonts w:cstheme="minorHAnsi"/>
        </w:rPr>
        <w:t xml:space="preserve"> of the 77</w:t>
      </w:r>
      <w:r w:rsidRPr="00C83467">
        <w:rPr>
          <w:rFonts w:cstheme="minorHAnsi"/>
        </w:rPr>
        <w:t xml:space="preserve"> patients at recall. </w:t>
      </w:r>
    </w:p>
    <w:p w14:paraId="6AD462EB" w14:textId="77777777" w:rsidR="007A6A83" w:rsidRDefault="007A6A83" w:rsidP="00003F8D">
      <w:pPr>
        <w:spacing w:line="360" w:lineRule="auto"/>
        <w:ind w:firstLine="708"/>
        <w:jc w:val="both"/>
        <w:rPr>
          <w:rFonts w:cstheme="minorHAnsi"/>
        </w:rPr>
      </w:pPr>
      <w:r w:rsidRPr="00C83467">
        <w:rPr>
          <w:rFonts w:cstheme="minorHAnsi"/>
        </w:rPr>
        <w:t>Recall disease activity measured by DAS28 was significantly determined by pre-bDMARD DAS28, number of deformities per patient and number of patients on steroids that had stopped bDMARD therapy (adjusted R</w:t>
      </w:r>
      <w:r w:rsidRPr="00C83467">
        <w:rPr>
          <w:rFonts w:cstheme="minorHAnsi"/>
          <w:vertAlign w:val="superscript"/>
        </w:rPr>
        <w:t>2</w:t>
      </w:r>
      <w:r w:rsidRPr="00C83467">
        <w:rPr>
          <w:rFonts w:cstheme="minorHAnsi"/>
        </w:rPr>
        <w:t xml:space="preserve"> 0.9, p&lt; 0.001), the latter contributing most significa</w:t>
      </w:r>
      <w:r>
        <w:rPr>
          <w:rFonts w:cstheme="minorHAnsi"/>
        </w:rPr>
        <w:t>ntly to recall disease activity. Recall functional impairment measured by HAQ was only moderately positively correlated with pre-bDMARD HAQ (r=0.563, p=0.002) and negatively moderately correlated to SF-36 HR-</w:t>
      </w:r>
      <w:proofErr w:type="spellStart"/>
      <w:r>
        <w:rPr>
          <w:rFonts w:cstheme="minorHAnsi"/>
        </w:rPr>
        <w:t>QoL</w:t>
      </w:r>
      <w:proofErr w:type="spellEnd"/>
      <w:r>
        <w:rPr>
          <w:rFonts w:cstheme="minorHAnsi"/>
        </w:rPr>
        <w:t xml:space="preserve"> indices (PCS and MCS) and EQ-5D-3L VAS. </w:t>
      </w:r>
      <w:r w:rsidRPr="00C83467">
        <w:rPr>
          <w:rFonts w:cstheme="minorHAnsi"/>
        </w:rPr>
        <w:t>Other than the correlation between age, duration of disease and follow-up</w:t>
      </w:r>
      <w:r>
        <w:rPr>
          <w:rFonts w:cstheme="minorHAnsi"/>
        </w:rPr>
        <w:t xml:space="preserve"> and</w:t>
      </w:r>
      <w:r w:rsidRPr="00C83467">
        <w:rPr>
          <w:rFonts w:cstheme="minorHAnsi"/>
        </w:rPr>
        <w:t xml:space="preserve"> besides the Charlson morbidity index (r=0.7, p=0.001, Pearson correlation), there were no other strong correlations between continuous variables at </w:t>
      </w:r>
      <w:r w:rsidRPr="00D1337F">
        <w:rPr>
          <w:rFonts w:cstheme="minorHAnsi"/>
        </w:rPr>
        <w:t>recall (Supplementary Table IV). Spearman correlations between clinical parameters revealed that retention of the original bDMARD was positively correlated with the duration of bDMARD therapy (r=0.412, p=0.001), positively with pre-DMARD MTX use(r=0.4, p&lt;0.001), yet negatively to recall MTX (r=-0.9, p&lt;0.001). MTX dose at recall was in turn negatively correlated to the number of switches per patient (r=- 0.5, p=0.02) as well as to bDMARD discontinuation/on steroids (r=- 0.9, p=0.04) (Supplementary Table V – only moderate and strong significant correlations are shown).</w:t>
      </w:r>
      <w:r w:rsidRPr="00C83467">
        <w:rPr>
          <w:rFonts w:cstheme="minorHAnsi"/>
        </w:rPr>
        <w:t xml:space="preserve"> </w:t>
      </w:r>
    </w:p>
    <w:p w14:paraId="70E3B2ED" w14:textId="77777777" w:rsidR="007A6A83" w:rsidRDefault="007A6A83" w:rsidP="00003F8D">
      <w:pPr>
        <w:spacing w:line="360" w:lineRule="auto"/>
        <w:ind w:firstLine="708"/>
        <w:jc w:val="both"/>
        <w:rPr>
          <w:rFonts w:cstheme="minorHAnsi"/>
          <w:b/>
          <w:i/>
        </w:rPr>
      </w:pPr>
    </w:p>
    <w:p w14:paraId="6A541B1E" w14:textId="77777777" w:rsidR="007A6A83" w:rsidRPr="00B5141E" w:rsidRDefault="007A6A83" w:rsidP="00003F8D">
      <w:pPr>
        <w:spacing w:line="360" w:lineRule="auto"/>
        <w:jc w:val="both"/>
        <w:rPr>
          <w:rFonts w:cstheme="minorHAnsi"/>
          <w:b/>
          <w:caps/>
        </w:rPr>
      </w:pPr>
      <w:r w:rsidRPr="00B5141E">
        <w:rPr>
          <w:rFonts w:cstheme="minorHAnsi"/>
          <w:b/>
          <w:caps/>
        </w:rPr>
        <w:t xml:space="preserve">Result 3. Recall Patient Cohort: </w:t>
      </w:r>
      <w:r>
        <w:rPr>
          <w:rFonts w:cstheme="minorHAnsi"/>
          <w:b/>
          <w:caps/>
        </w:rPr>
        <w:t xml:space="preserve">HEALTH RELATED </w:t>
      </w:r>
      <w:r w:rsidRPr="00B5141E">
        <w:rPr>
          <w:rFonts w:cstheme="minorHAnsi"/>
          <w:b/>
          <w:caps/>
        </w:rPr>
        <w:t>quality of life outcomes</w:t>
      </w:r>
    </w:p>
    <w:p w14:paraId="37A132D4" w14:textId="77777777" w:rsidR="007A6A83" w:rsidRDefault="007A6A83" w:rsidP="00003F8D">
      <w:pPr>
        <w:spacing w:line="360" w:lineRule="auto"/>
        <w:ind w:firstLine="708"/>
        <w:jc w:val="both"/>
        <w:rPr>
          <w:rFonts w:cstheme="minorHAnsi"/>
        </w:rPr>
      </w:pPr>
      <w:r>
        <w:rPr>
          <w:rFonts w:cstheme="minorHAnsi"/>
          <w:lang w:val="en-GB"/>
        </w:rPr>
        <w:t xml:space="preserve">Due to missing values, the </w:t>
      </w:r>
      <w:r w:rsidRPr="007C0FCC">
        <w:rPr>
          <w:rFonts w:cstheme="minorHAnsi"/>
          <w:lang w:val="en-GB"/>
        </w:rPr>
        <w:t xml:space="preserve">SF-36 </w:t>
      </w:r>
      <w:r>
        <w:rPr>
          <w:rFonts w:cstheme="minorHAnsi"/>
          <w:lang w:val="en-GB"/>
        </w:rPr>
        <w:t>P</w:t>
      </w:r>
      <w:r w:rsidRPr="007C0FCC">
        <w:rPr>
          <w:rFonts w:cstheme="minorHAnsi"/>
          <w:lang w:val="en-GB"/>
        </w:rPr>
        <w:t xml:space="preserve">hysical </w:t>
      </w:r>
      <w:r>
        <w:rPr>
          <w:rFonts w:cstheme="minorHAnsi"/>
          <w:lang w:val="en-GB"/>
        </w:rPr>
        <w:t>(PCS) and Mental Component Summaries</w:t>
      </w:r>
      <w:r w:rsidRPr="007C0FCC">
        <w:rPr>
          <w:rFonts w:cstheme="minorHAnsi"/>
          <w:lang w:val="en-GB"/>
        </w:rPr>
        <w:t xml:space="preserve"> (PCS)</w:t>
      </w:r>
      <w:r>
        <w:rPr>
          <w:rFonts w:cstheme="minorHAnsi"/>
          <w:lang w:val="en-GB"/>
        </w:rPr>
        <w:t xml:space="preserve"> could only be calculated for </w:t>
      </w:r>
      <w:r w:rsidRPr="007C0FCC">
        <w:rPr>
          <w:rFonts w:cstheme="minorHAnsi"/>
          <w:lang w:val="en-GB"/>
        </w:rPr>
        <w:t>44</w:t>
      </w:r>
      <w:r>
        <w:rPr>
          <w:rFonts w:cstheme="minorHAnsi"/>
          <w:lang w:val="en-GB"/>
        </w:rPr>
        <w:t xml:space="preserve"> subjects with mean values of </w:t>
      </w:r>
      <w:r w:rsidRPr="007C0FCC">
        <w:rPr>
          <w:rFonts w:cstheme="minorHAnsi"/>
          <w:lang w:val="en-GB"/>
        </w:rPr>
        <w:t>37</w:t>
      </w:r>
      <w:proofErr w:type="gramStart"/>
      <w:r w:rsidRPr="007C0FCC">
        <w:rPr>
          <w:rFonts w:cstheme="minorHAnsi"/>
          <w:lang w:val="en-GB"/>
        </w:rPr>
        <w:t>,7</w:t>
      </w:r>
      <w:proofErr w:type="gramEnd"/>
      <w:r>
        <w:rPr>
          <w:rFonts w:cstheme="minorHAnsi"/>
          <w:lang w:val="en-GB"/>
        </w:rPr>
        <w:t xml:space="preserve"> ± 9,5 and </w:t>
      </w:r>
      <w:r w:rsidRPr="007C0FCC">
        <w:rPr>
          <w:rFonts w:cstheme="minorHAnsi"/>
          <w:lang w:val="en-GB"/>
        </w:rPr>
        <w:t>46,5</w:t>
      </w:r>
      <w:r>
        <w:rPr>
          <w:rFonts w:cstheme="minorHAnsi"/>
          <w:lang w:val="en-GB"/>
        </w:rPr>
        <w:t xml:space="preserve"> ± 11,6, respectively. L</w:t>
      </w:r>
      <w:r w:rsidRPr="007C0FCC">
        <w:rPr>
          <w:rFonts w:cstheme="minorHAnsi"/>
          <w:lang w:val="en-GB"/>
        </w:rPr>
        <w:t>ower scores on the SF-36 reflect poorer</w:t>
      </w:r>
      <w:r>
        <w:rPr>
          <w:rFonts w:cstheme="minorHAnsi"/>
          <w:lang w:val="en-GB"/>
        </w:rPr>
        <w:t xml:space="preserve"> </w:t>
      </w:r>
      <w:r w:rsidRPr="007C0FCC">
        <w:rPr>
          <w:rFonts w:cstheme="minorHAnsi"/>
          <w:lang w:val="en-GB"/>
        </w:rPr>
        <w:t>H</w:t>
      </w:r>
      <w:r>
        <w:rPr>
          <w:rFonts w:cstheme="minorHAnsi"/>
          <w:lang w:val="en-GB"/>
        </w:rPr>
        <w:t>R-</w:t>
      </w:r>
      <w:proofErr w:type="spellStart"/>
      <w:r w:rsidRPr="007C0FCC">
        <w:rPr>
          <w:rFonts w:cstheme="minorHAnsi"/>
          <w:lang w:val="en-GB"/>
        </w:rPr>
        <w:t>QoL</w:t>
      </w:r>
      <w:proofErr w:type="spellEnd"/>
      <w:r>
        <w:rPr>
          <w:rFonts w:cstheme="minorHAnsi"/>
          <w:lang w:val="en-GB"/>
        </w:rPr>
        <w:t xml:space="preserve">, </w:t>
      </w:r>
      <w:r w:rsidRPr="007C0FCC">
        <w:rPr>
          <w:rFonts w:cstheme="minorHAnsi"/>
          <w:lang w:val="en-GB"/>
        </w:rPr>
        <w:t>particularly affecting the physical domains, general health perception and vitality</w:t>
      </w:r>
      <w:r>
        <w:rPr>
          <w:rFonts w:cstheme="minorHAnsi"/>
          <w:lang w:val="en-GB"/>
        </w:rPr>
        <w:t xml:space="preserve"> in our patient cohort (Figure 1). </w:t>
      </w:r>
      <w:r w:rsidRPr="00486C7B">
        <w:rPr>
          <w:rFonts w:cstheme="minorHAnsi"/>
          <w:lang w:val="en-GB"/>
        </w:rPr>
        <w:t>There were no significant differences between men and women other than in the health transition domain</w:t>
      </w:r>
      <w:r>
        <w:rPr>
          <w:rFonts w:cstheme="minorHAnsi"/>
          <w:lang w:val="en-GB"/>
        </w:rPr>
        <w:t>,</w:t>
      </w:r>
      <w:r w:rsidRPr="00486C7B">
        <w:rPr>
          <w:rFonts w:cstheme="minorHAnsi"/>
          <w:lang w:val="en-GB"/>
        </w:rPr>
        <w:t xml:space="preserve"> where men fa</w:t>
      </w:r>
      <w:r w:rsidRPr="00486C7B">
        <w:rPr>
          <w:rFonts w:cstheme="minorHAnsi"/>
        </w:rPr>
        <w:t>red better than women as regards feeling somewhat better than the year before (p=0.02)</w:t>
      </w:r>
      <w:r>
        <w:rPr>
          <w:rFonts w:cstheme="minorHAnsi"/>
        </w:rPr>
        <w:t xml:space="preserve"> (Supplementary Table VI). Regarding EQ-5D-</w:t>
      </w:r>
      <w:r w:rsidRPr="00F75381">
        <w:rPr>
          <w:rFonts w:cstheme="minorHAnsi"/>
        </w:rPr>
        <w:t>3L (Table I</w:t>
      </w:r>
      <w:r>
        <w:rPr>
          <w:rFonts w:cstheme="minorHAnsi"/>
        </w:rPr>
        <w:t>II</w:t>
      </w:r>
      <w:r w:rsidRPr="00F75381">
        <w:rPr>
          <w:rFonts w:cstheme="minorHAnsi"/>
        </w:rPr>
        <w:t xml:space="preserve">), </w:t>
      </w:r>
      <w:r>
        <w:rPr>
          <w:rFonts w:cstheme="minorHAnsi"/>
        </w:rPr>
        <w:t xml:space="preserve">the mean calculated score and VAS were </w:t>
      </w:r>
      <w:r w:rsidRPr="00991315">
        <w:rPr>
          <w:rFonts w:cstheme="minorHAnsi"/>
        </w:rPr>
        <w:t>0,45</w:t>
      </w:r>
      <w:r>
        <w:rPr>
          <w:rFonts w:cstheme="minorHAnsi"/>
        </w:rPr>
        <w:t xml:space="preserve"> (± 0,3) and </w:t>
      </w:r>
      <w:r w:rsidRPr="00991315">
        <w:rPr>
          <w:rFonts w:cstheme="minorHAnsi"/>
        </w:rPr>
        <w:t>60,64</w:t>
      </w:r>
      <w:r>
        <w:rPr>
          <w:rFonts w:cstheme="minorHAnsi"/>
        </w:rPr>
        <w:t xml:space="preserve"> (± 22,1), respectively. </w:t>
      </w:r>
    </w:p>
    <w:p w14:paraId="3E27BC31" w14:textId="77777777" w:rsidR="007A6A83" w:rsidRDefault="007A6A83" w:rsidP="00003F8D">
      <w:pPr>
        <w:spacing w:line="360" w:lineRule="auto"/>
        <w:ind w:firstLine="708"/>
        <w:jc w:val="both"/>
        <w:rPr>
          <w:rFonts w:cstheme="minorHAnsi"/>
        </w:rPr>
      </w:pPr>
      <w:r>
        <w:rPr>
          <w:rFonts w:cstheme="minorHAnsi"/>
        </w:rPr>
        <w:t xml:space="preserve">With the exceptions of HAQ disability index and other than a strong correlation between the EQ-5D-3L and EQ-5D-VAS and moderate correlations between these and </w:t>
      </w:r>
      <w:r>
        <w:rPr>
          <w:rFonts w:cstheme="minorHAnsi"/>
        </w:rPr>
        <w:lastRenderedPageBreak/>
        <w:t>the MCS and PCS, there were no significant correlations between HR-</w:t>
      </w:r>
      <w:proofErr w:type="spellStart"/>
      <w:r>
        <w:rPr>
          <w:rFonts w:cstheme="minorHAnsi"/>
        </w:rPr>
        <w:t>QoL</w:t>
      </w:r>
      <w:proofErr w:type="spellEnd"/>
      <w:r>
        <w:rPr>
          <w:rFonts w:cstheme="minorHAnsi"/>
        </w:rPr>
        <w:t xml:space="preserve"> indices and clinical variables </w:t>
      </w:r>
      <w:r w:rsidRPr="00D1337F">
        <w:rPr>
          <w:rFonts w:cstheme="minorHAnsi"/>
        </w:rPr>
        <w:t>(Supplementary Table IV)</w:t>
      </w:r>
      <w:r>
        <w:rPr>
          <w:rFonts w:cstheme="minorHAnsi"/>
        </w:rPr>
        <w:t>, with respect to the professional situation, schooling or marital status</w:t>
      </w:r>
      <w:r w:rsidRPr="00F75381">
        <w:rPr>
          <w:rFonts w:cstheme="minorHAnsi"/>
        </w:rPr>
        <w:t xml:space="preserve"> (Supplementary Table VII). </w:t>
      </w:r>
      <w:r>
        <w:rPr>
          <w:rFonts w:cstheme="minorHAnsi"/>
        </w:rPr>
        <w:t xml:space="preserve">Even though it did not reach statistical significance, unemployed patients had a higher DAS28, HAQ, and number of deformities, with the lowest EQ-5D-3L score. </w:t>
      </w:r>
    </w:p>
    <w:tbl>
      <w:tblPr>
        <w:tblW w:w="5002" w:type="dxa"/>
        <w:tblInd w:w="-1134" w:type="dxa"/>
        <w:tblCellMar>
          <w:left w:w="70" w:type="dxa"/>
          <w:right w:w="70" w:type="dxa"/>
        </w:tblCellMar>
        <w:tblLook w:val="04A0" w:firstRow="1" w:lastRow="0" w:firstColumn="1" w:lastColumn="0" w:noHBand="0" w:noVBand="1"/>
      </w:tblPr>
      <w:tblGrid>
        <w:gridCol w:w="1061"/>
        <w:gridCol w:w="960"/>
        <w:gridCol w:w="960"/>
        <w:gridCol w:w="960"/>
        <w:gridCol w:w="1061"/>
      </w:tblGrid>
      <w:tr w:rsidR="007A6A83" w:rsidRPr="00557C26" w14:paraId="2DFBBB88" w14:textId="77777777" w:rsidTr="00003F8D">
        <w:trPr>
          <w:trHeight w:val="300"/>
        </w:trPr>
        <w:tc>
          <w:tcPr>
            <w:tcW w:w="1061" w:type="dxa"/>
            <w:tcBorders>
              <w:top w:val="nil"/>
              <w:left w:val="nil"/>
              <w:bottom w:val="nil"/>
              <w:right w:val="nil"/>
            </w:tcBorders>
            <w:shd w:val="clear" w:color="auto" w:fill="auto"/>
            <w:noWrap/>
            <w:vAlign w:val="bottom"/>
            <w:hideMark/>
          </w:tcPr>
          <w:p w14:paraId="156B8117" w14:textId="77777777" w:rsidR="007A6A83" w:rsidRPr="00D051A3" w:rsidRDefault="007A6A83" w:rsidP="00003F8D">
            <w:pPr>
              <w:spacing w:line="360" w:lineRule="auto"/>
              <w:jc w:val="center"/>
              <w:rPr>
                <w:rFonts w:eastAsia="Times New Roman" w:cstheme="minorHAnsi"/>
                <w:b/>
                <w:bCs/>
                <w:color w:val="FF0000"/>
                <w:sz w:val="22"/>
                <w:szCs w:val="22"/>
                <w:lang w:val="en-GB" w:eastAsia="pt-PT"/>
              </w:rPr>
            </w:pPr>
          </w:p>
        </w:tc>
        <w:tc>
          <w:tcPr>
            <w:tcW w:w="960" w:type="dxa"/>
            <w:tcBorders>
              <w:top w:val="nil"/>
              <w:left w:val="nil"/>
              <w:bottom w:val="nil"/>
              <w:right w:val="nil"/>
            </w:tcBorders>
            <w:shd w:val="clear" w:color="auto" w:fill="auto"/>
            <w:noWrap/>
            <w:vAlign w:val="bottom"/>
            <w:hideMark/>
          </w:tcPr>
          <w:p w14:paraId="5844084D" w14:textId="77777777" w:rsidR="007A6A83" w:rsidRPr="00D051A3" w:rsidRDefault="007A6A83" w:rsidP="00003F8D">
            <w:pPr>
              <w:spacing w:line="360" w:lineRule="auto"/>
              <w:rPr>
                <w:rFonts w:eastAsia="Times New Roman" w:cstheme="minorHAnsi"/>
                <w:sz w:val="20"/>
                <w:szCs w:val="20"/>
                <w:lang w:val="en-GB" w:eastAsia="pt-PT"/>
              </w:rPr>
            </w:pPr>
          </w:p>
        </w:tc>
        <w:tc>
          <w:tcPr>
            <w:tcW w:w="960" w:type="dxa"/>
            <w:tcBorders>
              <w:top w:val="nil"/>
              <w:left w:val="nil"/>
              <w:bottom w:val="nil"/>
              <w:right w:val="nil"/>
            </w:tcBorders>
            <w:shd w:val="clear" w:color="auto" w:fill="auto"/>
            <w:noWrap/>
            <w:vAlign w:val="bottom"/>
            <w:hideMark/>
          </w:tcPr>
          <w:p w14:paraId="44FF4D9C" w14:textId="77777777" w:rsidR="007A6A83" w:rsidRPr="00D051A3" w:rsidRDefault="007A6A83" w:rsidP="00003F8D">
            <w:pPr>
              <w:spacing w:line="360" w:lineRule="auto"/>
              <w:rPr>
                <w:rFonts w:eastAsia="Times New Roman" w:cstheme="minorHAnsi"/>
                <w:sz w:val="20"/>
                <w:szCs w:val="20"/>
                <w:lang w:val="en-GB" w:eastAsia="pt-PT"/>
              </w:rPr>
            </w:pPr>
          </w:p>
        </w:tc>
        <w:tc>
          <w:tcPr>
            <w:tcW w:w="960" w:type="dxa"/>
            <w:tcBorders>
              <w:top w:val="nil"/>
              <w:left w:val="nil"/>
              <w:bottom w:val="nil"/>
              <w:right w:val="nil"/>
            </w:tcBorders>
            <w:shd w:val="clear" w:color="auto" w:fill="auto"/>
            <w:noWrap/>
            <w:vAlign w:val="bottom"/>
            <w:hideMark/>
          </w:tcPr>
          <w:p w14:paraId="11513922" w14:textId="77777777" w:rsidR="007A6A83" w:rsidRPr="00D051A3" w:rsidRDefault="007A6A83" w:rsidP="00003F8D">
            <w:pPr>
              <w:spacing w:line="360" w:lineRule="auto"/>
              <w:rPr>
                <w:rFonts w:eastAsia="Times New Roman" w:cstheme="minorHAnsi"/>
                <w:sz w:val="20"/>
                <w:szCs w:val="20"/>
                <w:lang w:val="en-GB" w:eastAsia="pt-PT"/>
              </w:rPr>
            </w:pPr>
          </w:p>
        </w:tc>
        <w:tc>
          <w:tcPr>
            <w:tcW w:w="1061" w:type="dxa"/>
            <w:tcBorders>
              <w:top w:val="nil"/>
              <w:left w:val="nil"/>
              <w:bottom w:val="nil"/>
              <w:right w:val="nil"/>
            </w:tcBorders>
            <w:shd w:val="clear" w:color="auto" w:fill="auto"/>
            <w:noWrap/>
            <w:vAlign w:val="bottom"/>
            <w:hideMark/>
          </w:tcPr>
          <w:p w14:paraId="7409908F" w14:textId="77777777" w:rsidR="007A6A83" w:rsidRPr="00D051A3" w:rsidRDefault="007A6A83" w:rsidP="00003F8D">
            <w:pPr>
              <w:spacing w:line="360" w:lineRule="auto"/>
              <w:rPr>
                <w:rFonts w:eastAsia="Times New Roman" w:cstheme="minorHAnsi"/>
                <w:sz w:val="20"/>
                <w:szCs w:val="20"/>
                <w:lang w:val="en-GB" w:eastAsia="pt-PT"/>
              </w:rPr>
            </w:pPr>
          </w:p>
        </w:tc>
      </w:tr>
    </w:tbl>
    <w:p w14:paraId="2D56145E" w14:textId="77777777" w:rsidR="007A6A83" w:rsidRPr="00934BBB" w:rsidRDefault="007A6A83" w:rsidP="00003F8D">
      <w:pPr>
        <w:spacing w:line="360" w:lineRule="auto"/>
        <w:jc w:val="both"/>
        <w:rPr>
          <w:rFonts w:cstheme="minorHAnsi"/>
          <w:b/>
          <w:caps/>
        </w:rPr>
      </w:pPr>
      <w:r w:rsidRPr="00934BBB">
        <w:rPr>
          <w:rFonts w:cstheme="minorHAnsi"/>
          <w:b/>
          <w:caps/>
        </w:rPr>
        <w:t xml:space="preserve">Result 4. Demographic, clinical and therapeutic characterization of patients who died or were lost to follow-up </w:t>
      </w:r>
    </w:p>
    <w:p w14:paraId="5A582A52" w14:textId="4E1EC842" w:rsidR="007A6A83" w:rsidRDefault="007A6A83" w:rsidP="00003F8D">
      <w:pPr>
        <w:spacing w:line="360" w:lineRule="auto"/>
        <w:ind w:firstLine="708"/>
        <w:jc w:val="both"/>
        <w:rPr>
          <w:rFonts w:cstheme="minorHAnsi"/>
        </w:rPr>
      </w:pPr>
      <w:r w:rsidRPr="00C83467">
        <w:rPr>
          <w:rFonts w:cstheme="minorHAnsi"/>
        </w:rPr>
        <w:t>Patients lost to follow-up were younger than the group as a whole, emigrated or returned to their country of origin or followed their physician to another hospital center</w:t>
      </w:r>
      <w:r>
        <w:rPr>
          <w:rFonts w:cstheme="minorHAnsi"/>
        </w:rPr>
        <w:t xml:space="preserve"> (Table IV</w:t>
      </w:r>
      <w:r w:rsidRPr="00C83467">
        <w:rPr>
          <w:rFonts w:cstheme="minorHAnsi"/>
        </w:rPr>
        <w:t>). The deceased patients had a statistically significant lower estimated 10-year survival rate at the time of first biologic therapy (p=0.006) and discontinued bDMARD at a higher frequency (p=0.028)</w:t>
      </w:r>
      <w:r>
        <w:rPr>
          <w:rFonts w:cstheme="minorHAnsi"/>
        </w:rPr>
        <w:t xml:space="preserve"> than the recall patients (Supplementary Table VIII)</w:t>
      </w:r>
      <w:r w:rsidRPr="00C83467">
        <w:rPr>
          <w:rFonts w:cstheme="minorHAnsi"/>
        </w:rPr>
        <w:t xml:space="preserve">. </w:t>
      </w:r>
    </w:p>
    <w:p w14:paraId="035C7345" w14:textId="77777777" w:rsidR="007A6A83" w:rsidRPr="00C83467" w:rsidRDefault="007A6A83" w:rsidP="00003F8D">
      <w:pPr>
        <w:spacing w:line="360" w:lineRule="auto"/>
        <w:ind w:firstLine="708"/>
        <w:jc w:val="both"/>
        <w:rPr>
          <w:rFonts w:cstheme="minorHAnsi"/>
        </w:rPr>
      </w:pPr>
    </w:p>
    <w:p w14:paraId="0CBECBA0" w14:textId="77777777" w:rsidR="007A6A83" w:rsidRPr="00C83467" w:rsidRDefault="007A6A83" w:rsidP="00003F8D">
      <w:pPr>
        <w:spacing w:line="360" w:lineRule="auto"/>
        <w:jc w:val="both"/>
        <w:rPr>
          <w:rFonts w:cstheme="minorHAnsi"/>
          <w:b/>
        </w:rPr>
      </w:pPr>
      <w:r w:rsidRPr="00C83467">
        <w:rPr>
          <w:rFonts w:cstheme="minorHAnsi"/>
          <w:b/>
        </w:rPr>
        <w:t>DISCUSSION</w:t>
      </w:r>
    </w:p>
    <w:p w14:paraId="33DBF3B6" w14:textId="77777777" w:rsidR="00FA6985" w:rsidRDefault="007A6A83" w:rsidP="00003F8D">
      <w:pPr>
        <w:spacing w:line="360" w:lineRule="auto"/>
        <w:ind w:firstLine="708"/>
        <w:jc w:val="both"/>
        <w:rPr>
          <w:rFonts w:cstheme="minorHAnsi"/>
        </w:rPr>
      </w:pPr>
      <w:r w:rsidRPr="00C83467">
        <w:rPr>
          <w:rFonts w:cstheme="minorHAnsi"/>
        </w:rPr>
        <w:t xml:space="preserve">Our Unit is dedicated to the treatment of patients with systemic autoimmune diseases including RA. We officially started treating RA patients with biological therapy </w:t>
      </w:r>
      <w:r>
        <w:rPr>
          <w:rFonts w:cstheme="minorHAnsi"/>
        </w:rPr>
        <w:t>in</w:t>
      </w:r>
      <w:r w:rsidRPr="00C83467">
        <w:rPr>
          <w:rFonts w:cstheme="minorHAnsi"/>
        </w:rPr>
        <w:t xml:space="preserve"> 2002, our first patient </w:t>
      </w:r>
      <w:r w:rsidR="00FA6985">
        <w:rPr>
          <w:rFonts w:cstheme="minorHAnsi"/>
        </w:rPr>
        <w:t>ongoing</w:t>
      </w:r>
      <w:r w:rsidRPr="00C83467">
        <w:rPr>
          <w:rFonts w:cstheme="minorHAnsi"/>
        </w:rPr>
        <w:t xml:space="preserve"> regular follow-up since treatment onset. </w:t>
      </w:r>
      <w:r>
        <w:rPr>
          <w:rFonts w:cstheme="minorHAnsi"/>
        </w:rPr>
        <w:t xml:space="preserve">Pre-bDMARD onset, despite </w:t>
      </w:r>
      <w:proofErr w:type="spellStart"/>
      <w:r>
        <w:rPr>
          <w:rFonts w:cstheme="minorHAnsi"/>
        </w:rPr>
        <w:t>sDMARD</w:t>
      </w:r>
      <w:proofErr w:type="spellEnd"/>
      <w:r>
        <w:rPr>
          <w:rFonts w:cstheme="minorHAnsi"/>
        </w:rPr>
        <w:t xml:space="preserve"> therapy, our patients, with a median age of 50 years, initially presented with high disease activity (median DAS28 of 5.30) and a high HAQ disability index (median 2.00). These indices are known to be inter-related and long known to predict irreversible</w:t>
      </w:r>
      <w:r w:rsidRPr="00771331">
        <w:rPr>
          <w:rFonts w:cstheme="minorHAnsi"/>
        </w:rPr>
        <w:t xml:space="preserve"> damage</w:t>
      </w:r>
      <w:r>
        <w:rPr>
          <w:rFonts w:cstheme="minorHAnsi"/>
        </w:rPr>
        <w:t>,</w:t>
      </w:r>
      <w:r w:rsidRPr="00771331">
        <w:rPr>
          <w:rFonts w:cstheme="minorHAnsi"/>
        </w:rPr>
        <w:t xml:space="preserve"> physical </w:t>
      </w:r>
      <w:r>
        <w:rPr>
          <w:rFonts w:cstheme="minorHAnsi"/>
        </w:rPr>
        <w:t xml:space="preserve">and work </w:t>
      </w:r>
      <w:r w:rsidRPr="00771331">
        <w:rPr>
          <w:rFonts w:cstheme="minorHAnsi"/>
        </w:rPr>
        <w:t>disability</w:t>
      </w:r>
      <w:r>
        <w:rPr>
          <w:rFonts w:cstheme="minorHAnsi"/>
        </w:rPr>
        <w:t xml:space="preserve"> and mortality.</w:t>
      </w:r>
      <w:r w:rsidRPr="00150A93">
        <w:rPr>
          <w:rFonts w:cstheme="minorHAnsi"/>
          <w:b/>
          <w:noProof/>
          <w:vertAlign w:val="superscript"/>
        </w:rPr>
        <w:t>21-23</w:t>
      </w:r>
      <w:r w:rsidR="00150A93">
        <w:rPr>
          <w:rFonts w:cstheme="minorHAnsi"/>
        </w:rPr>
        <w:t xml:space="preserve"> </w:t>
      </w:r>
    </w:p>
    <w:p w14:paraId="3E5504A6" w14:textId="508883DC" w:rsidR="007A6A83" w:rsidRPr="00FA6985" w:rsidRDefault="00FA6985" w:rsidP="00FA6985">
      <w:pPr>
        <w:spacing w:line="360" w:lineRule="auto"/>
        <w:ind w:firstLine="708"/>
        <w:jc w:val="both"/>
        <w:rPr>
          <w:rFonts w:cstheme="minorHAnsi"/>
        </w:rPr>
      </w:pPr>
      <w:r>
        <w:rPr>
          <w:rFonts w:cstheme="minorHAnsi"/>
        </w:rPr>
        <w:t>In our cohort, a high risk group of patients, with a potentially productive work-life, initiation of bDMARD occurred at a median of four years after RA onset. This</w:t>
      </w:r>
      <w:r w:rsidR="007A6A83">
        <w:rPr>
          <w:rFonts w:cstheme="minorHAnsi"/>
        </w:rPr>
        <w:t xml:space="preserve"> diagnostic/therapeutic delay merits further discussion. A recent meta-analysis of 36 randomized clinical trials comparing</w:t>
      </w:r>
      <w:r w:rsidR="007A6A83" w:rsidRPr="00560CBE">
        <w:rPr>
          <w:rFonts w:cstheme="minorHAnsi"/>
        </w:rPr>
        <w:t xml:space="preserve"> the standard doses of the five </w:t>
      </w:r>
      <w:r w:rsidR="007A6A83">
        <w:rPr>
          <w:rFonts w:cstheme="minorHAnsi"/>
        </w:rPr>
        <w:t xml:space="preserve">anti-TNF inhibitors </w:t>
      </w:r>
      <w:r w:rsidR="007A6A83" w:rsidRPr="00560CBE">
        <w:rPr>
          <w:rFonts w:cstheme="minorHAnsi"/>
        </w:rPr>
        <w:t>combined with MTX to MTX mono-therapy</w:t>
      </w:r>
      <w:r w:rsidR="007A6A83">
        <w:rPr>
          <w:rFonts w:cstheme="minorHAnsi"/>
        </w:rPr>
        <w:t xml:space="preserve"> described trial participants with a mean age varying </w:t>
      </w:r>
      <w:r w:rsidR="007A6A83" w:rsidRPr="00A50A99">
        <w:rPr>
          <w:rFonts w:cstheme="minorHAnsi"/>
        </w:rPr>
        <w:t>from 48.4 to 60.7 years</w:t>
      </w:r>
      <w:r w:rsidR="007A6A83">
        <w:rPr>
          <w:rFonts w:cstheme="minorHAnsi"/>
        </w:rPr>
        <w:t xml:space="preserve"> and a </w:t>
      </w:r>
      <w:r w:rsidR="007A6A83" w:rsidRPr="00A50A99">
        <w:rPr>
          <w:rFonts w:cstheme="minorHAnsi"/>
        </w:rPr>
        <w:t xml:space="preserve">mean duration of disease </w:t>
      </w:r>
      <w:r w:rsidR="007A6A83">
        <w:rPr>
          <w:rFonts w:cstheme="minorHAnsi"/>
        </w:rPr>
        <w:t>from 0.2 to 11 years</w:t>
      </w:r>
      <w:proofErr w:type="gramStart"/>
      <w:r w:rsidR="00150A93">
        <w:rPr>
          <w:rFonts w:cstheme="minorHAnsi"/>
        </w:rPr>
        <w:t>,</w:t>
      </w:r>
      <w:r w:rsidR="007A6A83" w:rsidRPr="00150A93">
        <w:rPr>
          <w:rFonts w:cstheme="minorHAnsi"/>
          <w:b/>
          <w:noProof/>
          <w:vertAlign w:val="superscript"/>
        </w:rPr>
        <w:t>24</w:t>
      </w:r>
      <w:proofErr w:type="gramEnd"/>
      <w:r w:rsidR="007A6A83">
        <w:rPr>
          <w:rFonts w:cstheme="minorHAnsi"/>
        </w:rPr>
        <w:t xml:space="preserve"> effectively meaning that the median therapeutic delay of four years, in </w:t>
      </w:r>
      <w:r w:rsidR="007A6A83" w:rsidRPr="003B0E68">
        <w:rPr>
          <w:rFonts w:cstheme="minorHAnsi"/>
        </w:rPr>
        <w:t xml:space="preserve">our patient population, is probably not that prolonged when compared to others.  </w:t>
      </w:r>
      <w:r w:rsidR="007A6A83">
        <w:rPr>
          <w:rFonts w:cstheme="minorHAnsi"/>
        </w:rPr>
        <w:t>L</w:t>
      </w:r>
      <w:r w:rsidR="007A6A83" w:rsidRPr="003B0E68">
        <w:rPr>
          <w:rFonts w:cstheme="minorHAnsi"/>
        </w:rPr>
        <w:t xml:space="preserve">ack of access to specialist care </w:t>
      </w:r>
      <w:r w:rsidR="007A6A83">
        <w:rPr>
          <w:rFonts w:cstheme="minorHAnsi"/>
        </w:rPr>
        <w:t xml:space="preserve">may significantly contribute to the therapeutic delay. </w:t>
      </w:r>
      <w:r w:rsidR="007A6A83" w:rsidRPr="003B0E68">
        <w:rPr>
          <w:rFonts w:cstheme="minorHAnsi"/>
        </w:rPr>
        <w:t xml:space="preserve"> The Portuguese register Reuma.pt provides longitudinal information for over 7000 patients with RA at a </w:t>
      </w:r>
      <w:r w:rsidR="007A6A83" w:rsidRPr="003B0E68">
        <w:rPr>
          <w:rFonts w:cstheme="minorHAnsi"/>
        </w:rPr>
        <w:lastRenderedPageBreak/>
        <w:t>national level.</w:t>
      </w:r>
      <w:r w:rsidR="007A6A83" w:rsidRPr="00150A93">
        <w:rPr>
          <w:rFonts w:cstheme="minorHAnsi"/>
          <w:b/>
          <w:noProof/>
          <w:vertAlign w:val="superscript"/>
        </w:rPr>
        <w:t>25</w:t>
      </w:r>
      <w:r w:rsidR="007A6A83" w:rsidRPr="003B0E68">
        <w:rPr>
          <w:rFonts w:cstheme="minorHAnsi"/>
        </w:rPr>
        <w:t xml:space="preserve"> Patients' access to biologics in RA stood at 7% in 2010</w:t>
      </w:r>
      <w:r w:rsidR="007A6A83">
        <w:rPr>
          <w:rFonts w:cstheme="minorHAnsi"/>
        </w:rPr>
        <w:t xml:space="preserve"> (</w:t>
      </w:r>
      <w:r w:rsidR="007A6A83" w:rsidRPr="003B0E68">
        <w:rPr>
          <w:rFonts w:cstheme="minorHAnsi"/>
        </w:rPr>
        <w:t>12 percentage points below the average of European selected countries</w:t>
      </w:r>
      <w:r w:rsidR="007A6A83">
        <w:rPr>
          <w:rFonts w:cstheme="minorHAnsi"/>
        </w:rPr>
        <w:t>)</w:t>
      </w:r>
      <w:r w:rsidR="007A6A83" w:rsidRPr="00150A93">
        <w:rPr>
          <w:rFonts w:cstheme="minorHAnsi"/>
          <w:b/>
          <w:noProof/>
          <w:vertAlign w:val="superscript"/>
        </w:rPr>
        <w:t>26</w:t>
      </w:r>
      <w:r w:rsidR="007A6A83" w:rsidRPr="003B0E68">
        <w:rPr>
          <w:rFonts w:cstheme="minorHAnsi"/>
        </w:rPr>
        <w:t xml:space="preserve"> </w:t>
      </w:r>
      <w:r>
        <w:rPr>
          <w:rFonts w:cstheme="minorHAnsi"/>
        </w:rPr>
        <w:t>having</w:t>
      </w:r>
      <w:r w:rsidR="00150A93">
        <w:rPr>
          <w:rFonts w:cstheme="minorHAnsi"/>
        </w:rPr>
        <w:t xml:space="preserve"> tripled from 2007 to 2012.</w:t>
      </w:r>
      <w:r w:rsidR="007A6A83" w:rsidRPr="00150A93">
        <w:rPr>
          <w:rFonts w:cstheme="minorHAnsi"/>
          <w:b/>
          <w:noProof/>
          <w:vertAlign w:val="superscript"/>
        </w:rPr>
        <w:t>27</w:t>
      </w:r>
      <w:r w:rsidR="007A6A83" w:rsidRPr="003B0E68">
        <w:rPr>
          <w:rFonts w:cstheme="minorHAnsi"/>
        </w:rPr>
        <w:t xml:space="preserve"> Low education, on the other hand, may contribute to poor health literacy (40.8% </w:t>
      </w:r>
      <w:r w:rsidR="007A6A83">
        <w:rPr>
          <w:rFonts w:cstheme="minorHAnsi"/>
        </w:rPr>
        <w:t xml:space="preserve">of our patients </w:t>
      </w:r>
      <w:r w:rsidR="007A6A83" w:rsidRPr="003B0E68">
        <w:rPr>
          <w:rFonts w:cstheme="minorHAnsi"/>
        </w:rPr>
        <w:t>only had 4 years of schooling)</w:t>
      </w:r>
      <w:r w:rsidR="007A6A83">
        <w:rPr>
          <w:rFonts w:cstheme="minorHAnsi"/>
        </w:rPr>
        <w:t xml:space="preserve"> </w:t>
      </w:r>
      <w:r w:rsidR="007A6A83" w:rsidRPr="003B0E68">
        <w:rPr>
          <w:rFonts w:cstheme="minorHAnsi"/>
        </w:rPr>
        <w:t xml:space="preserve">but </w:t>
      </w:r>
      <w:r w:rsidR="007A6A83">
        <w:rPr>
          <w:rFonts w:cstheme="minorHAnsi"/>
        </w:rPr>
        <w:t xml:space="preserve">of note, </w:t>
      </w:r>
      <w:r w:rsidR="007A6A83" w:rsidRPr="003B0E68">
        <w:rPr>
          <w:rFonts w:cstheme="minorHAnsi"/>
        </w:rPr>
        <w:t>the latter has also been found to be relatively common among those with a high level of education.</w:t>
      </w:r>
      <w:r w:rsidR="007A6A83" w:rsidRPr="00150A93">
        <w:rPr>
          <w:rFonts w:cstheme="minorHAnsi"/>
          <w:b/>
          <w:noProof/>
          <w:vertAlign w:val="superscript"/>
        </w:rPr>
        <w:t>28</w:t>
      </w:r>
      <w:r w:rsidR="007A6A83" w:rsidRPr="00064AA2">
        <w:rPr>
          <w:rFonts w:cstheme="minorHAnsi"/>
        </w:rPr>
        <w:t xml:space="preserve"> </w:t>
      </w:r>
    </w:p>
    <w:p w14:paraId="5EA02B4B" w14:textId="77777777" w:rsidR="007A6A83" w:rsidRDefault="007A6A83" w:rsidP="00003F8D">
      <w:pPr>
        <w:spacing w:line="360" w:lineRule="auto"/>
        <w:ind w:firstLine="708"/>
        <w:jc w:val="both"/>
        <w:rPr>
          <w:rFonts w:cstheme="minorHAnsi"/>
        </w:rPr>
      </w:pPr>
      <w:r>
        <w:rPr>
          <w:rFonts w:cstheme="minorHAnsi"/>
        </w:rPr>
        <w:t xml:space="preserve">Due to the retrospective nature of our study we are unable to assess the degree of irreversible joint damage already present at the time bDMARD was started. At recall, 22 of 54 patients presented hand deformities but the highest number of deformities per patient was 2.25. The number of deformities, which might have been prevented through earlier treatment, was actually an important predictor of disease activity at recall. Remission or LDA as determined by DAS28 was found in 51% of patients. Disappointingly, 37% of patients presented with moderate and 11% with high disease activity. DAS28 </w:t>
      </w:r>
      <w:r w:rsidRPr="00C83467">
        <w:rPr>
          <w:rFonts w:cstheme="minorHAnsi"/>
        </w:rPr>
        <w:t xml:space="preserve">was </w:t>
      </w:r>
      <w:r>
        <w:rPr>
          <w:rFonts w:cstheme="minorHAnsi"/>
        </w:rPr>
        <w:t xml:space="preserve">also </w:t>
      </w:r>
      <w:r w:rsidRPr="00C83467">
        <w:rPr>
          <w:rFonts w:cstheme="minorHAnsi"/>
        </w:rPr>
        <w:t xml:space="preserve">significantly </w:t>
      </w:r>
      <w:r>
        <w:rPr>
          <w:rFonts w:cstheme="minorHAnsi"/>
        </w:rPr>
        <w:t xml:space="preserve">determined by pre-bDMARD DAS28; uncontrolled disease activity being related to steroid use in patients no longer on bDMARD. Even though significantly lower, HAQ disability index continued to reveal severe functional disabilities. It should be highlighted that there was no relationship between the number of switches and recall DAS28 or HAQ. </w:t>
      </w:r>
    </w:p>
    <w:p w14:paraId="41A9D807" w14:textId="77777777" w:rsidR="007A6A83" w:rsidRDefault="007A6A83" w:rsidP="00003F8D">
      <w:pPr>
        <w:spacing w:line="360" w:lineRule="auto"/>
        <w:ind w:firstLine="708"/>
        <w:jc w:val="both"/>
        <w:rPr>
          <w:rFonts w:cstheme="minorHAnsi"/>
        </w:rPr>
      </w:pPr>
      <w:r>
        <w:rPr>
          <w:rFonts w:cstheme="minorHAnsi"/>
        </w:rPr>
        <w:t>In our study, after a median duration of 7 years, most patients (79%) remained on bDMARD, retaining the original medication (etanercept). Discontinuation of bDMARD occurred primarily due to infection (38%) followed by treatment failure (26%). Our data contrasts with that of the</w:t>
      </w:r>
      <w:r w:rsidRPr="00DC7D4C">
        <w:rPr>
          <w:rFonts w:cstheme="minorHAnsi"/>
        </w:rPr>
        <w:t xml:space="preserve"> Rheumatic Diseases Portuguese Register (Reuma.pt)</w:t>
      </w:r>
      <w:r>
        <w:rPr>
          <w:rFonts w:cstheme="minorHAnsi"/>
        </w:rPr>
        <w:t xml:space="preserve"> of b</w:t>
      </w:r>
      <w:r w:rsidRPr="00DC7D4C">
        <w:rPr>
          <w:rFonts w:cstheme="minorHAnsi"/>
        </w:rPr>
        <w:t>DMARD</w:t>
      </w:r>
      <w:r>
        <w:rPr>
          <w:rFonts w:cstheme="minorHAnsi"/>
        </w:rPr>
        <w:t xml:space="preserve"> treated patients after 13 years of prospective follow-up where a higher frequency (50%) </w:t>
      </w:r>
      <w:r w:rsidRPr="00DC7D4C">
        <w:rPr>
          <w:rFonts w:cstheme="minorHAnsi"/>
        </w:rPr>
        <w:t>discontinued their first bDMARD</w:t>
      </w:r>
      <w:r>
        <w:rPr>
          <w:rFonts w:cstheme="minorHAnsi"/>
        </w:rPr>
        <w:t xml:space="preserve"> principally due to inefficacy (55%) with a much lower frequency of infections (4 %).</w:t>
      </w:r>
      <w:r w:rsidRPr="00150A93">
        <w:rPr>
          <w:rFonts w:cstheme="minorHAnsi"/>
          <w:b/>
          <w:noProof/>
          <w:vertAlign w:val="superscript"/>
        </w:rPr>
        <w:t>29</w:t>
      </w:r>
      <w:r>
        <w:rPr>
          <w:rFonts w:cstheme="minorHAnsi"/>
        </w:rPr>
        <w:t xml:space="preserve"> In addition, and unlike in Reuma.pt, neither baseline HAQ nor the number of co-morbidities predicted bDMARD discontinuation; the Charlson co-morbidity index was however significantly higher in those patients who died. </w:t>
      </w:r>
    </w:p>
    <w:p w14:paraId="2BD16115" w14:textId="0DF575A1" w:rsidR="007A6A83" w:rsidRDefault="007A6A83" w:rsidP="00003F8D">
      <w:pPr>
        <w:spacing w:line="360" w:lineRule="auto"/>
        <w:ind w:firstLine="708"/>
        <w:jc w:val="both"/>
        <w:rPr>
          <w:rFonts w:cstheme="minorHAnsi"/>
        </w:rPr>
      </w:pPr>
      <w:r>
        <w:rPr>
          <w:rFonts w:cstheme="minorHAnsi"/>
        </w:rPr>
        <w:t xml:space="preserve">When compared to the frequencies of employed Portuguese persons (pordata.pt - 2017), the majority of whom have been through more than four years of schooling, our group of patients may have been at a disadvantage. On the other hand the mean national age for retirement in Portugal in 2018 was 62.6 years, corresponding to the median age of our patients. Not unsurprisingly then, at recall, almost 50% of our patients </w:t>
      </w:r>
      <w:r>
        <w:rPr>
          <w:rFonts w:cstheme="minorHAnsi"/>
        </w:rPr>
        <w:lastRenderedPageBreak/>
        <w:t xml:space="preserve">were pensioners.  The median age of the unemployed patients (57.5 years) was nearing retirement time but it should be noted that despite our efforts, they had the highest disease activity, functional impairment and the lowest EQ-D5-3L score. This is in line with a recent Portuguese study </w:t>
      </w:r>
      <w:r w:rsidR="00724F08">
        <w:rPr>
          <w:rFonts w:cstheme="minorHAnsi"/>
        </w:rPr>
        <w:t>that</w:t>
      </w:r>
      <w:r>
        <w:rPr>
          <w:rFonts w:cstheme="minorHAnsi"/>
        </w:rPr>
        <w:t xml:space="preserve"> recalled a similarly high HAQ value for unemployed albeit younger RA patients.</w:t>
      </w:r>
      <w:r w:rsidRPr="00150A93">
        <w:rPr>
          <w:rFonts w:cstheme="minorHAnsi"/>
          <w:b/>
          <w:noProof/>
          <w:vertAlign w:val="superscript"/>
        </w:rPr>
        <w:t>30</w:t>
      </w:r>
      <w:r>
        <w:rPr>
          <w:rFonts w:cstheme="minorHAnsi"/>
        </w:rPr>
        <w:t xml:space="preserve"> </w:t>
      </w:r>
    </w:p>
    <w:p w14:paraId="1A86229F" w14:textId="77777777" w:rsidR="007A6A83" w:rsidRPr="0052768A" w:rsidRDefault="007A6A83" w:rsidP="00003F8D">
      <w:pPr>
        <w:spacing w:line="360" w:lineRule="auto"/>
        <w:ind w:firstLine="708"/>
        <w:jc w:val="both"/>
        <w:rPr>
          <w:lang w:val="en-GB"/>
        </w:rPr>
      </w:pPr>
      <w:r>
        <w:rPr>
          <w:rFonts w:cstheme="minorHAnsi"/>
        </w:rPr>
        <w:t xml:space="preserve">The mean EQ-5D-3L calculated with the Portuguese tariff was </w:t>
      </w:r>
      <w:r w:rsidRPr="00991315">
        <w:rPr>
          <w:rFonts w:cstheme="minorHAnsi"/>
        </w:rPr>
        <w:t>0</w:t>
      </w:r>
      <w:proofErr w:type="gramStart"/>
      <w:r w:rsidRPr="00991315">
        <w:rPr>
          <w:rFonts w:cstheme="minorHAnsi"/>
        </w:rPr>
        <w:t>,45</w:t>
      </w:r>
      <w:proofErr w:type="gramEnd"/>
      <w:r>
        <w:rPr>
          <w:rFonts w:cstheme="minorHAnsi"/>
        </w:rPr>
        <w:t xml:space="preserve"> (± 0.3), </w:t>
      </w:r>
      <w:r w:rsidR="00686242">
        <w:rPr>
          <w:rFonts w:cstheme="minorHAnsi"/>
        </w:rPr>
        <w:t>effectively placing our RA patients at a low score as regards HR</w:t>
      </w:r>
      <w:r w:rsidR="006E0E07">
        <w:rPr>
          <w:rFonts w:cstheme="minorHAnsi"/>
        </w:rPr>
        <w:t>-</w:t>
      </w:r>
      <w:proofErr w:type="spellStart"/>
      <w:r w:rsidR="00686242">
        <w:rPr>
          <w:rFonts w:cstheme="minorHAnsi"/>
        </w:rPr>
        <w:t>QoL</w:t>
      </w:r>
      <w:proofErr w:type="spellEnd"/>
      <w:r w:rsidR="00686242">
        <w:rPr>
          <w:rFonts w:cstheme="minorHAnsi"/>
        </w:rPr>
        <w:t xml:space="preserve">. There was no significant correlation </w:t>
      </w:r>
      <w:r>
        <w:rPr>
          <w:rFonts w:cstheme="minorHAnsi"/>
        </w:rPr>
        <w:t>to any clinical parameter</w:t>
      </w:r>
      <w:r w:rsidRPr="00410E5B">
        <w:rPr>
          <w:rFonts w:cstheme="minorHAnsi"/>
        </w:rPr>
        <w:t xml:space="preserve">. </w:t>
      </w:r>
      <w:r>
        <w:rPr>
          <w:rFonts w:cstheme="minorHAnsi"/>
        </w:rPr>
        <w:t>Interestingly, baseline mean EQ-5D-3L and HAQ values for a Greek population of RA patients were 0.</w:t>
      </w:r>
      <w:r w:rsidRPr="0052768A">
        <w:rPr>
          <w:rFonts w:cstheme="minorHAnsi"/>
        </w:rPr>
        <w:t>57</w:t>
      </w:r>
      <w:r>
        <w:rPr>
          <w:rFonts w:cstheme="minorHAnsi"/>
        </w:rPr>
        <w:t xml:space="preserve"> and 0.75</w:t>
      </w:r>
      <w:r w:rsidRPr="0052768A">
        <w:rPr>
          <w:rFonts w:cstheme="minorHAnsi"/>
        </w:rPr>
        <w:t xml:space="preserve">, </w:t>
      </w:r>
      <w:r>
        <w:rPr>
          <w:rFonts w:cstheme="minorHAnsi"/>
        </w:rPr>
        <w:t xml:space="preserve">(our values being 0.45 and </w:t>
      </w:r>
      <w:r w:rsidRPr="0052768A">
        <w:rPr>
          <w:rFonts w:cstheme="minorHAnsi"/>
        </w:rPr>
        <w:t>1.3</w:t>
      </w:r>
      <w:r>
        <w:rPr>
          <w:rFonts w:cstheme="minorHAnsi"/>
        </w:rPr>
        <w:t>)</w:t>
      </w:r>
      <w:r w:rsidRPr="0052768A">
        <w:rPr>
          <w:rFonts w:cstheme="minorHAnsi"/>
        </w:rPr>
        <w:t xml:space="preserve"> respectively</w:t>
      </w:r>
      <w:r>
        <w:rPr>
          <w:rFonts w:cstheme="minorHAnsi"/>
        </w:rPr>
        <w:t>,</w:t>
      </w:r>
      <w:r w:rsidR="00686242">
        <w:rPr>
          <w:rFonts w:cstheme="minorHAnsi"/>
        </w:rPr>
        <w:t xml:space="preserve"> in which</w:t>
      </w:r>
      <w:r>
        <w:rPr>
          <w:rFonts w:cstheme="minorHAnsi"/>
        </w:rPr>
        <w:t xml:space="preserve"> higher HR</w:t>
      </w:r>
      <w:r w:rsidR="006E0E07">
        <w:rPr>
          <w:rFonts w:cstheme="minorHAnsi"/>
        </w:rPr>
        <w:t>-</w:t>
      </w:r>
      <w:proofErr w:type="spellStart"/>
      <w:r>
        <w:rPr>
          <w:rFonts w:cstheme="minorHAnsi"/>
        </w:rPr>
        <w:t>QoL</w:t>
      </w:r>
      <w:proofErr w:type="spellEnd"/>
      <w:r>
        <w:rPr>
          <w:rFonts w:cstheme="minorHAnsi"/>
        </w:rPr>
        <w:t xml:space="preserve"> scores clearly correlated with a lower functional impairment as measured by HAQ. We nevertheless believe that our therapeutic strategies have provided benefit as evidenced by a decrease in disease activity and improvement in the disability index. </w:t>
      </w:r>
    </w:p>
    <w:p w14:paraId="26EAE5E3" w14:textId="171F2637" w:rsidR="007A6A83" w:rsidRPr="00C83467" w:rsidRDefault="007A6A83" w:rsidP="00003F8D">
      <w:pPr>
        <w:spacing w:line="360" w:lineRule="auto"/>
        <w:ind w:firstLine="708"/>
        <w:jc w:val="both"/>
        <w:rPr>
          <w:rFonts w:cstheme="minorHAnsi"/>
        </w:rPr>
      </w:pPr>
      <w:r>
        <w:rPr>
          <w:rFonts w:cstheme="minorHAnsi"/>
        </w:rPr>
        <w:t xml:space="preserve">We consider the following limitations. </w:t>
      </w:r>
      <w:r w:rsidRPr="00C83467">
        <w:rPr>
          <w:rFonts w:cstheme="minorHAnsi"/>
        </w:rPr>
        <w:t xml:space="preserve">Due to the retrospective nature of the study we could not assess </w:t>
      </w:r>
      <w:r>
        <w:rPr>
          <w:rFonts w:cstheme="minorHAnsi"/>
        </w:rPr>
        <w:t>H-</w:t>
      </w:r>
      <w:proofErr w:type="spellStart"/>
      <w:r>
        <w:rPr>
          <w:rFonts w:cstheme="minorHAnsi"/>
        </w:rPr>
        <w:t>QoL</w:t>
      </w:r>
      <w:proofErr w:type="spellEnd"/>
      <w:r>
        <w:rPr>
          <w:rFonts w:cstheme="minorHAnsi"/>
        </w:rPr>
        <w:t xml:space="preserve"> indices</w:t>
      </w:r>
      <w:r w:rsidRPr="00C83467">
        <w:rPr>
          <w:rFonts w:cstheme="minorHAnsi"/>
        </w:rPr>
        <w:t xml:space="preserve"> from baseline and as such could not assess the efficacy of particular drug regimens or compare them. As bDMARD therapy was started late in the course of disease, we cannot assess if those who started early attained added clinical improvement compared with patients with a delayed start of therapy.</w:t>
      </w:r>
      <w:r>
        <w:rPr>
          <w:rFonts w:cstheme="minorHAnsi"/>
        </w:rPr>
        <w:t xml:space="preserve"> We could not assess how many patients became </w:t>
      </w:r>
      <w:r w:rsidRPr="005B27C4">
        <w:rPr>
          <w:rFonts w:cstheme="minorHAnsi"/>
        </w:rPr>
        <w:t>work-disabled</w:t>
      </w:r>
      <w:r>
        <w:rPr>
          <w:rFonts w:cstheme="minorHAnsi"/>
        </w:rPr>
        <w:t xml:space="preserve"> due to disease. </w:t>
      </w:r>
      <w:r w:rsidR="00B36B4B">
        <w:rPr>
          <w:rFonts w:cstheme="minorHAnsi"/>
        </w:rPr>
        <w:t>Moreover, t</w:t>
      </w:r>
      <w:r w:rsidR="00B36B4B">
        <w:rPr>
          <w:rFonts w:cstheme="minorHAnsi"/>
        </w:rPr>
        <w:t xml:space="preserve">he dynamic nature of RA therapy cannot be reflected in this cross-sectional design. </w:t>
      </w:r>
      <w:r>
        <w:rPr>
          <w:rFonts w:cstheme="minorHAnsi"/>
        </w:rPr>
        <w:t xml:space="preserve">Some of the patients who had moderate or high disease activity at the time of recall were switched to alternative therapies that proved effective; other patients that were controlled at recall later lost response. </w:t>
      </w:r>
    </w:p>
    <w:p w14:paraId="1C81EAD1" w14:textId="77777777" w:rsidR="007A6A83" w:rsidRPr="00C83467" w:rsidRDefault="007A6A83" w:rsidP="00003F8D">
      <w:pPr>
        <w:spacing w:line="360" w:lineRule="auto"/>
        <w:jc w:val="both"/>
        <w:rPr>
          <w:rFonts w:cstheme="minorHAnsi"/>
        </w:rPr>
      </w:pPr>
    </w:p>
    <w:p w14:paraId="3F1A13FD" w14:textId="77777777" w:rsidR="007A6A83" w:rsidRDefault="007A6A83" w:rsidP="00003F8D">
      <w:pPr>
        <w:spacing w:line="360" w:lineRule="auto"/>
        <w:jc w:val="both"/>
        <w:rPr>
          <w:rFonts w:cstheme="minorHAnsi"/>
          <w:b/>
        </w:rPr>
      </w:pPr>
      <w:r w:rsidRPr="00C83467">
        <w:rPr>
          <w:rFonts w:cstheme="minorHAnsi"/>
          <w:b/>
        </w:rPr>
        <w:t>CONCLUSIONS</w:t>
      </w:r>
    </w:p>
    <w:p w14:paraId="667DB65C" w14:textId="03966876" w:rsidR="007A6A83" w:rsidRPr="00C04422" w:rsidRDefault="007A6A83" w:rsidP="00C04422">
      <w:pPr>
        <w:spacing w:line="360" w:lineRule="auto"/>
        <w:ind w:firstLine="708"/>
        <w:jc w:val="both"/>
        <w:rPr>
          <w:rFonts w:cstheme="minorHAnsi"/>
        </w:rPr>
      </w:pPr>
      <w:r>
        <w:rPr>
          <w:rFonts w:cstheme="minorHAnsi"/>
        </w:rPr>
        <w:t>The use of bDMARD provided therapeutic benefit as reflected by a significant decrease in DAS28, HAQ and steroid use</w:t>
      </w:r>
      <w:r w:rsidR="002428A6">
        <w:rPr>
          <w:rFonts w:cstheme="minorHAnsi"/>
        </w:rPr>
        <w:t xml:space="preserve">. </w:t>
      </w:r>
      <w:r w:rsidR="0079591C">
        <w:rPr>
          <w:rFonts w:cstheme="minorHAnsi"/>
        </w:rPr>
        <w:t>There were few hand joint deformities</w:t>
      </w:r>
      <w:r w:rsidR="006E0E07">
        <w:rPr>
          <w:rFonts w:cstheme="minorHAnsi"/>
        </w:rPr>
        <w:t xml:space="preserve"> per patient</w:t>
      </w:r>
      <w:r w:rsidR="0079591C">
        <w:rPr>
          <w:rFonts w:cstheme="minorHAnsi"/>
        </w:rPr>
        <w:t xml:space="preserve">. The presence of comorbidities had an impact on mortality. </w:t>
      </w:r>
      <w:r w:rsidR="002428A6">
        <w:rPr>
          <w:rFonts w:cstheme="minorHAnsi"/>
        </w:rPr>
        <w:t>The majority</w:t>
      </w:r>
      <w:r w:rsidR="0079591C">
        <w:rPr>
          <w:rFonts w:cstheme="minorHAnsi"/>
        </w:rPr>
        <w:t xml:space="preserve"> of patients</w:t>
      </w:r>
      <w:r w:rsidR="002428A6">
        <w:rPr>
          <w:rFonts w:cstheme="minorHAnsi"/>
        </w:rPr>
        <w:t xml:space="preserve"> retained the original bDMARD, few switches were required and the major cause for bDMARD interruption was infection. Nevertheless the mean EQ-5D-3L scores were low, indicating a poor HR-</w:t>
      </w:r>
      <w:proofErr w:type="spellStart"/>
      <w:r w:rsidR="002428A6">
        <w:rPr>
          <w:rFonts w:cstheme="minorHAnsi"/>
        </w:rPr>
        <w:t>QoL</w:t>
      </w:r>
      <w:proofErr w:type="spellEnd"/>
      <w:r w:rsidR="002428A6">
        <w:rPr>
          <w:rFonts w:cstheme="minorHAnsi"/>
        </w:rPr>
        <w:t>,</w:t>
      </w:r>
      <w:r>
        <w:rPr>
          <w:rFonts w:cstheme="minorHAnsi"/>
        </w:rPr>
        <w:t xml:space="preserve"> </w:t>
      </w:r>
      <w:r w:rsidR="002428A6">
        <w:rPr>
          <w:rFonts w:cstheme="minorHAnsi"/>
        </w:rPr>
        <w:t xml:space="preserve">the smaller impact on the mental component domains of SF-36 </w:t>
      </w:r>
      <w:r w:rsidR="0079591C">
        <w:rPr>
          <w:rFonts w:cstheme="minorHAnsi"/>
        </w:rPr>
        <w:t xml:space="preserve">possibly </w:t>
      </w:r>
      <w:r w:rsidR="002428A6">
        <w:rPr>
          <w:rFonts w:cstheme="minorHAnsi"/>
        </w:rPr>
        <w:t>invoking less suffering</w:t>
      </w:r>
      <w:r>
        <w:rPr>
          <w:rFonts w:cstheme="minorHAnsi"/>
        </w:rPr>
        <w:t xml:space="preserve">. Earlier onset of therapy may have prevented </w:t>
      </w:r>
      <w:r>
        <w:rPr>
          <w:rFonts w:cstheme="minorHAnsi"/>
        </w:rPr>
        <w:lastRenderedPageBreak/>
        <w:t>deformities and residual irreversible functional incapacity. Increased literacy, access to healthcare and new therapeutic choices can be expected to contribute to earlier diagnosis and remission and improved overall outcomes</w:t>
      </w:r>
      <w:r w:rsidR="00B36B4B">
        <w:rPr>
          <w:rFonts w:cstheme="minorHAnsi"/>
        </w:rPr>
        <w:t xml:space="preserve"> in the years to come</w:t>
      </w:r>
      <w:bookmarkStart w:id="0" w:name="_GoBack"/>
      <w:bookmarkEnd w:id="0"/>
      <w:r>
        <w:rPr>
          <w:rFonts w:cstheme="minorHAnsi"/>
        </w:rPr>
        <w:t xml:space="preserve">. </w:t>
      </w:r>
    </w:p>
    <w:p w14:paraId="7FC9E55F" w14:textId="77777777" w:rsidR="007A6A83" w:rsidRPr="00435D30" w:rsidRDefault="007A6A83" w:rsidP="00003F8D">
      <w:pPr>
        <w:spacing w:line="360" w:lineRule="auto"/>
        <w:jc w:val="both"/>
        <w:rPr>
          <w:rFonts w:cstheme="minorHAnsi"/>
          <w:lang w:val="en-GB"/>
        </w:rPr>
      </w:pPr>
    </w:p>
    <w:p w14:paraId="7F717AAC" w14:textId="77777777" w:rsidR="007A6A83" w:rsidRPr="00707604" w:rsidRDefault="007A6A83" w:rsidP="00003F8D">
      <w:pPr>
        <w:spacing w:line="360" w:lineRule="auto"/>
        <w:jc w:val="both"/>
        <w:rPr>
          <w:rFonts w:cstheme="minorHAnsi"/>
          <w:b/>
          <w:lang w:val="en-GB"/>
        </w:rPr>
      </w:pPr>
      <w:r w:rsidRPr="00707604">
        <w:rPr>
          <w:rFonts w:cstheme="minorHAnsi"/>
          <w:b/>
          <w:lang w:val="en-GB"/>
        </w:rPr>
        <w:t>ACKNOWLEDMENTS AND TASKS:</w:t>
      </w:r>
    </w:p>
    <w:p w14:paraId="3F7C20C8" w14:textId="77777777" w:rsidR="007A6A83" w:rsidRPr="00707604" w:rsidRDefault="007A6A83" w:rsidP="00003F8D">
      <w:pPr>
        <w:spacing w:line="360" w:lineRule="auto"/>
        <w:jc w:val="both"/>
        <w:rPr>
          <w:rFonts w:cstheme="minorHAnsi"/>
          <w:lang w:val="en-GB"/>
        </w:rPr>
      </w:pPr>
      <w:r w:rsidRPr="00707604">
        <w:rPr>
          <w:rFonts w:cstheme="minorHAnsi"/>
          <w:lang w:val="en-GB"/>
        </w:rPr>
        <w:t xml:space="preserve">Secretarial Assistance: Ana Martins </w:t>
      </w:r>
    </w:p>
    <w:p w14:paraId="18025BB8" w14:textId="77777777" w:rsidR="007A6A83" w:rsidRPr="00C83467" w:rsidRDefault="007A6A83" w:rsidP="00003F8D">
      <w:pPr>
        <w:spacing w:line="360" w:lineRule="auto"/>
        <w:jc w:val="both"/>
        <w:rPr>
          <w:rFonts w:cstheme="minorHAnsi"/>
          <w:lang w:val="en-GB"/>
        </w:rPr>
      </w:pPr>
      <w:r w:rsidRPr="00186D6F">
        <w:rPr>
          <w:rFonts w:cstheme="minorHAnsi"/>
          <w:lang w:val="en-GB"/>
        </w:rPr>
        <w:t xml:space="preserve">Medical care: </w:t>
      </w:r>
      <w:proofErr w:type="spellStart"/>
      <w:r w:rsidRPr="00C83467">
        <w:rPr>
          <w:rFonts w:cstheme="minorHAnsi"/>
          <w:lang w:val="en-GB"/>
        </w:rPr>
        <w:t>Nuno</w:t>
      </w:r>
      <w:proofErr w:type="spellEnd"/>
      <w:r w:rsidRPr="00C83467">
        <w:rPr>
          <w:rFonts w:cstheme="minorHAnsi"/>
          <w:lang w:val="en-GB"/>
        </w:rPr>
        <w:t xml:space="preserve"> </w:t>
      </w:r>
      <w:proofErr w:type="spellStart"/>
      <w:r w:rsidRPr="00C83467">
        <w:rPr>
          <w:rFonts w:cstheme="minorHAnsi"/>
          <w:lang w:val="en-GB"/>
        </w:rPr>
        <w:t>Riso</w:t>
      </w:r>
      <w:proofErr w:type="spellEnd"/>
      <w:r w:rsidRPr="00C83467">
        <w:rPr>
          <w:rFonts w:cstheme="minorHAnsi"/>
          <w:lang w:val="en-GB"/>
        </w:rPr>
        <w:t xml:space="preserve"> for prior coordination and longstanding commitment to the Unit. </w:t>
      </w:r>
    </w:p>
    <w:p w14:paraId="2D856B20" w14:textId="34258130" w:rsidR="007A6A83" w:rsidRPr="00C83467" w:rsidRDefault="007A6A83" w:rsidP="00003F8D">
      <w:pPr>
        <w:spacing w:line="360" w:lineRule="auto"/>
        <w:jc w:val="both"/>
        <w:rPr>
          <w:rFonts w:cstheme="minorHAnsi"/>
          <w:lang w:val="en-GB"/>
        </w:rPr>
      </w:pPr>
      <w:r w:rsidRPr="00C83467">
        <w:rPr>
          <w:rFonts w:cstheme="minorHAnsi"/>
          <w:lang w:val="en-GB"/>
        </w:rPr>
        <w:t xml:space="preserve">MF, AF, ALO, ACF, PM, AVT, MV, </w:t>
      </w:r>
      <w:r w:rsidR="00986FD6">
        <w:rPr>
          <w:rFonts w:cstheme="minorHAnsi"/>
          <w:lang w:val="en-GB"/>
        </w:rPr>
        <w:t xml:space="preserve">CR, </w:t>
      </w:r>
      <w:r w:rsidRPr="00C83467">
        <w:rPr>
          <w:rFonts w:cstheme="minorHAnsi"/>
          <w:lang w:val="en-GB"/>
        </w:rPr>
        <w:t>MJF and AP retrieved patient data, CM</w:t>
      </w:r>
      <w:r>
        <w:rPr>
          <w:rFonts w:cstheme="minorHAnsi"/>
          <w:lang w:val="en-GB"/>
        </w:rPr>
        <w:t>, MFMF</w:t>
      </w:r>
      <w:r w:rsidRPr="00C83467">
        <w:rPr>
          <w:rFonts w:cstheme="minorHAnsi"/>
          <w:lang w:val="en-GB"/>
        </w:rPr>
        <w:t xml:space="preserve"> and CR performed statistical analysis, MF, CM and MFMF wrote the manuscript, MFMF takes overall responsibility for the manuscript. </w:t>
      </w:r>
    </w:p>
    <w:p w14:paraId="726B76D3" w14:textId="77777777" w:rsidR="007A6A83" w:rsidRDefault="007A6A83" w:rsidP="00003F8D">
      <w:pPr>
        <w:spacing w:line="360" w:lineRule="auto"/>
        <w:rPr>
          <w:rFonts w:cstheme="minorHAnsi"/>
          <w:sz w:val="20"/>
          <w:szCs w:val="20"/>
          <w:lang w:val="en-GB"/>
        </w:rPr>
      </w:pPr>
    </w:p>
    <w:p w14:paraId="1FBA7271" w14:textId="77777777" w:rsidR="007A6A83" w:rsidRDefault="007A6A83" w:rsidP="00003F8D">
      <w:pPr>
        <w:rPr>
          <w:rFonts w:cstheme="minorHAnsi"/>
          <w:sz w:val="20"/>
          <w:szCs w:val="20"/>
          <w:lang w:val="en-GB"/>
        </w:rPr>
      </w:pPr>
      <w:r>
        <w:rPr>
          <w:rFonts w:cstheme="minorHAnsi"/>
          <w:sz w:val="20"/>
          <w:szCs w:val="20"/>
          <w:lang w:val="en-GB"/>
        </w:rPr>
        <w:br w:type="page"/>
      </w:r>
    </w:p>
    <w:p w14:paraId="4EC52135" w14:textId="77777777" w:rsidR="007A6A83" w:rsidRPr="00A66B7D" w:rsidRDefault="007A6A83" w:rsidP="00003F8D">
      <w:pPr>
        <w:widowControl w:val="0"/>
        <w:autoSpaceDE w:val="0"/>
        <w:autoSpaceDN w:val="0"/>
        <w:adjustRightInd w:val="0"/>
        <w:spacing w:line="360" w:lineRule="auto"/>
        <w:ind w:left="640" w:hanging="640"/>
        <w:rPr>
          <w:rFonts w:cstheme="minorHAnsi"/>
          <w:b/>
          <w:lang w:val="pt-PT"/>
        </w:rPr>
      </w:pPr>
      <w:r w:rsidRPr="00490441">
        <w:rPr>
          <w:rFonts w:cstheme="minorHAnsi"/>
          <w:b/>
          <w:lang w:val="pt-PT"/>
        </w:rPr>
        <w:lastRenderedPageBreak/>
        <w:t>REFERENCES</w:t>
      </w:r>
    </w:p>
    <w:p w14:paraId="7B97C504" w14:textId="77777777" w:rsidR="007A6A83" w:rsidRPr="00186D6F" w:rsidRDefault="007A6A83" w:rsidP="00003F8D">
      <w:pPr>
        <w:pStyle w:val="EndNoteBibliography"/>
        <w:ind w:left="720" w:hanging="720"/>
      </w:pPr>
      <w:r w:rsidRPr="006E0E07">
        <w:rPr>
          <w:lang w:val="pt-PT"/>
        </w:rPr>
        <w:t>1.</w:t>
      </w:r>
      <w:r w:rsidRPr="006E0E07">
        <w:rPr>
          <w:lang w:val="pt-PT"/>
        </w:rPr>
        <w:tab/>
        <w:t xml:space="preserve">Dadoun S, Zeboulon-Ktorza N, Combescure C, Elhai M, Rozenberg S, Gossec L, et al. </w:t>
      </w:r>
      <w:r w:rsidRPr="00186D6F">
        <w:t xml:space="preserve">Mortality in rheumatoid arthritis over the last fifty years: systematic review and meta-analysis. </w:t>
      </w:r>
      <w:r w:rsidRPr="00186D6F">
        <w:rPr>
          <w:i/>
        </w:rPr>
        <w:t>Joint Bone Spine.</w:t>
      </w:r>
      <w:r w:rsidRPr="00186D6F">
        <w:t xml:space="preserve"> 2013;80(1):29-33.</w:t>
      </w:r>
    </w:p>
    <w:p w14:paraId="086E37B2" w14:textId="77777777" w:rsidR="007A6A83" w:rsidRPr="00186D6F" w:rsidRDefault="007A6A83" w:rsidP="00003F8D">
      <w:pPr>
        <w:pStyle w:val="EndNoteBibliography"/>
        <w:ind w:left="720" w:hanging="720"/>
      </w:pPr>
      <w:r w:rsidRPr="00186D6F">
        <w:t>2.</w:t>
      </w:r>
      <w:r w:rsidRPr="00186D6F">
        <w:tab/>
        <w:t xml:space="preserve">Chester Wasko M, Dasgupta A, Ilse Sears G, Fries JF, and Ward MM. Prednisone Use and Risk of Mortality in Patients With Rheumatoid Arthritis: Moderation by Use of Disease-Modifying Antirheumatic Drugs. </w:t>
      </w:r>
      <w:r w:rsidRPr="00186D6F">
        <w:rPr>
          <w:i/>
        </w:rPr>
        <w:t>Arthritis Care Res (Hoboken).</w:t>
      </w:r>
      <w:r w:rsidRPr="00186D6F">
        <w:t xml:space="preserve"> 2016;68(5):706-10.</w:t>
      </w:r>
    </w:p>
    <w:p w14:paraId="075B6A47" w14:textId="77777777" w:rsidR="007A6A83" w:rsidRPr="00186D6F" w:rsidRDefault="007A6A83" w:rsidP="00003F8D">
      <w:pPr>
        <w:pStyle w:val="EndNoteBibliography"/>
        <w:ind w:left="720" w:hanging="720"/>
      </w:pPr>
      <w:r w:rsidRPr="00186D6F">
        <w:t>3.</w:t>
      </w:r>
      <w:r w:rsidRPr="00186D6F">
        <w:tab/>
        <w:t xml:space="preserve">Gibofsky A. Current therapeutic agents and treatment paradigms for the management of rheumatoid arthritis. </w:t>
      </w:r>
      <w:r w:rsidRPr="00186D6F">
        <w:rPr>
          <w:i/>
        </w:rPr>
        <w:t>Am J Manag Care.</w:t>
      </w:r>
      <w:r w:rsidRPr="00186D6F">
        <w:t xml:space="preserve"> 2014;20(7 Suppl):S136-44.</w:t>
      </w:r>
    </w:p>
    <w:p w14:paraId="5908EBA0" w14:textId="77777777" w:rsidR="007A6A83" w:rsidRPr="00186D6F" w:rsidRDefault="007A6A83" w:rsidP="00003F8D">
      <w:pPr>
        <w:pStyle w:val="EndNoteBibliography"/>
        <w:ind w:left="720" w:hanging="720"/>
      </w:pPr>
      <w:r w:rsidRPr="00186D6F">
        <w:t>4.</w:t>
      </w:r>
      <w:r w:rsidRPr="00186D6F">
        <w:tab/>
        <w:t xml:space="preserve">Curtis JR, and Singh JA. Use of biologics in rheumatoid arthritis: current and emerging paradigms of care. </w:t>
      </w:r>
      <w:r w:rsidRPr="00186D6F">
        <w:rPr>
          <w:i/>
        </w:rPr>
        <w:t>Clin Ther.</w:t>
      </w:r>
      <w:r w:rsidRPr="00186D6F">
        <w:t xml:space="preserve"> 2011;33(6):679-707.</w:t>
      </w:r>
    </w:p>
    <w:p w14:paraId="46443E0E" w14:textId="77777777" w:rsidR="007A6A83" w:rsidRPr="00186D6F" w:rsidRDefault="007A6A83" w:rsidP="00003F8D">
      <w:pPr>
        <w:pStyle w:val="EndNoteBibliography"/>
        <w:ind w:left="720" w:hanging="720"/>
      </w:pPr>
      <w:r w:rsidRPr="00186D6F">
        <w:t>5.</w:t>
      </w:r>
      <w:r w:rsidRPr="00186D6F">
        <w:tab/>
        <w:t xml:space="preserve">Smolen JS, Landewe R, Breedveld FC, Buch M, Burmester G, Dougados M, et al. EULAR recommendations for the management of rheumatoid arthritis with synthetic and biological disease-modifying antirheumatic drugs: 2013 update. </w:t>
      </w:r>
      <w:r w:rsidRPr="00186D6F">
        <w:rPr>
          <w:i/>
        </w:rPr>
        <w:t>Ann Rheum Dis.</w:t>
      </w:r>
      <w:r w:rsidRPr="00186D6F">
        <w:t xml:space="preserve"> 2014;73(3):492-509.</w:t>
      </w:r>
    </w:p>
    <w:p w14:paraId="430D6C43" w14:textId="77777777" w:rsidR="007A6A83" w:rsidRPr="00186D6F" w:rsidRDefault="007A6A83" w:rsidP="00003F8D">
      <w:pPr>
        <w:pStyle w:val="EndNoteBibliography"/>
        <w:ind w:left="720" w:hanging="720"/>
      </w:pPr>
      <w:r w:rsidRPr="00186D6F">
        <w:t>6.</w:t>
      </w:r>
      <w:r w:rsidRPr="00186D6F">
        <w:tab/>
        <w:t xml:space="preserve">Rein P, and Mueller RB. Treatment with Biologicals in Rheumatoid Arthritis: An Overview. </w:t>
      </w:r>
      <w:r w:rsidRPr="00186D6F">
        <w:rPr>
          <w:i/>
        </w:rPr>
        <w:t>Rheumatol Ther.</w:t>
      </w:r>
      <w:r w:rsidRPr="00186D6F">
        <w:t xml:space="preserve"> 2017;4(2):247-61.</w:t>
      </w:r>
    </w:p>
    <w:p w14:paraId="74FF239F" w14:textId="77777777" w:rsidR="007A6A83" w:rsidRPr="00186D6F" w:rsidRDefault="007A6A83" w:rsidP="00003F8D">
      <w:pPr>
        <w:pStyle w:val="EndNoteBibliography"/>
        <w:ind w:left="720" w:hanging="720"/>
      </w:pPr>
      <w:r w:rsidRPr="00186D6F">
        <w:t>7.</w:t>
      </w:r>
      <w:r w:rsidRPr="00186D6F">
        <w:tab/>
        <w:t xml:space="preserve">Kotyla PJ. Are Janus Kinase Inhibitors Superior over Classic Biologic Agents in RA Patients? </w:t>
      </w:r>
      <w:r w:rsidRPr="00186D6F">
        <w:rPr>
          <w:i/>
        </w:rPr>
        <w:t>Biomed Res Int.</w:t>
      </w:r>
      <w:r w:rsidRPr="00186D6F">
        <w:t xml:space="preserve"> 2018;2018:7492904.</w:t>
      </w:r>
    </w:p>
    <w:p w14:paraId="7B06906E" w14:textId="77777777" w:rsidR="007A6A83" w:rsidRPr="00186D6F" w:rsidRDefault="007A6A83" w:rsidP="00003F8D">
      <w:pPr>
        <w:pStyle w:val="EndNoteBibliography"/>
        <w:ind w:left="720" w:hanging="720"/>
      </w:pPr>
      <w:r w:rsidRPr="00186D6F">
        <w:t>8.</w:t>
      </w:r>
      <w:r w:rsidRPr="00186D6F">
        <w:tab/>
        <w:t xml:space="preserve">Arnett FC, Edworthy SM, Bloch DA, McShane DJ, Fries JF, Cooper NS, et al. The American Rheumatism Association 1987 revised criteria for the classification of rheumatoid arthritis. </w:t>
      </w:r>
      <w:r w:rsidRPr="00186D6F">
        <w:rPr>
          <w:i/>
        </w:rPr>
        <w:t>Arthritis Rheum.</w:t>
      </w:r>
      <w:r w:rsidRPr="00186D6F">
        <w:t xml:space="preserve"> 1988;31(3):315-24.</w:t>
      </w:r>
    </w:p>
    <w:p w14:paraId="45DFCDF6" w14:textId="77777777" w:rsidR="007A6A83" w:rsidRPr="00186D6F" w:rsidRDefault="007A6A83" w:rsidP="00003F8D">
      <w:pPr>
        <w:pStyle w:val="EndNoteBibliography"/>
        <w:ind w:left="720" w:hanging="720"/>
      </w:pPr>
      <w:r w:rsidRPr="00186D6F">
        <w:t>9.</w:t>
      </w:r>
      <w:r w:rsidRPr="00186D6F">
        <w:tab/>
        <w:t xml:space="preserve">Aletaha D, Neogi T, Silman AJ, Funovits J, Felson DT, Bingham CO, 3rd, et al. 2010 rheumatoid arthritis classification criteria: an American College of Rheumatology/European League Against Rheumatism collaborative initiative. </w:t>
      </w:r>
      <w:r w:rsidRPr="00186D6F">
        <w:rPr>
          <w:i/>
        </w:rPr>
        <w:t>Ann Rheum Dis.</w:t>
      </w:r>
      <w:r w:rsidRPr="00186D6F">
        <w:t xml:space="preserve"> 2010;69(9):1580-8.</w:t>
      </w:r>
    </w:p>
    <w:p w14:paraId="35ED35E7" w14:textId="77777777" w:rsidR="007A6A83" w:rsidRPr="00186D6F" w:rsidRDefault="007A6A83" w:rsidP="00003F8D">
      <w:pPr>
        <w:pStyle w:val="EndNoteBibliography"/>
        <w:ind w:left="720" w:hanging="720"/>
      </w:pPr>
      <w:r w:rsidRPr="00186D6F">
        <w:t>10.</w:t>
      </w:r>
      <w:r w:rsidRPr="00186D6F">
        <w:tab/>
        <w:t xml:space="preserve">Charlson ME, Pompei P, Ales KL, and MacKenzie CR. A new method of classifying prognostic comorbidity in longitudinal studies: development and validation. </w:t>
      </w:r>
      <w:r w:rsidRPr="00186D6F">
        <w:rPr>
          <w:i/>
        </w:rPr>
        <w:t>J Chronic Dis.</w:t>
      </w:r>
      <w:r w:rsidRPr="00186D6F">
        <w:t xml:space="preserve"> 1987;40(5):373-83.</w:t>
      </w:r>
    </w:p>
    <w:p w14:paraId="6839A918" w14:textId="77777777" w:rsidR="007A6A83" w:rsidRPr="00186D6F" w:rsidRDefault="007A6A83" w:rsidP="00003F8D">
      <w:pPr>
        <w:pStyle w:val="EndNoteBibliography"/>
        <w:ind w:left="720" w:hanging="720"/>
      </w:pPr>
      <w:r w:rsidRPr="00186D6F">
        <w:t>11.</w:t>
      </w:r>
      <w:r w:rsidRPr="00186D6F">
        <w:tab/>
        <w:t xml:space="preserve">van Riel PL. The development of the disease activity score (DAS) and the disease activity score using 28 joint counts (DAS28). </w:t>
      </w:r>
      <w:r w:rsidRPr="00186D6F">
        <w:rPr>
          <w:i/>
        </w:rPr>
        <w:t>Clin Exp Rheumatol.</w:t>
      </w:r>
      <w:r w:rsidRPr="00186D6F">
        <w:t xml:space="preserve"> 2014;32(5 Suppl 85):S-65-74.</w:t>
      </w:r>
    </w:p>
    <w:p w14:paraId="0718F72E" w14:textId="77777777" w:rsidR="007A6A83" w:rsidRPr="00186D6F" w:rsidRDefault="007A6A83" w:rsidP="00003F8D">
      <w:pPr>
        <w:pStyle w:val="EndNoteBibliography"/>
        <w:ind w:left="720" w:hanging="720"/>
      </w:pPr>
      <w:r w:rsidRPr="00186D6F">
        <w:t>12.</w:t>
      </w:r>
      <w:r w:rsidRPr="00186D6F">
        <w:tab/>
        <w:t xml:space="preserve">Fries JF, Spitz P, Kraines RG, and Holman HR. Measurement of patient outcome in arthritis. </w:t>
      </w:r>
      <w:r w:rsidRPr="00186D6F">
        <w:rPr>
          <w:i/>
        </w:rPr>
        <w:t>Arthritis Rheum.</w:t>
      </w:r>
      <w:r w:rsidRPr="00186D6F">
        <w:t xml:space="preserve"> 1980;23(2):137-45.</w:t>
      </w:r>
    </w:p>
    <w:p w14:paraId="63CF640B" w14:textId="77777777" w:rsidR="007A6A83" w:rsidRPr="00186D6F" w:rsidRDefault="007A6A83" w:rsidP="00003F8D">
      <w:pPr>
        <w:pStyle w:val="EndNoteBibliography"/>
        <w:ind w:left="720" w:hanging="720"/>
      </w:pPr>
      <w:r w:rsidRPr="00186D6F">
        <w:t>13.</w:t>
      </w:r>
      <w:r w:rsidRPr="00186D6F">
        <w:tab/>
        <w:t xml:space="preserve">Felson DT, Anderson JJ, Boers M, Bombardier C, Chernoff M, Fried B, et al. The American College of Rheumatology preliminary core set of disease activity measures for rheumatoid arthritis clinical trials. The Committee on Outcome Measures in Rheumatoid Arthritis Clinical Trials. </w:t>
      </w:r>
      <w:r w:rsidRPr="00186D6F">
        <w:rPr>
          <w:i/>
        </w:rPr>
        <w:t>Arthritis Rheum.</w:t>
      </w:r>
      <w:r w:rsidRPr="00186D6F">
        <w:t xml:space="preserve"> 1993;36(6):729-40.</w:t>
      </w:r>
    </w:p>
    <w:p w14:paraId="263DED03" w14:textId="77777777" w:rsidR="007A6A83" w:rsidRPr="00186D6F" w:rsidRDefault="007A6A83" w:rsidP="00003F8D">
      <w:pPr>
        <w:pStyle w:val="EndNoteBibliography"/>
        <w:ind w:left="720" w:hanging="720"/>
      </w:pPr>
      <w:r w:rsidRPr="00186D6F">
        <w:t>14.</w:t>
      </w:r>
      <w:r w:rsidRPr="00186D6F">
        <w:tab/>
        <w:t xml:space="preserve">Bruce B, and Fries JF. The Stanford Health Assessment Questionnaire: a review of its history, issues, progress, and documentation. </w:t>
      </w:r>
      <w:r w:rsidRPr="00186D6F">
        <w:rPr>
          <w:i/>
        </w:rPr>
        <w:t>J Rheumatol.</w:t>
      </w:r>
      <w:r w:rsidRPr="00186D6F">
        <w:t xml:space="preserve"> 2003;30(1):167-78.</w:t>
      </w:r>
    </w:p>
    <w:p w14:paraId="30BA5EF6" w14:textId="77777777" w:rsidR="007A6A83" w:rsidRPr="00186D6F" w:rsidRDefault="007A6A83" w:rsidP="00003F8D">
      <w:pPr>
        <w:pStyle w:val="EndNoteBibliography"/>
        <w:ind w:left="720" w:hanging="720"/>
      </w:pPr>
      <w:r w:rsidRPr="00186D6F">
        <w:t>15.</w:t>
      </w:r>
      <w:r w:rsidRPr="00186D6F">
        <w:tab/>
        <w:t xml:space="preserve">Maska L, Anderson J, and Michaud K. Measures of functional status and quality of life in rheumatoid arthritis: Health Assessment Questionnaire Disability Index (HAQ), Modified Health Assessment Questionnaire (MHAQ), Multidimensional </w:t>
      </w:r>
      <w:r w:rsidRPr="00186D6F">
        <w:lastRenderedPageBreak/>
        <w:t xml:space="preserve">Health Assessment Questionnaire (MDHAQ), Health Assessment Questionnaire II (HAQ-II), Improved Health Assessment Questionnaire (Improved HAQ), and Rheumatoid Arthritis Quality of Life (RAQoL). </w:t>
      </w:r>
      <w:r w:rsidRPr="00186D6F">
        <w:rPr>
          <w:i/>
        </w:rPr>
        <w:t>Arthritis Care Res (Hoboken).</w:t>
      </w:r>
      <w:r w:rsidRPr="00186D6F">
        <w:t xml:space="preserve"> 2011;63 Suppl 11:S4-13.</w:t>
      </w:r>
    </w:p>
    <w:p w14:paraId="78D9D928" w14:textId="77777777" w:rsidR="007A6A83" w:rsidRPr="00186D6F" w:rsidRDefault="007A6A83" w:rsidP="00003F8D">
      <w:pPr>
        <w:pStyle w:val="EndNoteBibliography"/>
        <w:ind w:left="720" w:hanging="720"/>
      </w:pPr>
      <w:r w:rsidRPr="00186D6F">
        <w:t>16.</w:t>
      </w:r>
      <w:r w:rsidRPr="00186D6F">
        <w:tab/>
        <w:t xml:space="preserve">Borah BJ, Huang X, Zarotsky V, and Globe D. Trends in RA patients' adherence to subcutaneous anti-TNF therapies and costs. </w:t>
      </w:r>
      <w:r w:rsidRPr="00186D6F">
        <w:rPr>
          <w:i/>
        </w:rPr>
        <w:t>Curr Med Res Opin.</w:t>
      </w:r>
      <w:r w:rsidRPr="00186D6F">
        <w:t xml:space="preserve"> 2009;25(6):1365-77.</w:t>
      </w:r>
    </w:p>
    <w:p w14:paraId="586CD2E8" w14:textId="77777777" w:rsidR="007A6A83" w:rsidRPr="00186D6F" w:rsidRDefault="007A6A83" w:rsidP="00003F8D">
      <w:pPr>
        <w:pStyle w:val="EndNoteBibliography"/>
        <w:ind w:left="720" w:hanging="720"/>
      </w:pPr>
      <w:r w:rsidRPr="00186D6F">
        <w:t>17.</w:t>
      </w:r>
      <w:r w:rsidRPr="00186D6F">
        <w:tab/>
        <w:t xml:space="preserve">Ferreira PL. [Development of the Portuguese version of MOS SF-36. Part I. Cultural and linguistic adaptation]. </w:t>
      </w:r>
      <w:r w:rsidRPr="00186D6F">
        <w:rPr>
          <w:i/>
        </w:rPr>
        <w:t>Acta Med Port.</w:t>
      </w:r>
      <w:r w:rsidRPr="00186D6F">
        <w:t xml:space="preserve"> 2000;13(1-2):55-66.</w:t>
      </w:r>
    </w:p>
    <w:p w14:paraId="61E40664" w14:textId="77777777" w:rsidR="007A6A83" w:rsidRPr="00186D6F" w:rsidRDefault="007A6A83" w:rsidP="00003F8D">
      <w:pPr>
        <w:pStyle w:val="EndNoteBibliography"/>
        <w:ind w:left="720" w:hanging="720"/>
      </w:pPr>
      <w:r w:rsidRPr="00186D6F">
        <w:t>18.</w:t>
      </w:r>
      <w:r w:rsidRPr="00186D6F">
        <w:tab/>
        <w:t xml:space="preserve">Ferreira PL. [Development of the Portuguese version of MOS SF-36. Part II --Validation tests]. </w:t>
      </w:r>
      <w:r w:rsidRPr="00186D6F">
        <w:rPr>
          <w:i/>
        </w:rPr>
        <w:t>Acta Med Port.</w:t>
      </w:r>
      <w:r w:rsidRPr="00186D6F">
        <w:t xml:space="preserve"> 2000;13(3):119-27.</w:t>
      </w:r>
    </w:p>
    <w:p w14:paraId="03D60AB1" w14:textId="77777777" w:rsidR="007A6A83" w:rsidRPr="006E0E07" w:rsidRDefault="007A6A83" w:rsidP="00003F8D">
      <w:pPr>
        <w:pStyle w:val="EndNoteBibliography"/>
        <w:ind w:left="720" w:hanging="720"/>
        <w:rPr>
          <w:lang w:val="pt-PT"/>
        </w:rPr>
      </w:pPr>
      <w:r w:rsidRPr="00186D6F">
        <w:t>19.</w:t>
      </w:r>
      <w:r w:rsidRPr="00186D6F">
        <w:tab/>
        <w:t xml:space="preserve">Ferreira LN, Ferreira PL, Pereira LN, and Oppe M. The valuation of the EQ-5D in Portugal. </w:t>
      </w:r>
      <w:r w:rsidRPr="006E0E07">
        <w:rPr>
          <w:i/>
          <w:lang w:val="pt-PT"/>
        </w:rPr>
        <w:t>Qual Life Res.</w:t>
      </w:r>
      <w:r w:rsidRPr="006E0E07">
        <w:rPr>
          <w:lang w:val="pt-PT"/>
        </w:rPr>
        <w:t xml:space="preserve"> 2014;23(2):413-23.</w:t>
      </w:r>
    </w:p>
    <w:p w14:paraId="4564CC0B" w14:textId="77777777" w:rsidR="007A6A83" w:rsidRPr="00186D6F" w:rsidRDefault="007A6A83" w:rsidP="00003F8D">
      <w:pPr>
        <w:pStyle w:val="EndNoteBibliography"/>
        <w:ind w:left="720" w:hanging="720"/>
      </w:pPr>
      <w:r w:rsidRPr="006E0E07">
        <w:rPr>
          <w:lang w:val="pt-PT"/>
        </w:rPr>
        <w:t>20.</w:t>
      </w:r>
      <w:r w:rsidRPr="006E0E07">
        <w:rPr>
          <w:lang w:val="pt-PT"/>
        </w:rPr>
        <w:tab/>
        <w:t xml:space="preserve">Ferreira LN, Ferreira PL, Pereira LN, and Oppe M. EQ-5D Portuguese population norms. </w:t>
      </w:r>
      <w:r w:rsidRPr="00186D6F">
        <w:rPr>
          <w:i/>
        </w:rPr>
        <w:t>Qual Life Res.</w:t>
      </w:r>
      <w:r w:rsidRPr="00186D6F">
        <w:t xml:space="preserve"> 2014;23(2):425-30.</w:t>
      </w:r>
    </w:p>
    <w:p w14:paraId="46F48E20" w14:textId="77777777" w:rsidR="007A6A83" w:rsidRPr="00186D6F" w:rsidRDefault="007A6A83" w:rsidP="00003F8D">
      <w:pPr>
        <w:pStyle w:val="EndNoteBibliography"/>
        <w:ind w:left="720" w:hanging="720"/>
      </w:pPr>
      <w:r w:rsidRPr="00186D6F">
        <w:t>21.</w:t>
      </w:r>
      <w:r w:rsidRPr="00186D6F">
        <w:tab/>
        <w:t xml:space="preserve">Pincus T, Callahan LF, Sale WG, Brooks AL, Payne LE, and Vaughn WK. Severe functional declines, work disability, and increased mortality in seventy-five rheumatoid arthritis patients studied over nine years. </w:t>
      </w:r>
      <w:r w:rsidRPr="00186D6F">
        <w:rPr>
          <w:i/>
        </w:rPr>
        <w:t>Arthritis Rheum.</w:t>
      </w:r>
      <w:r w:rsidRPr="00186D6F">
        <w:t xml:space="preserve"> 1984;27(8):864-72.</w:t>
      </w:r>
    </w:p>
    <w:p w14:paraId="2EFD2A15" w14:textId="77777777" w:rsidR="007A6A83" w:rsidRPr="00186D6F" w:rsidRDefault="007A6A83" w:rsidP="00003F8D">
      <w:pPr>
        <w:pStyle w:val="EndNoteBibliography"/>
        <w:ind w:left="720" w:hanging="720"/>
      </w:pPr>
      <w:r w:rsidRPr="00186D6F">
        <w:t>22.</w:t>
      </w:r>
      <w:r w:rsidRPr="00186D6F">
        <w:tab/>
        <w:t xml:space="preserve">Wolfe F, Michaud K, Gefeller O, and Choi HK. Predicting mortality in patients with rheumatoid arthritis. </w:t>
      </w:r>
      <w:r w:rsidRPr="00186D6F">
        <w:rPr>
          <w:i/>
        </w:rPr>
        <w:t>Arthritis Rheum.</w:t>
      </w:r>
      <w:r w:rsidRPr="00186D6F">
        <w:t xml:space="preserve"> 2003;48(6):1530-42.</w:t>
      </w:r>
    </w:p>
    <w:p w14:paraId="414433E8" w14:textId="77777777" w:rsidR="007A6A83" w:rsidRPr="00186D6F" w:rsidRDefault="007A6A83" w:rsidP="00003F8D">
      <w:pPr>
        <w:pStyle w:val="EndNoteBibliography"/>
        <w:ind w:left="720" w:hanging="720"/>
      </w:pPr>
      <w:r w:rsidRPr="00186D6F">
        <w:t>23.</w:t>
      </w:r>
      <w:r w:rsidRPr="00186D6F">
        <w:tab/>
        <w:t xml:space="preserve">Aletaha D, Ward MM, Machold KP, Nell VP, Stamm T, and Smolen JS. Remission and active disease in rheumatoid arthritis: defining criteria for disease activity states. </w:t>
      </w:r>
      <w:r w:rsidRPr="00186D6F">
        <w:rPr>
          <w:i/>
        </w:rPr>
        <w:t>Arthritis Rheum.</w:t>
      </w:r>
      <w:r w:rsidRPr="00186D6F">
        <w:t xml:space="preserve"> 2005;52(9):2625-36.</w:t>
      </w:r>
    </w:p>
    <w:p w14:paraId="708821AC" w14:textId="77777777" w:rsidR="007A6A83" w:rsidRPr="00186D6F" w:rsidRDefault="007A6A83" w:rsidP="00003F8D">
      <w:pPr>
        <w:pStyle w:val="EndNoteBibliography"/>
        <w:ind w:left="720" w:hanging="720"/>
      </w:pPr>
      <w:r w:rsidRPr="00186D6F">
        <w:t>24.</w:t>
      </w:r>
      <w:r w:rsidRPr="00186D6F">
        <w:tab/>
        <w:t xml:space="preserve">Graudal N, Kaas-Hansen BS, Guski L, Hubeck-Graudal T, Welton NJ, and Jurgens G. Different Original and Biosimilar TNF Inhibitors Similarly Reduce Joint Destruction in Rheumatoid Arthritis-A Network Meta-Analysis of 36 Randomized Controlled Trials. </w:t>
      </w:r>
      <w:r w:rsidRPr="00186D6F">
        <w:rPr>
          <w:i/>
        </w:rPr>
        <w:t>Int J Mol Sci.</w:t>
      </w:r>
      <w:r w:rsidRPr="00186D6F">
        <w:t xml:space="preserve"> 2019;20(18).</w:t>
      </w:r>
    </w:p>
    <w:p w14:paraId="3180ADE2" w14:textId="77777777" w:rsidR="007A6A83" w:rsidRPr="00186D6F" w:rsidRDefault="007A6A83" w:rsidP="00003F8D">
      <w:pPr>
        <w:pStyle w:val="EndNoteBibliography"/>
        <w:ind w:left="720" w:hanging="720"/>
      </w:pPr>
      <w:r w:rsidRPr="00186D6F">
        <w:t>25.</w:t>
      </w:r>
      <w:r w:rsidRPr="00186D6F">
        <w:tab/>
        <w:t xml:space="preserve">. </w:t>
      </w:r>
      <w:r w:rsidRPr="007A6A83">
        <w:t>http://reuma.pt/pt_PT/docs/ONDOR_reumapt.pdf</w:t>
      </w:r>
      <w:r w:rsidRPr="00186D6F">
        <w:t>. 2018.</w:t>
      </w:r>
    </w:p>
    <w:p w14:paraId="309B8E3F" w14:textId="77777777" w:rsidR="007A6A83" w:rsidRPr="00186D6F" w:rsidRDefault="007A6A83" w:rsidP="00003F8D">
      <w:pPr>
        <w:pStyle w:val="EndNoteBibliography"/>
        <w:ind w:left="720" w:hanging="720"/>
      </w:pPr>
      <w:r w:rsidRPr="006E0E07">
        <w:rPr>
          <w:lang w:val="pt-PT"/>
        </w:rPr>
        <w:t>26.</w:t>
      </w:r>
      <w:r w:rsidRPr="006E0E07">
        <w:rPr>
          <w:lang w:val="pt-PT"/>
        </w:rPr>
        <w:tab/>
        <w:t xml:space="preserve">Laires PA, Exposto F, Mesquita R, Martins AP, Cunha-Miranda L, and Fonseca JE. </w:t>
      </w:r>
      <w:r w:rsidRPr="00186D6F">
        <w:t xml:space="preserve">Patients' access to biologics in rheumatoid arthritis: a comparison between Portugal and other European countries. </w:t>
      </w:r>
      <w:r w:rsidRPr="00186D6F">
        <w:rPr>
          <w:i/>
        </w:rPr>
        <w:t>Eur J Health Econ.</w:t>
      </w:r>
      <w:r w:rsidRPr="00186D6F">
        <w:t xml:space="preserve"> 2013;14(6):875-85.</w:t>
      </w:r>
    </w:p>
    <w:p w14:paraId="5AACC3E1" w14:textId="77777777" w:rsidR="007A6A83" w:rsidRPr="00186D6F" w:rsidRDefault="007A6A83" w:rsidP="00003F8D">
      <w:pPr>
        <w:pStyle w:val="EndNoteBibliography"/>
        <w:ind w:left="720" w:hanging="720"/>
      </w:pPr>
      <w:r w:rsidRPr="00186D6F">
        <w:t>27.</w:t>
      </w:r>
      <w:r w:rsidRPr="00186D6F">
        <w:tab/>
        <w:t xml:space="preserve">Hoebert JM, Mantel-Teeuwisse AK, van Dijk L, Bijlsma JW, and Leufkens HG. Do rheumatoid arthritis patients have equal access to treatment with new medicines?: tumour necrosis factor-alpha inhibitors use in four European countries. </w:t>
      </w:r>
      <w:r w:rsidRPr="00186D6F">
        <w:rPr>
          <w:i/>
        </w:rPr>
        <w:t>Health Policy.</w:t>
      </w:r>
      <w:r w:rsidRPr="00186D6F">
        <w:t xml:space="preserve"> 2012;104(1):76-83.</w:t>
      </w:r>
    </w:p>
    <w:p w14:paraId="30E36309" w14:textId="77777777" w:rsidR="007A6A83" w:rsidRPr="006E0E07" w:rsidRDefault="007A6A83" w:rsidP="00003F8D">
      <w:pPr>
        <w:pStyle w:val="EndNoteBibliography"/>
        <w:ind w:left="720" w:hanging="720"/>
        <w:rPr>
          <w:lang w:val="pt-PT"/>
        </w:rPr>
      </w:pPr>
      <w:r w:rsidRPr="00186D6F">
        <w:t>28.</w:t>
      </w:r>
      <w:r w:rsidRPr="00186D6F">
        <w:tab/>
        <w:t xml:space="preserve">van der Heide I, Wang J, Droomers M, Spreeuwenberg P, Rademakers J, and Uiters E. The relationship between health, education, and health literacy: results from the Dutch Adult Literacy and Life Skills Survey. </w:t>
      </w:r>
      <w:r w:rsidRPr="006E0E07">
        <w:rPr>
          <w:i/>
          <w:lang w:val="pt-PT"/>
        </w:rPr>
        <w:t>J Health Commun.</w:t>
      </w:r>
      <w:r w:rsidRPr="006E0E07">
        <w:rPr>
          <w:lang w:val="pt-PT"/>
        </w:rPr>
        <w:t xml:space="preserve"> 2013;18 Suppl 1:172-84.</w:t>
      </w:r>
    </w:p>
    <w:p w14:paraId="1E5B1103" w14:textId="77777777" w:rsidR="007A6A83" w:rsidRPr="00186D6F" w:rsidRDefault="007A6A83" w:rsidP="00003F8D">
      <w:pPr>
        <w:pStyle w:val="EndNoteBibliography"/>
        <w:ind w:left="720" w:hanging="720"/>
      </w:pPr>
      <w:r w:rsidRPr="006E0E07">
        <w:rPr>
          <w:lang w:val="pt-PT"/>
        </w:rPr>
        <w:t>29.</w:t>
      </w:r>
      <w:r w:rsidRPr="006E0E07">
        <w:rPr>
          <w:lang w:val="pt-PT"/>
        </w:rPr>
        <w:tab/>
        <w:t xml:space="preserve">Gomes JL, Sepriano A, Eusebio M, Serra S, Fonseca JE, Saavedra MJ, et al. </w:t>
      </w:r>
      <w:r w:rsidRPr="00186D6F">
        <w:t xml:space="preserve">Predictors and causes of first-line biologic agent discontinuation in rheumatoid arthritis: data from Reuma.pt. </w:t>
      </w:r>
      <w:r w:rsidRPr="00186D6F">
        <w:rPr>
          <w:i/>
        </w:rPr>
        <w:t>Acta Reumatol Port.</w:t>
      </w:r>
      <w:r w:rsidRPr="00186D6F">
        <w:t xml:space="preserve"> 2019;44(1):57-64.</w:t>
      </w:r>
    </w:p>
    <w:p w14:paraId="26A8512B" w14:textId="77777777" w:rsidR="007A6A83" w:rsidRPr="00186D6F" w:rsidRDefault="007A6A83" w:rsidP="00003F8D">
      <w:pPr>
        <w:pStyle w:val="EndNoteBibliography"/>
        <w:ind w:left="720" w:hanging="720"/>
      </w:pPr>
      <w:r w:rsidRPr="006E0E07">
        <w:rPr>
          <w:lang w:val="pt-PT"/>
        </w:rPr>
        <w:t>30.</w:t>
      </w:r>
      <w:r w:rsidRPr="006E0E07">
        <w:rPr>
          <w:lang w:val="pt-PT"/>
        </w:rPr>
        <w:tab/>
        <w:t xml:space="preserve">Guerra MG, Vieria R, Ganhao S, Rodrigues J, Fonseca D, Videira T, et al. </w:t>
      </w:r>
      <w:r w:rsidRPr="00186D6F">
        <w:t xml:space="preserve">First steps to understand productivity loss in Portuguese patients with rheumatoid arthritis. </w:t>
      </w:r>
      <w:r w:rsidRPr="00186D6F">
        <w:rPr>
          <w:i/>
        </w:rPr>
        <w:t>Acta Reumatol Port.</w:t>
      </w:r>
      <w:r w:rsidRPr="00186D6F">
        <w:t xml:space="preserve"> 2019.</w:t>
      </w:r>
    </w:p>
    <w:p w14:paraId="223EB77D" w14:textId="77777777" w:rsidR="007A6A83" w:rsidRPr="00C83467" w:rsidRDefault="007A6A83" w:rsidP="00003F8D">
      <w:pPr>
        <w:pStyle w:val="EndNoteBibliography"/>
        <w:ind w:left="720" w:hanging="720"/>
        <w:rPr>
          <w:rFonts w:cstheme="minorHAnsi"/>
          <w:i/>
          <w:sz w:val="20"/>
          <w:szCs w:val="20"/>
          <w:lang w:val="en-GB"/>
        </w:rPr>
      </w:pPr>
    </w:p>
    <w:p w14:paraId="5B11FA38" w14:textId="77777777" w:rsidR="00665626" w:rsidRDefault="00665626"/>
    <w:sectPr w:rsidR="00665626" w:rsidSect="002428A6">
      <w:footerReference w:type="default" r:id="rId8"/>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644A1" w16cid:durableId="21E7BD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1416" w14:textId="77777777" w:rsidR="00343C29" w:rsidRDefault="00343C29">
      <w:r>
        <w:separator/>
      </w:r>
    </w:p>
  </w:endnote>
  <w:endnote w:type="continuationSeparator" w:id="0">
    <w:p w14:paraId="44E15415" w14:textId="77777777" w:rsidR="00343C29" w:rsidRDefault="0034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11082"/>
      <w:docPartObj>
        <w:docPartGallery w:val="Page Numbers (Bottom of Page)"/>
        <w:docPartUnique/>
      </w:docPartObj>
    </w:sdtPr>
    <w:sdtEndPr/>
    <w:sdtContent>
      <w:p w14:paraId="05530954" w14:textId="77777777" w:rsidR="00724F08" w:rsidRDefault="00724F08">
        <w:pPr>
          <w:pStyle w:val="Rodap"/>
          <w:jc w:val="center"/>
        </w:pPr>
        <w:r>
          <w:fldChar w:fldCharType="begin"/>
        </w:r>
        <w:r>
          <w:instrText>PAGE   \* MERGEFORMAT</w:instrText>
        </w:r>
        <w:r>
          <w:fldChar w:fldCharType="separate"/>
        </w:r>
        <w:r w:rsidR="00B36B4B" w:rsidRPr="00B36B4B">
          <w:rPr>
            <w:noProof/>
            <w:lang w:val="pt-PT"/>
          </w:rPr>
          <w:t>12</w:t>
        </w:r>
        <w:r>
          <w:fldChar w:fldCharType="end"/>
        </w:r>
      </w:p>
    </w:sdtContent>
  </w:sdt>
  <w:p w14:paraId="5D998AA5" w14:textId="77777777" w:rsidR="00724F08" w:rsidRDefault="00724F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980EA" w14:textId="77777777" w:rsidR="00343C29" w:rsidRDefault="00343C29">
      <w:r>
        <w:separator/>
      </w:r>
    </w:p>
  </w:footnote>
  <w:footnote w:type="continuationSeparator" w:id="0">
    <w:p w14:paraId="641A04FD" w14:textId="77777777" w:rsidR="00343C29" w:rsidRDefault="00343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918"/>
    <w:multiLevelType w:val="multilevel"/>
    <w:tmpl w:val="9AA89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B4D9B"/>
    <w:multiLevelType w:val="hybridMultilevel"/>
    <w:tmpl w:val="D5CA4652"/>
    <w:lvl w:ilvl="0" w:tplc="7A2A2F7A">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AE76D6"/>
    <w:multiLevelType w:val="hybridMultilevel"/>
    <w:tmpl w:val="E71CA330"/>
    <w:lvl w:ilvl="0" w:tplc="275C447E">
      <w:start w:val="1"/>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AC1355A"/>
    <w:multiLevelType w:val="hybridMultilevel"/>
    <w:tmpl w:val="4822BD96"/>
    <w:lvl w:ilvl="0" w:tplc="14926FAA">
      <w:start w:val="17"/>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CBB1B96"/>
    <w:multiLevelType w:val="hybridMultilevel"/>
    <w:tmpl w:val="63063E2C"/>
    <w:lvl w:ilvl="0" w:tplc="03FE72E0">
      <w:start w:val="5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5" w15:restartNumberingAfterBreak="0">
    <w:nsid w:val="0DFE7328"/>
    <w:multiLevelType w:val="hybridMultilevel"/>
    <w:tmpl w:val="C72C6922"/>
    <w:lvl w:ilvl="0" w:tplc="3400628A">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6" w15:restartNumberingAfterBreak="0">
    <w:nsid w:val="1E08518E"/>
    <w:multiLevelType w:val="hybridMultilevel"/>
    <w:tmpl w:val="05E6978E"/>
    <w:lvl w:ilvl="0" w:tplc="18C46982">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7" w15:restartNumberingAfterBreak="0">
    <w:nsid w:val="1E6F4FD2"/>
    <w:multiLevelType w:val="hybridMultilevel"/>
    <w:tmpl w:val="F6F492B2"/>
    <w:lvl w:ilvl="0" w:tplc="6C4638B6">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8" w15:restartNumberingAfterBreak="0">
    <w:nsid w:val="1F412639"/>
    <w:multiLevelType w:val="hybridMultilevel"/>
    <w:tmpl w:val="47DC40C6"/>
    <w:lvl w:ilvl="0" w:tplc="96A82B8E">
      <w:start w:val="4"/>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9" w15:restartNumberingAfterBreak="0">
    <w:nsid w:val="1F746588"/>
    <w:multiLevelType w:val="hybridMultilevel"/>
    <w:tmpl w:val="2050E3D2"/>
    <w:lvl w:ilvl="0" w:tplc="BB4A7FFA">
      <w:start w:val="4"/>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0" w15:restartNumberingAfterBreak="0">
    <w:nsid w:val="239243F8"/>
    <w:multiLevelType w:val="hybridMultilevel"/>
    <w:tmpl w:val="ABEE7544"/>
    <w:lvl w:ilvl="0" w:tplc="1902E160">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1" w15:restartNumberingAfterBreak="0">
    <w:nsid w:val="23C0366A"/>
    <w:multiLevelType w:val="hybridMultilevel"/>
    <w:tmpl w:val="9CDE71BA"/>
    <w:lvl w:ilvl="0" w:tplc="4D96EB26">
      <w:start w:val="17"/>
      <w:numFmt w:val="bullet"/>
      <w:lvlText w:val="-"/>
      <w:lvlJc w:val="left"/>
      <w:pPr>
        <w:ind w:left="720" w:hanging="360"/>
      </w:pPr>
      <w:rPr>
        <w:rFonts w:ascii="Arial" w:eastAsiaTheme="minorEastAsia" w:hAnsi="Arial" w:cs="Arial"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4842262"/>
    <w:multiLevelType w:val="hybridMultilevel"/>
    <w:tmpl w:val="782CB2CC"/>
    <w:lvl w:ilvl="0" w:tplc="F49A7E66">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3" w15:restartNumberingAfterBreak="0">
    <w:nsid w:val="2D152F16"/>
    <w:multiLevelType w:val="hybridMultilevel"/>
    <w:tmpl w:val="1FAA41F8"/>
    <w:lvl w:ilvl="0" w:tplc="A4BE7D6C">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4" w15:restartNumberingAfterBreak="0">
    <w:nsid w:val="2D21085A"/>
    <w:multiLevelType w:val="hybridMultilevel"/>
    <w:tmpl w:val="7008705A"/>
    <w:lvl w:ilvl="0" w:tplc="4E0CA9D2">
      <w:start w:val="5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5" w15:restartNumberingAfterBreak="0">
    <w:nsid w:val="34AF48A2"/>
    <w:multiLevelType w:val="hybridMultilevel"/>
    <w:tmpl w:val="F796DC64"/>
    <w:lvl w:ilvl="0" w:tplc="48F65876">
      <w:start w:val="7"/>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AB57796"/>
    <w:multiLevelType w:val="hybridMultilevel"/>
    <w:tmpl w:val="434C38FC"/>
    <w:lvl w:ilvl="0" w:tplc="A3CA2510">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17" w15:restartNumberingAfterBreak="0">
    <w:nsid w:val="3B0C03EC"/>
    <w:multiLevelType w:val="hybridMultilevel"/>
    <w:tmpl w:val="3E549092"/>
    <w:lvl w:ilvl="0" w:tplc="279E24C0">
      <w:start w:val="1"/>
      <w:numFmt w:val="bullet"/>
      <w:lvlText w:val="-"/>
      <w:lvlJc w:val="left"/>
      <w:pPr>
        <w:ind w:left="1414" w:hanging="360"/>
      </w:pPr>
      <w:rPr>
        <w:rFonts w:ascii="Arial" w:eastAsiaTheme="minorEastAsia" w:hAnsi="Arial" w:cs="Arial" w:hint="default"/>
      </w:rPr>
    </w:lvl>
    <w:lvl w:ilvl="1" w:tplc="08160003" w:tentative="1">
      <w:start w:val="1"/>
      <w:numFmt w:val="bullet"/>
      <w:lvlText w:val="o"/>
      <w:lvlJc w:val="left"/>
      <w:pPr>
        <w:ind w:left="2134" w:hanging="360"/>
      </w:pPr>
      <w:rPr>
        <w:rFonts w:ascii="Courier New" w:hAnsi="Courier New" w:cs="Courier New" w:hint="default"/>
      </w:rPr>
    </w:lvl>
    <w:lvl w:ilvl="2" w:tplc="08160005" w:tentative="1">
      <w:start w:val="1"/>
      <w:numFmt w:val="bullet"/>
      <w:lvlText w:val=""/>
      <w:lvlJc w:val="left"/>
      <w:pPr>
        <w:ind w:left="2854" w:hanging="360"/>
      </w:pPr>
      <w:rPr>
        <w:rFonts w:ascii="Wingdings" w:hAnsi="Wingdings" w:hint="default"/>
      </w:rPr>
    </w:lvl>
    <w:lvl w:ilvl="3" w:tplc="08160001" w:tentative="1">
      <w:start w:val="1"/>
      <w:numFmt w:val="bullet"/>
      <w:lvlText w:val=""/>
      <w:lvlJc w:val="left"/>
      <w:pPr>
        <w:ind w:left="3574" w:hanging="360"/>
      </w:pPr>
      <w:rPr>
        <w:rFonts w:ascii="Symbol" w:hAnsi="Symbol" w:hint="default"/>
      </w:rPr>
    </w:lvl>
    <w:lvl w:ilvl="4" w:tplc="08160003" w:tentative="1">
      <w:start w:val="1"/>
      <w:numFmt w:val="bullet"/>
      <w:lvlText w:val="o"/>
      <w:lvlJc w:val="left"/>
      <w:pPr>
        <w:ind w:left="4294" w:hanging="360"/>
      </w:pPr>
      <w:rPr>
        <w:rFonts w:ascii="Courier New" w:hAnsi="Courier New" w:cs="Courier New" w:hint="default"/>
      </w:rPr>
    </w:lvl>
    <w:lvl w:ilvl="5" w:tplc="08160005" w:tentative="1">
      <w:start w:val="1"/>
      <w:numFmt w:val="bullet"/>
      <w:lvlText w:val=""/>
      <w:lvlJc w:val="left"/>
      <w:pPr>
        <w:ind w:left="5014" w:hanging="360"/>
      </w:pPr>
      <w:rPr>
        <w:rFonts w:ascii="Wingdings" w:hAnsi="Wingdings" w:hint="default"/>
      </w:rPr>
    </w:lvl>
    <w:lvl w:ilvl="6" w:tplc="08160001" w:tentative="1">
      <w:start w:val="1"/>
      <w:numFmt w:val="bullet"/>
      <w:lvlText w:val=""/>
      <w:lvlJc w:val="left"/>
      <w:pPr>
        <w:ind w:left="5734" w:hanging="360"/>
      </w:pPr>
      <w:rPr>
        <w:rFonts w:ascii="Symbol" w:hAnsi="Symbol" w:hint="default"/>
      </w:rPr>
    </w:lvl>
    <w:lvl w:ilvl="7" w:tplc="08160003" w:tentative="1">
      <w:start w:val="1"/>
      <w:numFmt w:val="bullet"/>
      <w:lvlText w:val="o"/>
      <w:lvlJc w:val="left"/>
      <w:pPr>
        <w:ind w:left="6454" w:hanging="360"/>
      </w:pPr>
      <w:rPr>
        <w:rFonts w:ascii="Courier New" w:hAnsi="Courier New" w:cs="Courier New" w:hint="default"/>
      </w:rPr>
    </w:lvl>
    <w:lvl w:ilvl="8" w:tplc="08160005" w:tentative="1">
      <w:start w:val="1"/>
      <w:numFmt w:val="bullet"/>
      <w:lvlText w:val=""/>
      <w:lvlJc w:val="left"/>
      <w:pPr>
        <w:ind w:left="7174" w:hanging="360"/>
      </w:pPr>
      <w:rPr>
        <w:rFonts w:ascii="Wingdings" w:hAnsi="Wingdings" w:hint="default"/>
      </w:rPr>
    </w:lvl>
  </w:abstractNum>
  <w:abstractNum w:abstractNumId="18" w15:restartNumberingAfterBreak="0">
    <w:nsid w:val="426154B3"/>
    <w:multiLevelType w:val="hybridMultilevel"/>
    <w:tmpl w:val="2ECA7730"/>
    <w:lvl w:ilvl="0" w:tplc="00762920">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8D96322"/>
    <w:multiLevelType w:val="hybridMultilevel"/>
    <w:tmpl w:val="AC629FE6"/>
    <w:lvl w:ilvl="0" w:tplc="BCDCE23C">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0" w15:restartNumberingAfterBreak="0">
    <w:nsid w:val="4C98272E"/>
    <w:multiLevelType w:val="hybridMultilevel"/>
    <w:tmpl w:val="AA0ABAD4"/>
    <w:lvl w:ilvl="0" w:tplc="8FB0EEB8">
      <w:numFmt w:val="bullet"/>
      <w:lvlText w:val="-"/>
      <w:lvlJc w:val="left"/>
      <w:pPr>
        <w:ind w:left="540" w:hanging="360"/>
      </w:pPr>
      <w:rPr>
        <w:rFonts w:ascii="Arial" w:eastAsiaTheme="minorEastAsia" w:hAnsi="Arial" w:cs="Arial" w:hint="default"/>
      </w:rPr>
    </w:lvl>
    <w:lvl w:ilvl="1" w:tplc="08160003" w:tentative="1">
      <w:start w:val="1"/>
      <w:numFmt w:val="bullet"/>
      <w:lvlText w:val="o"/>
      <w:lvlJc w:val="left"/>
      <w:pPr>
        <w:ind w:left="1260" w:hanging="360"/>
      </w:pPr>
      <w:rPr>
        <w:rFonts w:ascii="Courier New" w:hAnsi="Courier New" w:cs="Courier New" w:hint="default"/>
      </w:rPr>
    </w:lvl>
    <w:lvl w:ilvl="2" w:tplc="08160005" w:tentative="1">
      <w:start w:val="1"/>
      <w:numFmt w:val="bullet"/>
      <w:lvlText w:val=""/>
      <w:lvlJc w:val="left"/>
      <w:pPr>
        <w:ind w:left="1980" w:hanging="360"/>
      </w:pPr>
      <w:rPr>
        <w:rFonts w:ascii="Wingdings" w:hAnsi="Wingdings" w:hint="default"/>
      </w:rPr>
    </w:lvl>
    <w:lvl w:ilvl="3" w:tplc="08160001" w:tentative="1">
      <w:start w:val="1"/>
      <w:numFmt w:val="bullet"/>
      <w:lvlText w:val=""/>
      <w:lvlJc w:val="left"/>
      <w:pPr>
        <w:ind w:left="2700" w:hanging="360"/>
      </w:pPr>
      <w:rPr>
        <w:rFonts w:ascii="Symbol" w:hAnsi="Symbol" w:hint="default"/>
      </w:rPr>
    </w:lvl>
    <w:lvl w:ilvl="4" w:tplc="08160003" w:tentative="1">
      <w:start w:val="1"/>
      <w:numFmt w:val="bullet"/>
      <w:lvlText w:val="o"/>
      <w:lvlJc w:val="left"/>
      <w:pPr>
        <w:ind w:left="3420" w:hanging="360"/>
      </w:pPr>
      <w:rPr>
        <w:rFonts w:ascii="Courier New" w:hAnsi="Courier New" w:cs="Courier New" w:hint="default"/>
      </w:rPr>
    </w:lvl>
    <w:lvl w:ilvl="5" w:tplc="08160005" w:tentative="1">
      <w:start w:val="1"/>
      <w:numFmt w:val="bullet"/>
      <w:lvlText w:val=""/>
      <w:lvlJc w:val="left"/>
      <w:pPr>
        <w:ind w:left="4140" w:hanging="360"/>
      </w:pPr>
      <w:rPr>
        <w:rFonts w:ascii="Wingdings" w:hAnsi="Wingdings" w:hint="default"/>
      </w:rPr>
    </w:lvl>
    <w:lvl w:ilvl="6" w:tplc="08160001" w:tentative="1">
      <w:start w:val="1"/>
      <w:numFmt w:val="bullet"/>
      <w:lvlText w:val=""/>
      <w:lvlJc w:val="left"/>
      <w:pPr>
        <w:ind w:left="4860" w:hanging="360"/>
      </w:pPr>
      <w:rPr>
        <w:rFonts w:ascii="Symbol" w:hAnsi="Symbol" w:hint="default"/>
      </w:rPr>
    </w:lvl>
    <w:lvl w:ilvl="7" w:tplc="08160003" w:tentative="1">
      <w:start w:val="1"/>
      <w:numFmt w:val="bullet"/>
      <w:lvlText w:val="o"/>
      <w:lvlJc w:val="left"/>
      <w:pPr>
        <w:ind w:left="5580" w:hanging="360"/>
      </w:pPr>
      <w:rPr>
        <w:rFonts w:ascii="Courier New" w:hAnsi="Courier New" w:cs="Courier New" w:hint="default"/>
      </w:rPr>
    </w:lvl>
    <w:lvl w:ilvl="8" w:tplc="08160005" w:tentative="1">
      <w:start w:val="1"/>
      <w:numFmt w:val="bullet"/>
      <w:lvlText w:val=""/>
      <w:lvlJc w:val="left"/>
      <w:pPr>
        <w:ind w:left="6300" w:hanging="360"/>
      </w:pPr>
      <w:rPr>
        <w:rFonts w:ascii="Wingdings" w:hAnsi="Wingdings" w:hint="default"/>
      </w:rPr>
    </w:lvl>
  </w:abstractNum>
  <w:abstractNum w:abstractNumId="21" w15:restartNumberingAfterBreak="0">
    <w:nsid w:val="4D2C5A7F"/>
    <w:multiLevelType w:val="hybridMultilevel"/>
    <w:tmpl w:val="41DCE1D4"/>
    <w:lvl w:ilvl="0" w:tplc="4EB86EAC">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2" w15:restartNumberingAfterBreak="0">
    <w:nsid w:val="4D9D46F0"/>
    <w:multiLevelType w:val="hybridMultilevel"/>
    <w:tmpl w:val="DE7E0772"/>
    <w:lvl w:ilvl="0" w:tplc="76FE8362">
      <w:start w:val="3"/>
      <w:numFmt w:val="bullet"/>
      <w:lvlText w:val="-"/>
      <w:lvlJc w:val="left"/>
      <w:pPr>
        <w:ind w:left="1264" w:hanging="360"/>
      </w:pPr>
      <w:rPr>
        <w:rFonts w:ascii="Arial" w:eastAsiaTheme="minorEastAsia" w:hAnsi="Arial" w:cs="Arial" w:hint="default"/>
      </w:rPr>
    </w:lvl>
    <w:lvl w:ilvl="1" w:tplc="08160003" w:tentative="1">
      <w:start w:val="1"/>
      <w:numFmt w:val="bullet"/>
      <w:lvlText w:val="o"/>
      <w:lvlJc w:val="left"/>
      <w:pPr>
        <w:ind w:left="1984" w:hanging="360"/>
      </w:pPr>
      <w:rPr>
        <w:rFonts w:ascii="Courier New" w:hAnsi="Courier New" w:cs="Courier New" w:hint="default"/>
      </w:rPr>
    </w:lvl>
    <w:lvl w:ilvl="2" w:tplc="08160005" w:tentative="1">
      <w:start w:val="1"/>
      <w:numFmt w:val="bullet"/>
      <w:lvlText w:val=""/>
      <w:lvlJc w:val="left"/>
      <w:pPr>
        <w:ind w:left="2704" w:hanging="360"/>
      </w:pPr>
      <w:rPr>
        <w:rFonts w:ascii="Wingdings" w:hAnsi="Wingdings" w:hint="default"/>
      </w:rPr>
    </w:lvl>
    <w:lvl w:ilvl="3" w:tplc="08160001" w:tentative="1">
      <w:start w:val="1"/>
      <w:numFmt w:val="bullet"/>
      <w:lvlText w:val=""/>
      <w:lvlJc w:val="left"/>
      <w:pPr>
        <w:ind w:left="3424" w:hanging="360"/>
      </w:pPr>
      <w:rPr>
        <w:rFonts w:ascii="Symbol" w:hAnsi="Symbol" w:hint="default"/>
      </w:rPr>
    </w:lvl>
    <w:lvl w:ilvl="4" w:tplc="08160003" w:tentative="1">
      <w:start w:val="1"/>
      <w:numFmt w:val="bullet"/>
      <w:lvlText w:val="o"/>
      <w:lvlJc w:val="left"/>
      <w:pPr>
        <w:ind w:left="4144" w:hanging="360"/>
      </w:pPr>
      <w:rPr>
        <w:rFonts w:ascii="Courier New" w:hAnsi="Courier New" w:cs="Courier New" w:hint="default"/>
      </w:rPr>
    </w:lvl>
    <w:lvl w:ilvl="5" w:tplc="08160005" w:tentative="1">
      <w:start w:val="1"/>
      <w:numFmt w:val="bullet"/>
      <w:lvlText w:val=""/>
      <w:lvlJc w:val="left"/>
      <w:pPr>
        <w:ind w:left="4864" w:hanging="360"/>
      </w:pPr>
      <w:rPr>
        <w:rFonts w:ascii="Wingdings" w:hAnsi="Wingdings" w:hint="default"/>
      </w:rPr>
    </w:lvl>
    <w:lvl w:ilvl="6" w:tplc="08160001" w:tentative="1">
      <w:start w:val="1"/>
      <w:numFmt w:val="bullet"/>
      <w:lvlText w:val=""/>
      <w:lvlJc w:val="left"/>
      <w:pPr>
        <w:ind w:left="5584" w:hanging="360"/>
      </w:pPr>
      <w:rPr>
        <w:rFonts w:ascii="Symbol" w:hAnsi="Symbol" w:hint="default"/>
      </w:rPr>
    </w:lvl>
    <w:lvl w:ilvl="7" w:tplc="08160003" w:tentative="1">
      <w:start w:val="1"/>
      <w:numFmt w:val="bullet"/>
      <w:lvlText w:val="o"/>
      <w:lvlJc w:val="left"/>
      <w:pPr>
        <w:ind w:left="6304" w:hanging="360"/>
      </w:pPr>
      <w:rPr>
        <w:rFonts w:ascii="Courier New" w:hAnsi="Courier New" w:cs="Courier New" w:hint="default"/>
      </w:rPr>
    </w:lvl>
    <w:lvl w:ilvl="8" w:tplc="08160005" w:tentative="1">
      <w:start w:val="1"/>
      <w:numFmt w:val="bullet"/>
      <w:lvlText w:val=""/>
      <w:lvlJc w:val="left"/>
      <w:pPr>
        <w:ind w:left="7024" w:hanging="360"/>
      </w:pPr>
      <w:rPr>
        <w:rFonts w:ascii="Wingdings" w:hAnsi="Wingdings" w:hint="default"/>
      </w:rPr>
    </w:lvl>
  </w:abstractNum>
  <w:abstractNum w:abstractNumId="23" w15:restartNumberingAfterBreak="0">
    <w:nsid w:val="577D29B7"/>
    <w:multiLevelType w:val="hybridMultilevel"/>
    <w:tmpl w:val="2512B142"/>
    <w:lvl w:ilvl="0" w:tplc="23A4BE10">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4" w15:restartNumberingAfterBreak="0">
    <w:nsid w:val="5EC60F00"/>
    <w:multiLevelType w:val="hybridMultilevel"/>
    <w:tmpl w:val="169A7CE0"/>
    <w:lvl w:ilvl="0" w:tplc="9D88EC8A">
      <w:start w:val="53"/>
      <w:numFmt w:val="bullet"/>
      <w:lvlText w:val="-"/>
      <w:lvlJc w:val="left"/>
      <w:pPr>
        <w:ind w:left="1264" w:hanging="360"/>
      </w:pPr>
      <w:rPr>
        <w:rFonts w:ascii="Arial" w:eastAsiaTheme="minorEastAsia" w:hAnsi="Arial" w:cs="Arial" w:hint="default"/>
      </w:rPr>
    </w:lvl>
    <w:lvl w:ilvl="1" w:tplc="08160003" w:tentative="1">
      <w:start w:val="1"/>
      <w:numFmt w:val="bullet"/>
      <w:lvlText w:val="o"/>
      <w:lvlJc w:val="left"/>
      <w:pPr>
        <w:ind w:left="1984" w:hanging="360"/>
      </w:pPr>
      <w:rPr>
        <w:rFonts w:ascii="Courier New" w:hAnsi="Courier New" w:cs="Courier New" w:hint="default"/>
      </w:rPr>
    </w:lvl>
    <w:lvl w:ilvl="2" w:tplc="08160005" w:tentative="1">
      <w:start w:val="1"/>
      <w:numFmt w:val="bullet"/>
      <w:lvlText w:val=""/>
      <w:lvlJc w:val="left"/>
      <w:pPr>
        <w:ind w:left="2704" w:hanging="360"/>
      </w:pPr>
      <w:rPr>
        <w:rFonts w:ascii="Wingdings" w:hAnsi="Wingdings" w:hint="default"/>
      </w:rPr>
    </w:lvl>
    <w:lvl w:ilvl="3" w:tplc="08160001" w:tentative="1">
      <w:start w:val="1"/>
      <w:numFmt w:val="bullet"/>
      <w:lvlText w:val=""/>
      <w:lvlJc w:val="left"/>
      <w:pPr>
        <w:ind w:left="3424" w:hanging="360"/>
      </w:pPr>
      <w:rPr>
        <w:rFonts w:ascii="Symbol" w:hAnsi="Symbol" w:hint="default"/>
      </w:rPr>
    </w:lvl>
    <w:lvl w:ilvl="4" w:tplc="08160003" w:tentative="1">
      <w:start w:val="1"/>
      <w:numFmt w:val="bullet"/>
      <w:lvlText w:val="o"/>
      <w:lvlJc w:val="left"/>
      <w:pPr>
        <w:ind w:left="4144" w:hanging="360"/>
      </w:pPr>
      <w:rPr>
        <w:rFonts w:ascii="Courier New" w:hAnsi="Courier New" w:cs="Courier New" w:hint="default"/>
      </w:rPr>
    </w:lvl>
    <w:lvl w:ilvl="5" w:tplc="08160005" w:tentative="1">
      <w:start w:val="1"/>
      <w:numFmt w:val="bullet"/>
      <w:lvlText w:val=""/>
      <w:lvlJc w:val="left"/>
      <w:pPr>
        <w:ind w:left="4864" w:hanging="360"/>
      </w:pPr>
      <w:rPr>
        <w:rFonts w:ascii="Wingdings" w:hAnsi="Wingdings" w:hint="default"/>
      </w:rPr>
    </w:lvl>
    <w:lvl w:ilvl="6" w:tplc="08160001" w:tentative="1">
      <w:start w:val="1"/>
      <w:numFmt w:val="bullet"/>
      <w:lvlText w:val=""/>
      <w:lvlJc w:val="left"/>
      <w:pPr>
        <w:ind w:left="5584" w:hanging="360"/>
      </w:pPr>
      <w:rPr>
        <w:rFonts w:ascii="Symbol" w:hAnsi="Symbol" w:hint="default"/>
      </w:rPr>
    </w:lvl>
    <w:lvl w:ilvl="7" w:tplc="08160003" w:tentative="1">
      <w:start w:val="1"/>
      <w:numFmt w:val="bullet"/>
      <w:lvlText w:val="o"/>
      <w:lvlJc w:val="left"/>
      <w:pPr>
        <w:ind w:left="6304" w:hanging="360"/>
      </w:pPr>
      <w:rPr>
        <w:rFonts w:ascii="Courier New" w:hAnsi="Courier New" w:cs="Courier New" w:hint="default"/>
      </w:rPr>
    </w:lvl>
    <w:lvl w:ilvl="8" w:tplc="08160005" w:tentative="1">
      <w:start w:val="1"/>
      <w:numFmt w:val="bullet"/>
      <w:lvlText w:val=""/>
      <w:lvlJc w:val="left"/>
      <w:pPr>
        <w:ind w:left="7024" w:hanging="360"/>
      </w:pPr>
      <w:rPr>
        <w:rFonts w:ascii="Wingdings" w:hAnsi="Wingdings" w:hint="default"/>
      </w:rPr>
    </w:lvl>
  </w:abstractNum>
  <w:abstractNum w:abstractNumId="25" w15:restartNumberingAfterBreak="0">
    <w:nsid w:val="62ED6512"/>
    <w:multiLevelType w:val="hybridMultilevel"/>
    <w:tmpl w:val="46BAE226"/>
    <w:lvl w:ilvl="0" w:tplc="2D743D98">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6" w15:restartNumberingAfterBreak="0">
    <w:nsid w:val="66077A6D"/>
    <w:multiLevelType w:val="hybridMultilevel"/>
    <w:tmpl w:val="BBB6A4F6"/>
    <w:lvl w:ilvl="0" w:tplc="6F16FD9A">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7" w15:restartNumberingAfterBreak="0">
    <w:nsid w:val="66342934"/>
    <w:multiLevelType w:val="hybridMultilevel"/>
    <w:tmpl w:val="EDE650A4"/>
    <w:lvl w:ilvl="0" w:tplc="5C68645E">
      <w:start w:val="5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8" w15:restartNumberingAfterBreak="0">
    <w:nsid w:val="67BB2B8F"/>
    <w:multiLevelType w:val="hybridMultilevel"/>
    <w:tmpl w:val="42C0129A"/>
    <w:lvl w:ilvl="0" w:tplc="5712CD36">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29" w15:restartNumberingAfterBreak="0">
    <w:nsid w:val="6B6540F5"/>
    <w:multiLevelType w:val="hybridMultilevel"/>
    <w:tmpl w:val="BE7E8942"/>
    <w:lvl w:ilvl="0" w:tplc="75FCD632">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C374281"/>
    <w:multiLevelType w:val="hybridMultilevel"/>
    <w:tmpl w:val="D71017EE"/>
    <w:lvl w:ilvl="0" w:tplc="352AE9DA">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31" w15:restartNumberingAfterBreak="0">
    <w:nsid w:val="6DBD43A7"/>
    <w:multiLevelType w:val="hybridMultilevel"/>
    <w:tmpl w:val="B4304A44"/>
    <w:lvl w:ilvl="0" w:tplc="87A8CDFC">
      <w:numFmt w:val="bullet"/>
      <w:lvlText w:val="-"/>
      <w:lvlJc w:val="left"/>
      <w:pPr>
        <w:ind w:left="405" w:hanging="360"/>
      </w:pPr>
      <w:rPr>
        <w:rFonts w:ascii="Arial" w:eastAsiaTheme="minorEastAsia" w:hAnsi="Arial" w:cs="Arial"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32" w15:restartNumberingAfterBreak="0">
    <w:nsid w:val="713F5A19"/>
    <w:multiLevelType w:val="hybridMultilevel"/>
    <w:tmpl w:val="EFD44AEE"/>
    <w:lvl w:ilvl="0" w:tplc="C346F48A">
      <w:start w:val="5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33" w15:restartNumberingAfterBreak="0">
    <w:nsid w:val="740D636E"/>
    <w:multiLevelType w:val="hybridMultilevel"/>
    <w:tmpl w:val="979E26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65B65C6"/>
    <w:multiLevelType w:val="hybridMultilevel"/>
    <w:tmpl w:val="FD347646"/>
    <w:lvl w:ilvl="0" w:tplc="5DA6FC2E">
      <w:start w:val="3"/>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35" w15:restartNumberingAfterBreak="0">
    <w:nsid w:val="7D0E4D33"/>
    <w:multiLevelType w:val="hybridMultilevel"/>
    <w:tmpl w:val="6896E12A"/>
    <w:lvl w:ilvl="0" w:tplc="48F6676E">
      <w:numFmt w:val="bullet"/>
      <w:lvlText w:val="-"/>
      <w:lvlJc w:val="left"/>
      <w:pPr>
        <w:ind w:left="814" w:hanging="360"/>
      </w:pPr>
      <w:rPr>
        <w:rFonts w:ascii="Arial" w:eastAsiaTheme="minorEastAsia" w:hAnsi="Arial" w:cs="Arial"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36" w15:restartNumberingAfterBreak="0">
    <w:nsid w:val="7E073962"/>
    <w:multiLevelType w:val="hybridMultilevel"/>
    <w:tmpl w:val="36629F8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FB7696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31"/>
  </w:num>
  <w:num w:numId="4">
    <w:abstractNumId w:val="21"/>
  </w:num>
  <w:num w:numId="5">
    <w:abstractNumId w:val="19"/>
  </w:num>
  <w:num w:numId="6">
    <w:abstractNumId w:val="6"/>
  </w:num>
  <w:num w:numId="7">
    <w:abstractNumId w:val="16"/>
  </w:num>
  <w:num w:numId="8">
    <w:abstractNumId w:val="34"/>
  </w:num>
  <w:num w:numId="9">
    <w:abstractNumId w:val="12"/>
  </w:num>
  <w:num w:numId="10">
    <w:abstractNumId w:val="25"/>
  </w:num>
  <w:num w:numId="11">
    <w:abstractNumId w:val="13"/>
  </w:num>
  <w:num w:numId="12">
    <w:abstractNumId w:val="22"/>
  </w:num>
  <w:num w:numId="13">
    <w:abstractNumId w:val="23"/>
  </w:num>
  <w:num w:numId="14">
    <w:abstractNumId w:val="10"/>
  </w:num>
  <w:num w:numId="15">
    <w:abstractNumId w:val="30"/>
  </w:num>
  <w:num w:numId="16">
    <w:abstractNumId w:val="28"/>
  </w:num>
  <w:num w:numId="17">
    <w:abstractNumId w:val="26"/>
  </w:num>
  <w:num w:numId="18">
    <w:abstractNumId w:val="35"/>
  </w:num>
  <w:num w:numId="19">
    <w:abstractNumId w:val="7"/>
  </w:num>
  <w:num w:numId="20">
    <w:abstractNumId w:val="8"/>
  </w:num>
  <w:num w:numId="21">
    <w:abstractNumId w:val="9"/>
  </w:num>
  <w:num w:numId="22">
    <w:abstractNumId w:val="27"/>
  </w:num>
  <w:num w:numId="23">
    <w:abstractNumId w:val="24"/>
  </w:num>
  <w:num w:numId="24">
    <w:abstractNumId w:val="32"/>
  </w:num>
  <w:num w:numId="25">
    <w:abstractNumId w:val="4"/>
  </w:num>
  <w:num w:numId="26">
    <w:abstractNumId w:val="14"/>
  </w:num>
  <w:num w:numId="27">
    <w:abstractNumId w:val="5"/>
  </w:num>
  <w:num w:numId="28">
    <w:abstractNumId w:val="17"/>
  </w:num>
  <w:num w:numId="29">
    <w:abstractNumId w:val="2"/>
  </w:num>
  <w:num w:numId="30">
    <w:abstractNumId w:val="29"/>
  </w:num>
  <w:num w:numId="31">
    <w:abstractNumId w:val="37"/>
  </w:num>
  <w:num w:numId="32">
    <w:abstractNumId w:val="33"/>
  </w:num>
  <w:num w:numId="33">
    <w:abstractNumId w:val="36"/>
  </w:num>
  <w:num w:numId="34">
    <w:abstractNumId w:val="0"/>
  </w:num>
  <w:num w:numId="35">
    <w:abstractNumId w:val="15"/>
  </w:num>
  <w:num w:numId="36">
    <w:abstractNumId w:val="20"/>
  </w:num>
  <w:num w:numId="37">
    <w:abstractNumId w:val="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6A83"/>
    <w:rsid w:val="00003F8D"/>
    <w:rsid w:val="000129E6"/>
    <w:rsid w:val="000555CD"/>
    <w:rsid w:val="00085660"/>
    <w:rsid w:val="000C488D"/>
    <w:rsid w:val="000E0BAC"/>
    <w:rsid w:val="00150A93"/>
    <w:rsid w:val="00154DC9"/>
    <w:rsid w:val="001B0C73"/>
    <w:rsid w:val="001C0043"/>
    <w:rsid w:val="001C6EFA"/>
    <w:rsid w:val="001D2E9C"/>
    <w:rsid w:val="002428A6"/>
    <w:rsid w:val="002C6E01"/>
    <w:rsid w:val="00343C29"/>
    <w:rsid w:val="00494B36"/>
    <w:rsid w:val="004A00E5"/>
    <w:rsid w:val="004A2A83"/>
    <w:rsid w:val="004A2F74"/>
    <w:rsid w:val="004C7048"/>
    <w:rsid w:val="004E0F36"/>
    <w:rsid w:val="004F4F3D"/>
    <w:rsid w:val="005227F2"/>
    <w:rsid w:val="005A6DE9"/>
    <w:rsid w:val="005F594B"/>
    <w:rsid w:val="00634471"/>
    <w:rsid w:val="00655425"/>
    <w:rsid w:val="00665626"/>
    <w:rsid w:val="00686242"/>
    <w:rsid w:val="006873E5"/>
    <w:rsid w:val="006C0496"/>
    <w:rsid w:val="006C5427"/>
    <w:rsid w:val="006D5141"/>
    <w:rsid w:val="006E0E07"/>
    <w:rsid w:val="006E5C02"/>
    <w:rsid w:val="00711679"/>
    <w:rsid w:val="00724F08"/>
    <w:rsid w:val="00780C4D"/>
    <w:rsid w:val="0079591C"/>
    <w:rsid w:val="007A5A19"/>
    <w:rsid w:val="007A6A83"/>
    <w:rsid w:val="007D1A22"/>
    <w:rsid w:val="008054E3"/>
    <w:rsid w:val="008103C6"/>
    <w:rsid w:val="00855714"/>
    <w:rsid w:val="00972C7A"/>
    <w:rsid w:val="00986FD6"/>
    <w:rsid w:val="009A3B1A"/>
    <w:rsid w:val="00B175E5"/>
    <w:rsid w:val="00B22B97"/>
    <w:rsid w:val="00B24FEE"/>
    <w:rsid w:val="00B36B4B"/>
    <w:rsid w:val="00B81872"/>
    <w:rsid w:val="00B9084C"/>
    <w:rsid w:val="00C04422"/>
    <w:rsid w:val="00C227A4"/>
    <w:rsid w:val="00CB62B7"/>
    <w:rsid w:val="00D278E2"/>
    <w:rsid w:val="00D934C9"/>
    <w:rsid w:val="00DB3A46"/>
    <w:rsid w:val="00DF082A"/>
    <w:rsid w:val="00E43580"/>
    <w:rsid w:val="00E763F2"/>
    <w:rsid w:val="00EA5C35"/>
    <w:rsid w:val="00F92467"/>
    <w:rsid w:val="00FA6985"/>
    <w:rsid w:val="00FF3400"/>
    <w:rsid w:val="00FF424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972AB"/>
  <w15:docId w15:val="{EB21B698-0808-4C52-B906-F6F99DAD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83"/>
    <w:pPr>
      <w:spacing w:after="0" w:line="240" w:lineRule="auto"/>
    </w:pPr>
    <w:rPr>
      <w:rFonts w:eastAsiaTheme="minorEastAsia"/>
      <w:sz w:val="24"/>
      <w:szCs w:val="24"/>
      <w:lang w:val="en-US"/>
    </w:rPr>
  </w:style>
  <w:style w:type="paragraph" w:styleId="Ttulo1">
    <w:name w:val="heading 1"/>
    <w:basedOn w:val="Normal"/>
    <w:link w:val="Ttulo1Char"/>
    <w:uiPriority w:val="9"/>
    <w:qFormat/>
    <w:rsid w:val="007A6A83"/>
    <w:pPr>
      <w:spacing w:before="100" w:beforeAutospacing="1" w:after="100" w:afterAutospacing="1"/>
      <w:outlineLvl w:val="0"/>
    </w:pPr>
    <w:rPr>
      <w:rFonts w:ascii="Times New Roman" w:eastAsia="Times New Roman" w:hAnsi="Times New Roman" w:cs="Times New Roman"/>
      <w:b/>
      <w:bCs/>
      <w:kern w:val="36"/>
      <w:sz w:val="48"/>
      <w:szCs w:val="48"/>
      <w:lang w:val="pt-PT" w:eastAsia="pt-PT"/>
    </w:rPr>
  </w:style>
  <w:style w:type="paragraph" w:styleId="Ttulo2">
    <w:name w:val="heading 2"/>
    <w:basedOn w:val="Normal"/>
    <w:next w:val="Normal"/>
    <w:link w:val="Ttulo2Char"/>
    <w:uiPriority w:val="9"/>
    <w:semiHidden/>
    <w:unhideWhenUsed/>
    <w:qFormat/>
    <w:rsid w:val="007A6A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7A6A8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7A6A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6A83"/>
    <w:rPr>
      <w:rFonts w:ascii="Times New Roman" w:eastAsia="Times New Roman" w:hAnsi="Times New Roman" w:cs="Times New Roman"/>
      <w:b/>
      <w:bCs/>
      <w:kern w:val="36"/>
      <w:sz w:val="48"/>
      <w:szCs w:val="48"/>
      <w:lang w:eastAsia="pt-PT"/>
    </w:rPr>
  </w:style>
  <w:style w:type="character" w:customStyle="1" w:styleId="Ttulo2Char">
    <w:name w:val="Título 2 Char"/>
    <w:basedOn w:val="Fontepargpadro"/>
    <w:link w:val="Ttulo2"/>
    <w:uiPriority w:val="9"/>
    <w:semiHidden/>
    <w:rsid w:val="007A6A83"/>
    <w:rPr>
      <w:rFonts w:asciiTheme="majorHAnsi" w:eastAsiaTheme="majorEastAsia" w:hAnsiTheme="majorHAnsi" w:cstheme="majorBidi"/>
      <w:color w:val="2E74B5" w:themeColor="accent1" w:themeShade="BF"/>
      <w:sz w:val="26"/>
      <w:szCs w:val="26"/>
      <w:lang w:val="en-US"/>
    </w:rPr>
  </w:style>
  <w:style w:type="character" w:customStyle="1" w:styleId="Ttulo3Char">
    <w:name w:val="Título 3 Char"/>
    <w:basedOn w:val="Fontepargpadro"/>
    <w:link w:val="Ttulo3"/>
    <w:uiPriority w:val="9"/>
    <w:semiHidden/>
    <w:rsid w:val="007A6A83"/>
    <w:rPr>
      <w:rFonts w:asciiTheme="majorHAnsi" w:eastAsiaTheme="majorEastAsia" w:hAnsiTheme="majorHAnsi" w:cstheme="majorBidi"/>
      <w:color w:val="1F4D78" w:themeColor="accent1" w:themeShade="7F"/>
      <w:sz w:val="24"/>
      <w:szCs w:val="24"/>
      <w:lang w:val="en-US"/>
    </w:rPr>
  </w:style>
  <w:style w:type="character" w:customStyle="1" w:styleId="Ttulo4Char">
    <w:name w:val="Título 4 Char"/>
    <w:basedOn w:val="Fontepargpadro"/>
    <w:link w:val="Ttulo4"/>
    <w:uiPriority w:val="9"/>
    <w:semiHidden/>
    <w:rsid w:val="007A6A83"/>
    <w:rPr>
      <w:rFonts w:asciiTheme="majorHAnsi" w:eastAsiaTheme="majorEastAsia" w:hAnsiTheme="majorHAnsi" w:cstheme="majorBidi"/>
      <w:i/>
      <w:iCs/>
      <w:color w:val="2E74B5" w:themeColor="accent1" w:themeShade="BF"/>
      <w:sz w:val="24"/>
      <w:szCs w:val="24"/>
      <w:lang w:val="en-US"/>
    </w:rPr>
  </w:style>
  <w:style w:type="paragraph" w:customStyle="1" w:styleId="EndNoteBibliographyTitle">
    <w:name w:val="EndNote Bibliography Title"/>
    <w:basedOn w:val="Normal"/>
    <w:link w:val="EndNoteBibliographyTitleCarter"/>
    <w:rsid w:val="007A6A83"/>
    <w:pPr>
      <w:jc w:val="center"/>
    </w:pPr>
    <w:rPr>
      <w:rFonts w:ascii="Calibri" w:hAnsi="Calibri" w:cs="Calibri"/>
      <w:noProof/>
    </w:rPr>
  </w:style>
  <w:style w:type="character" w:customStyle="1" w:styleId="EndNoteBibliographyTitleCarter">
    <w:name w:val="EndNote Bibliography Title Caráter"/>
    <w:basedOn w:val="Fontepargpadro"/>
    <w:link w:val="EndNoteBibliographyTitle"/>
    <w:rsid w:val="007A6A83"/>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ter"/>
    <w:rsid w:val="007A6A83"/>
    <w:rPr>
      <w:rFonts w:ascii="Calibri" w:hAnsi="Calibri" w:cs="Calibri"/>
      <w:noProof/>
    </w:rPr>
  </w:style>
  <w:style w:type="character" w:customStyle="1" w:styleId="EndNoteBibliographyCarter">
    <w:name w:val="EndNote Bibliography Caráter"/>
    <w:basedOn w:val="Fontepargpadro"/>
    <w:link w:val="EndNoteBibliography"/>
    <w:rsid w:val="007A6A83"/>
    <w:rPr>
      <w:rFonts w:ascii="Calibri" w:eastAsiaTheme="minorEastAsia" w:hAnsi="Calibri" w:cs="Calibri"/>
      <w:noProof/>
      <w:sz w:val="24"/>
      <w:szCs w:val="24"/>
      <w:lang w:val="en-US"/>
    </w:rPr>
  </w:style>
  <w:style w:type="paragraph" w:styleId="Textodebalo">
    <w:name w:val="Balloon Text"/>
    <w:basedOn w:val="Normal"/>
    <w:link w:val="TextodebaloChar"/>
    <w:uiPriority w:val="99"/>
    <w:semiHidden/>
    <w:unhideWhenUsed/>
    <w:rsid w:val="007A6A8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A6A83"/>
    <w:rPr>
      <w:rFonts w:ascii="Lucida Grande" w:eastAsiaTheme="minorEastAsia" w:hAnsi="Lucida Grande" w:cs="Lucida Grande"/>
      <w:sz w:val="18"/>
      <w:szCs w:val="18"/>
      <w:lang w:val="en-US"/>
    </w:rPr>
  </w:style>
  <w:style w:type="character" w:styleId="Refdecomentrio">
    <w:name w:val="annotation reference"/>
    <w:basedOn w:val="Fontepargpadro"/>
    <w:uiPriority w:val="99"/>
    <w:semiHidden/>
    <w:unhideWhenUsed/>
    <w:rsid w:val="007A6A83"/>
    <w:rPr>
      <w:sz w:val="18"/>
      <w:szCs w:val="18"/>
    </w:rPr>
  </w:style>
  <w:style w:type="paragraph" w:styleId="Textodecomentrio">
    <w:name w:val="annotation text"/>
    <w:basedOn w:val="Normal"/>
    <w:link w:val="TextodecomentrioChar"/>
    <w:uiPriority w:val="99"/>
    <w:unhideWhenUsed/>
    <w:rsid w:val="007A6A83"/>
  </w:style>
  <w:style w:type="character" w:customStyle="1" w:styleId="TextodecomentrioChar">
    <w:name w:val="Texto de comentário Char"/>
    <w:basedOn w:val="Fontepargpadro"/>
    <w:link w:val="Textodecomentrio"/>
    <w:uiPriority w:val="99"/>
    <w:rsid w:val="007A6A83"/>
    <w:rPr>
      <w:rFonts w:eastAsiaTheme="minorEastAsia"/>
      <w:sz w:val="24"/>
      <w:szCs w:val="24"/>
      <w:lang w:val="en-US"/>
    </w:rPr>
  </w:style>
  <w:style w:type="paragraph" w:styleId="Assuntodocomentrio">
    <w:name w:val="annotation subject"/>
    <w:basedOn w:val="Textodecomentrio"/>
    <w:next w:val="Textodecomentrio"/>
    <w:link w:val="AssuntodocomentrioChar"/>
    <w:uiPriority w:val="99"/>
    <w:semiHidden/>
    <w:unhideWhenUsed/>
    <w:rsid w:val="007A6A83"/>
    <w:rPr>
      <w:b/>
      <w:bCs/>
      <w:sz w:val="20"/>
      <w:szCs w:val="20"/>
    </w:rPr>
  </w:style>
  <w:style w:type="character" w:customStyle="1" w:styleId="AssuntodocomentrioChar">
    <w:name w:val="Assunto do comentário Char"/>
    <w:basedOn w:val="TextodecomentrioChar"/>
    <w:link w:val="Assuntodocomentrio"/>
    <w:uiPriority w:val="99"/>
    <w:semiHidden/>
    <w:rsid w:val="007A6A83"/>
    <w:rPr>
      <w:rFonts w:eastAsiaTheme="minorEastAsia"/>
      <w:b/>
      <w:bCs/>
      <w:sz w:val="20"/>
      <w:szCs w:val="20"/>
      <w:lang w:val="en-US"/>
    </w:rPr>
  </w:style>
  <w:style w:type="paragraph" w:styleId="Reviso">
    <w:name w:val="Revision"/>
    <w:hidden/>
    <w:uiPriority w:val="99"/>
    <w:semiHidden/>
    <w:rsid w:val="007A6A83"/>
    <w:pPr>
      <w:spacing w:after="0" w:line="240" w:lineRule="auto"/>
    </w:pPr>
    <w:rPr>
      <w:rFonts w:eastAsiaTheme="minorEastAsia"/>
      <w:sz w:val="24"/>
      <w:szCs w:val="24"/>
      <w:lang w:val="en-US"/>
    </w:rPr>
  </w:style>
  <w:style w:type="character" w:styleId="Hyperlink">
    <w:name w:val="Hyperlink"/>
    <w:basedOn w:val="Fontepargpadro"/>
    <w:uiPriority w:val="99"/>
    <w:unhideWhenUsed/>
    <w:rsid w:val="007A6A83"/>
    <w:rPr>
      <w:color w:val="0563C1" w:themeColor="hyperlink"/>
      <w:u w:val="single"/>
    </w:rPr>
  </w:style>
  <w:style w:type="paragraph" w:styleId="Cabealho">
    <w:name w:val="header"/>
    <w:basedOn w:val="Normal"/>
    <w:link w:val="CabealhoChar"/>
    <w:uiPriority w:val="99"/>
    <w:unhideWhenUsed/>
    <w:rsid w:val="007A6A83"/>
    <w:pPr>
      <w:tabs>
        <w:tab w:val="center" w:pos="4252"/>
        <w:tab w:val="right" w:pos="8504"/>
      </w:tabs>
    </w:pPr>
  </w:style>
  <w:style w:type="character" w:customStyle="1" w:styleId="CabealhoChar">
    <w:name w:val="Cabeçalho Char"/>
    <w:basedOn w:val="Fontepargpadro"/>
    <w:link w:val="Cabealho"/>
    <w:uiPriority w:val="99"/>
    <w:rsid w:val="007A6A83"/>
    <w:rPr>
      <w:rFonts w:eastAsiaTheme="minorEastAsia"/>
      <w:sz w:val="24"/>
      <w:szCs w:val="24"/>
      <w:lang w:val="en-US"/>
    </w:rPr>
  </w:style>
  <w:style w:type="paragraph" w:styleId="Rodap">
    <w:name w:val="footer"/>
    <w:basedOn w:val="Normal"/>
    <w:link w:val="RodapChar"/>
    <w:uiPriority w:val="99"/>
    <w:unhideWhenUsed/>
    <w:rsid w:val="007A6A83"/>
    <w:pPr>
      <w:tabs>
        <w:tab w:val="center" w:pos="4252"/>
        <w:tab w:val="right" w:pos="8504"/>
      </w:tabs>
    </w:pPr>
  </w:style>
  <w:style w:type="character" w:customStyle="1" w:styleId="RodapChar">
    <w:name w:val="Rodapé Char"/>
    <w:basedOn w:val="Fontepargpadro"/>
    <w:link w:val="Rodap"/>
    <w:uiPriority w:val="99"/>
    <w:rsid w:val="007A6A83"/>
    <w:rPr>
      <w:rFonts w:eastAsiaTheme="minorEastAsia"/>
      <w:sz w:val="24"/>
      <w:szCs w:val="24"/>
      <w:lang w:val="en-US"/>
    </w:rPr>
  </w:style>
  <w:style w:type="table" w:styleId="Tabelacomgrade">
    <w:name w:val="Table Grid"/>
    <w:basedOn w:val="Tabelanormal"/>
    <w:uiPriority w:val="39"/>
    <w:rsid w:val="007A6A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A83"/>
    <w:pPr>
      <w:spacing w:before="100" w:beforeAutospacing="1" w:after="100" w:afterAutospacing="1"/>
    </w:pPr>
    <w:rPr>
      <w:rFonts w:ascii="Times New Roman" w:eastAsiaTheme="minorHAnsi" w:hAnsi="Times New Roman" w:cs="Times New Roman"/>
    </w:rPr>
  </w:style>
  <w:style w:type="paragraph" w:styleId="Pr-formataoHTML">
    <w:name w:val="HTML Preformatted"/>
    <w:basedOn w:val="Normal"/>
    <w:link w:val="Pr-formataoHTMLChar"/>
    <w:uiPriority w:val="99"/>
    <w:unhideWhenUsed/>
    <w:rsid w:val="007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Pr-formataoHTMLChar">
    <w:name w:val="Pré-formatação HTML Char"/>
    <w:basedOn w:val="Fontepargpadro"/>
    <w:link w:val="Pr-formataoHTML"/>
    <w:uiPriority w:val="99"/>
    <w:rsid w:val="007A6A83"/>
    <w:rPr>
      <w:rFonts w:ascii="Courier New" w:eastAsia="Times New Roman" w:hAnsi="Courier New" w:cs="Courier New"/>
      <w:sz w:val="20"/>
      <w:szCs w:val="20"/>
      <w:lang w:eastAsia="pt-PT"/>
    </w:rPr>
  </w:style>
  <w:style w:type="paragraph" w:styleId="PargrafodaLista">
    <w:name w:val="List Paragraph"/>
    <w:basedOn w:val="Normal"/>
    <w:uiPriority w:val="34"/>
    <w:qFormat/>
    <w:rsid w:val="007A6A83"/>
    <w:pPr>
      <w:ind w:left="720"/>
      <w:contextualSpacing/>
    </w:pPr>
  </w:style>
  <w:style w:type="character" w:styleId="CitaoHTML">
    <w:name w:val="HTML Cite"/>
    <w:basedOn w:val="Fontepargpadro"/>
    <w:uiPriority w:val="99"/>
    <w:semiHidden/>
    <w:unhideWhenUsed/>
    <w:rsid w:val="007A6A83"/>
    <w:rPr>
      <w:i/>
      <w:iCs/>
    </w:rPr>
  </w:style>
  <w:style w:type="character" w:customStyle="1" w:styleId="cs1-lock-free">
    <w:name w:val="cs1-lock-free"/>
    <w:basedOn w:val="Fontepargpadro"/>
    <w:rsid w:val="007A6A83"/>
  </w:style>
  <w:style w:type="character" w:customStyle="1" w:styleId="date-display-single">
    <w:name w:val="date-display-single"/>
    <w:basedOn w:val="Fontepargpadro"/>
    <w:rsid w:val="007A6A83"/>
  </w:style>
  <w:style w:type="paragraph" w:styleId="Textodenotadefim">
    <w:name w:val="endnote text"/>
    <w:basedOn w:val="Normal"/>
    <w:link w:val="TextodenotadefimChar"/>
    <w:uiPriority w:val="99"/>
    <w:unhideWhenUsed/>
    <w:rsid w:val="007A6A83"/>
  </w:style>
  <w:style w:type="character" w:customStyle="1" w:styleId="TextodenotadefimChar">
    <w:name w:val="Texto de nota de fim Char"/>
    <w:basedOn w:val="Fontepargpadro"/>
    <w:link w:val="Textodenotadefim"/>
    <w:uiPriority w:val="99"/>
    <w:rsid w:val="007A6A83"/>
    <w:rPr>
      <w:rFonts w:eastAsiaTheme="minorEastAsia"/>
      <w:sz w:val="24"/>
      <w:szCs w:val="24"/>
      <w:lang w:val="en-US"/>
    </w:rPr>
  </w:style>
  <w:style w:type="character" w:styleId="Refdenotadefim">
    <w:name w:val="endnote reference"/>
    <w:basedOn w:val="Fontepargpadro"/>
    <w:uiPriority w:val="99"/>
    <w:unhideWhenUsed/>
    <w:rsid w:val="007A6A83"/>
    <w:rPr>
      <w:vertAlign w:val="superscript"/>
    </w:rPr>
  </w:style>
  <w:style w:type="character" w:styleId="HiperlinkVisitado">
    <w:name w:val="FollowedHyperlink"/>
    <w:basedOn w:val="Fontepargpadro"/>
    <w:uiPriority w:val="99"/>
    <w:semiHidden/>
    <w:unhideWhenUsed/>
    <w:rsid w:val="007A6A83"/>
    <w:rPr>
      <w:color w:val="954F72" w:themeColor="followedHyperlink"/>
      <w:u w:val="single"/>
    </w:rPr>
  </w:style>
  <w:style w:type="character" w:customStyle="1" w:styleId="highlight">
    <w:name w:val="highlight"/>
    <w:basedOn w:val="Fontepargpadro"/>
    <w:rsid w:val="007A6A83"/>
  </w:style>
  <w:style w:type="character" w:customStyle="1" w:styleId="ui-ncbitoggler-master-text">
    <w:name w:val="ui-ncbitoggler-master-text"/>
    <w:basedOn w:val="Fontepargpadro"/>
    <w:rsid w:val="007A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B41F-46A3-494B-8017-947F4957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4764</Words>
  <Characters>25729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fontes</dc:creator>
  <cp:keywords/>
  <dc:description/>
  <cp:lastModifiedBy>maria francisca fontes</cp:lastModifiedBy>
  <cp:revision>23</cp:revision>
  <dcterms:created xsi:type="dcterms:W3CDTF">2020-02-07T10:43:00Z</dcterms:created>
  <dcterms:modified xsi:type="dcterms:W3CDTF">2020-02-09T10:34:00Z</dcterms:modified>
</cp:coreProperties>
</file>