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D6" w:rsidRPr="00217EBD" w:rsidRDefault="00420FD6" w:rsidP="00420FD6">
      <w:pPr>
        <w:spacing w:line="360" w:lineRule="auto"/>
        <w:jc w:val="both"/>
        <w:rPr>
          <w:rFonts w:cstheme="minorHAnsi"/>
          <w:b/>
          <w:lang w:val="pt-PT"/>
        </w:rPr>
      </w:pPr>
      <w:r w:rsidRPr="00217EBD">
        <w:rPr>
          <w:rFonts w:cstheme="minorHAnsi"/>
          <w:b/>
          <w:lang w:val="pt-PT"/>
        </w:rPr>
        <w:t>TÍTULO:</w:t>
      </w:r>
    </w:p>
    <w:p w:rsidR="00420FD6" w:rsidRPr="00217EBD" w:rsidRDefault="00420FD6" w:rsidP="00420FD6">
      <w:pPr>
        <w:spacing w:line="360" w:lineRule="auto"/>
        <w:jc w:val="both"/>
        <w:rPr>
          <w:rFonts w:cstheme="minorHAnsi"/>
          <w:lang w:val="pt-PT"/>
        </w:rPr>
      </w:pPr>
      <w:r w:rsidRPr="003F153A">
        <w:rPr>
          <w:rFonts w:cstheme="minorHAnsi"/>
          <w:lang w:val="pt-PT"/>
        </w:rPr>
        <w:t xml:space="preserve">Artrite reumatóide em </w:t>
      </w:r>
      <w:r w:rsidR="009F4F8B" w:rsidRPr="003F153A">
        <w:rPr>
          <w:rFonts w:cstheme="minorHAnsi"/>
          <w:lang w:val="pt-PT"/>
        </w:rPr>
        <w:t>coorte de</w:t>
      </w:r>
      <w:r w:rsidR="009F4F8B" w:rsidRPr="00217EBD">
        <w:rPr>
          <w:rFonts w:cstheme="minorHAnsi"/>
          <w:lang w:val="pt-PT"/>
        </w:rPr>
        <w:t xml:space="preserve"> </w:t>
      </w:r>
      <w:r w:rsidRPr="00217EBD">
        <w:rPr>
          <w:rFonts w:cstheme="minorHAnsi"/>
          <w:lang w:val="pt-PT"/>
        </w:rPr>
        <w:t xml:space="preserve">doentes submetidos a terapêutica biológica: monitorização </w:t>
      </w:r>
      <w:r w:rsidR="009F4F8B" w:rsidRPr="00217EBD">
        <w:rPr>
          <w:rFonts w:cstheme="minorHAnsi"/>
          <w:lang w:val="pt-PT"/>
        </w:rPr>
        <w:t xml:space="preserve">padronizada </w:t>
      </w:r>
      <w:r w:rsidRPr="00217EBD">
        <w:rPr>
          <w:rFonts w:cstheme="minorHAnsi"/>
          <w:lang w:val="pt-PT"/>
        </w:rPr>
        <w:t>num centro terciário de referenciação em Portugal.</w:t>
      </w:r>
    </w:p>
    <w:p w:rsidR="00420FD6" w:rsidRPr="00217EBD" w:rsidRDefault="00420FD6" w:rsidP="00420FD6">
      <w:pPr>
        <w:spacing w:line="360" w:lineRule="auto"/>
        <w:jc w:val="both"/>
        <w:rPr>
          <w:rFonts w:cstheme="minorHAnsi"/>
          <w:b/>
          <w:lang w:val="en-GB"/>
        </w:rPr>
      </w:pPr>
      <w:r w:rsidRPr="00217EBD">
        <w:rPr>
          <w:rFonts w:cstheme="minorHAnsi"/>
          <w:b/>
          <w:lang w:val="en-GB"/>
        </w:rPr>
        <w:t xml:space="preserve">TITLE: </w:t>
      </w:r>
    </w:p>
    <w:p w:rsidR="00420FD6" w:rsidRPr="00217EBD" w:rsidRDefault="00420FD6" w:rsidP="00420FD6">
      <w:pPr>
        <w:spacing w:line="360" w:lineRule="auto"/>
        <w:jc w:val="both"/>
        <w:rPr>
          <w:rFonts w:cstheme="minorHAnsi"/>
          <w:lang w:val="en-GB"/>
        </w:rPr>
      </w:pPr>
      <w:r w:rsidRPr="00217EBD">
        <w:rPr>
          <w:rFonts w:cstheme="minorHAnsi"/>
        </w:rPr>
        <w:t>Biotechnological</w:t>
      </w:r>
      <w:r w:rsidRPr="00217EBD">
        <w:rPr>
          <w:rFonts w:cstheme="minorHAnsi"/>
          <w:lang w:val="en-GB"/>
        </w:rPr>
        <w:t xml:space="preserve"> therapy in a cohort of patients with rheumatoid arthritis: </w:t>
      </w:r>
      <w:r w:rsidRPr="00217EBD">
        <w:rPr>
          <w:rFonts w:cstheme="minorHAnsi"/>
        </w:rPr>
        <w:t>results based on standardized monitoring in a tertiary center in Portugal</w:t>
      </w:r>
    </w:p>
    <w:p w:rsidR="00420FD6" w:rsidRPr="00217EBD" w:rsidRDefault="00420FD6" w:rsidP="00420FD6">
      <w:pPr>
        <w:spacing w:line="360" w:lineRule="auto"/>
        <w:jc w:val="both"/>
        <w:rPr>
          <w:rFonts w:cstheme="minorHAnsi"/>
          <w:lang w:val="en-GB"/>
        </w:rPr>
      </w:pPr>
    </w:p>
    <w:p w:rsidR="00420FD6" w:rsidRPr="00217EBD" w:rsidRDefault="00420FD6" w:rsidP="00420FD6">
      <w:pPr>
        <w:spacing w:line="360" w:lineRule="auto"/>
        <w:jc w:val="both"/>
        <w:rPr>
          <w:rFonts w:cstheme="minorHAnsi"/>
          <w:b/>
          <w:lang w:val="pt-PT"/>
        </w:rPr>
      </w:pPr>
      <w:r w:rsidRPr="00217EBD">
        <w:rPr>
          <w:rFonts w:cstheme="minorHAnsi"/>
          <w:b/>
          <w:lang w:val="pt-PT"/>
        </w:rPr>
        <w:t>AUTORES:</w:t>
      </w:r>
    </w:p>
    <w:p w:rsidR="00420FD6" w:rsidRPr="00217EBD" w:rsidRDefault="00420FD6" w:rsidP="00420FD6">
      <w:pPr>
        <w:spacing w:line="360" w:lineRule="auto"/>
        <w:jc w:val="both"/>
        <w:rPr>
          <w:rFonts w:cstheme="minorHAnsi"/>
          <w:lang w:val="pt-PT"/>
        </w:rPr>
      </w:pPr>
      <w:r w:rsidRPr="00217EBD">
        <w:rPr>
          <w:rFonts w:cstheme="minorHAnsi"/>
          <w:lang w:val="pt-PT"/>
        </w:rPr>
        <w:t>Melissa Fernandes (Internato de Medicina Interna), Estágio na Unidade de Doenças Auto-imunes/Medicina 7.2, Hospital de Curry Cabral, Centro Hospitalar Universitário de Lisboa Central, Lisboa, Portugal.</w:t>
      </w:r>
    </w:p>
    <w:p w:rsidR="00420FD6" w:rsidRPr="00217EBD" w:rsidRDefault="00420FD6" w:rsidP="00420FD6">
      <w:pPr>
        <w:spacing w:line="360" w:lineRule="auto"/>
        <w:jc w:val="both"/>
        <w:rPr>
          <w:rFonts w:cstheme="minorHAnsi"/>
          <w:lang w:val="pt-PT"/>
        </w:rPr>
      </w:pPr>
    </w:p>
    <w:p w:rsidR="00420FD6" w:rsidRPr="00217EBD" w:rsidRDefault="00420FD6" w:rsidP="00420FD6">
      <w:pPr>
        <w:spacing w:line="360" w:lineRule="auto"/>
        <w:jc w:val="both"/>
        <w:rPr>
          <w:rFonts w:cstheme="minorHAnsi"/>
          <w:lang w:val="pt-PT"/>
        </w:rPr>
      </w:pPr>
      <w:r w:rsidRPr="00217EBD">
        <w:rPr>
          <w:rFonts w:cstheme="minorHAnsi"/>
          <w:lang w:val="pt-PT"/>
        </w:rPr>
        <w:t>Adelaide Figueiredo (Internato de Medicina Interna), Estágio na Unidade de Doenças Auto-imunes/Medicina 7.2, Hospital de Curry Cabral, Centro Hospitalar Universitário de Lisboa Central, Lisboa, Portugal; Serviço de Medicina IV, Hospital de Santarém EPE, Santarém, Portugal.</w:t>
      </w:r>
    </w:p>
    <w:p w:rsidR="00420FD6" w:rsidRPr="00217EBD" w:rsidRDefault="00420FD6" w:rsidP="00420FD6">
      <w:pPr>
        <w:spacing w:line="360" w:lineRule="auto"/>
        <w:jc w:val="both"/>
        <w:rPr>
          <w:rFonts w:cstheme="minorHAnsi"/>
          <w:lang w:val="pt-PT"/>
        </w:rPr>
      </w:pPr>
    </w:p>
    <w:p w:rsidR="00420FD6" w:rsidRPr="00217EBD" w:rsidRDefault="00420FD6" w:rsidP="00420FD6">
      <w:pPr>
        <w:spacing w:line="360" w:lineRule="auto"/>
        <w:jc w:val="both"/>
        <w:rPr>
          <w:rFonts w:cstheme="minorHAnsi"/>
          <w:lang w:val="pt-PT"/>
        </w:rPr>
      </w:pPr>
      <w:r w:rsidRPr="00217EBD">
        <w:rPr>
          <w:rFonts w:cstheme="minorHAnsi"/>
          <w:lang w:val="pt-PT"/>
        </w:rPr>
        <w:t>Ana Luisa Oliveira (Internato de Medicina Interna), Estágio na Unidade de Doenças Auto-imunes/Medicina 7.2, Hospital de Curry Cabral, Centro Hospitalar Universitário de Lisboa Central, Lisboa, Portugal; Serviço de Medicina I, Hospital José Joaquim Fernandes, Unidade Local de Saúde do Baixo Alentejo, Beja, Portugal.</w:t>
      </w:r>
    </w:p>
    <w:p w:rsidR="00420FD6" w:rsidRPr="00217EBD" w:rsidRDefault="00420FD6" w:rsidP="00420FD6">
      <w:pPr>
        <w:spacing w:line="360" w:lineRule="auto"/>
        <w:jc w:val="both"/>
        <w:rPr>
          <w:rFonts w:cstheme="minorHAnsi"/>
          <w:lang w:val="pt-PT"/>
        </w:rPr>
      </w:pPr>
    </w:p>
    <w:p w:rsidR="00420FD6" w:rsidRPr="00217EBD" w:rsidRDefault="00420FD6" w:rsidP="00420FD6">
      <w:pPr>
        <w:spacing w:line="360" w:lineRule="auto"/>
        <w:jc w:val="both"/>
        <w:rPr>
          <w:rFonts w:cstheme="minorHAnsi"/>
          <w:color w:val="000000"/>
          <w:shd w:val="clear" w:color="auto" w:fill="FFFFFF"/>
          <w:lang w:val="pt-PT"/>
        </w:rPr>
      </w:pPr>
      <w:r w:rsidRPr="00217EBD">
        <w:rPr>
          <w:rFonts w:cstheme="minorHAnsi"/>
          <w:lang w:val="pt-PT"/>
        </w:rPr>
        <w:t xml:space="preserve">Ana Carolina Ferreira (Internato de Medicina Interna), Estágio na Unidade de Doenças Auto-imunes/Medicina 7.2, Hospital de Curry Cabral, Centro Hospitalar Universitário de Lisboa Central, Lisboa, Portugal; </w:t>
      </w:r>
      <w:r w:rsidRPr="00217EBD">
        <w:rPr>
          <w:rFonts w:cstheme="minorHAnsi"/>
          <w:color w:val="000000"/>
          <w:shd w:val="clear" w:color="auto" w:fill="FFFFFF"/>
          <w:lang w:val="pt-PT"/>
        </w:rPr>
        <w:t>Serviço de Medicina Interna, Hospital do Divino Espírito Santo de Ponta Delgada EPE, Ponta Delgada, Portugal.</w:t>
      </w:r>
    </w:p>
    <w:p w:rsidR="00420FD6" w:rsidRPr="00217EBD" w:rsidRDefault="00420FD6" w:rsidP="00420FD6">
      <w:pPr>
        <w:spacing w:line="360" w:lineRule="auto"/>
        <w:jc w:val="both"/>
        <w:rPr>
          <w:rFonts w:cstheme="minorHAnsi"/>
          <w:lang w:val="pt-PT"/>
        </w:rPr>
      </w:pPr>
    </w:p>
    <w:p w:rsidR="00420FD6" w:rsidRPr="00217EBD" w:rsidRDefault="00420FD6" w:rsidP="00420FD6">
      <w:pPr>
        <w:spacing w:line="360" w:lineRule="auto"/>
        <w:jc w:val="both"/>
        <w:rPr>
          <w:rFonts w:cstheme="minorHAnsi"/>
          <w:color w:val="000000"/>
          <w:shd w:val="clear" w:color="auto" w:fill="FFFFFF"/>
          <w:lang w:val="pt-PT"/>
        </w:rPr>
      </w:pPr>
      <w:r w:rsidRPr="00217EBD">
        <w:rPr>
          <w:rFonts w:cstheme="minorHAnsi"/>
          <w:lang w:val="pt-PT"/>
        </w:rPr>
        <w:t xml:space="preserve">Pedro Mendonça (Internato de Medicina Interna), Estágio na Unidade de Doenças Auto-imunes/Medicina 7.2, Hospital de Curry Cabral, Centro Hospitalar Universitário de Lisboa Central, Lisboa, Portugal; </w:t>
      </w:r>
      <w:r w:rsidRPr="00217EBD">
        <w:rPr>
          <w:rFonts w:cstheme="minorHAnsi"/>
          <w:color w:val="000000"/>
          <w:shd w:val="clear" w:color="auto" w:fill="FFFFFF"/>
          <w:lang w:val="pt-PT"/>
        </w:rPr>
        <w:t>Serviço de Medicina, Hospital de Faro, Centro Hospitalar Universitário do Algarve, Faro, Portugal.</w:t>
      </w:r>
    </w:p>
    <w:p w:rsidR="00420FD6" w:rsidRPr="00217EBD" w:rsidRDefault="00420FD6" w:rsidP="00420FD6">
      <w:pPr>
        <w:spacing w:line="360" w:lineRule="auto"/>
        <w:jc w:val="both"/>
        <w:rPr>
          <w:rFonts w:cstheme="minorHAnsi"/>
          <w:lang w:val="pt-PT"/>
        </w:rPr>
      </w:pPr>
    </w:p>
    <w:p w:rsidR="00420FD6" w:rsidRPr="00217EBD" w:rsidRDefault="00420FD6" w:rsidP="00420FD6">
      <w:pPr>
        <w:spacing w:line="360" w:lineRule="auto"/>
        <w:jc w:val="both"/>
        <w:rPr>
          <w:rFonts w:cstheme="minorHAnsi"/>
          <w:lang w:val="pt-PT"/>
        </w:rPr>
      </w:pPr>
      <w:r w:rsidRPr="00217EBD">
        <w:rPr>
          <w:rFonts w:cstheme="minorHAnsi"/>
          <w:lang w:val="pt-PT"/>
        </w:rPr>
        <w:lastRenderedPageBreak/>
        <w:t>Anna V Taulaigo (Internato de Medicina Interna), Estágio na Unidade de Doenças Auto-imunes/Medicina 7.2, Hospital de Curry Cabral, Centro Hospitalar Universitário de Lisboa Central, Lisboa, Portugal.</w:t>
      </w:r>
    </w:p>
    <w:p w:rsidR="00420FD6" w:rsidRPr="00217EBD" w:rsidRDefault="00420FD6" w:rsidP="00420FD6">
      <w:pPr>
        <w:spacing w:line="360" w:lineRule="auto"/>
        <w:jc w:val="both"/>
        <w:rPr>
          <w:rFonts w:cstheme="minorHAnsi"/>
          <w:lang w:val="pt-PT"/>
        </w:rPr>
      </w:pPr>
    </w:p>
    <w:p w:rsidR="00420FD6" w:rsidRPr="00217EBD" w:rsidRDefault="00420FD6" w:rsidP="00420FD6">
      <w:pPr>
        <w:spacing w:line="360" w:lineRule="auto"/>
        <w:jc w:val="both"/>
        <w:rPr>
          <w:rFonts w:cstheme="minorHAnsi"/>
          <w:lang w:val="pt-PT"/>
        </w:rPr>
      </w:pPr>
      <w:r w:rsidRPr="00217EBD">
        <w:rPr>
          <w:rFonts w:cstheme="minorHAnsi"/>
          <w:lang w:val="pt-PT"/>
        </w:rPr>
        <w:t>Madalena Vicente (Internato de Medicina Interna), Estágio na Unidade de Doenças Auto-imunes/Medicina 7.2, Hospital de Curry Cabral, Centro Hospitalar Universitário de Lisboa Central, Lisboa, Portugal.</w:t>
      </w:r>
    </w:p>
    <w:p w:rsidR="00420FD6" w:rsidRPr="00217EBD" w:rsidRDefault="00420FD6" w:rsidP="00420FD6">
      <w:pPr>
        <w:spacing w:line="360" w:lineRule="auto"/>
        <w:jc w:val="both"/>
        <w:rPr>
          <w:rFonts w:cstheme="minorHAnsi"/>
          <w:lang w:val="pt-PT"/>
        </w:rPr>
      </w:pPr>
    </w:p>
    <w:p w:rsidR="00420FD6" w:rsidRPr="00217EBD" w:rsidRDefault="00420FD6" w:rsidP="00420FD6">
      <w:pPr>
        <w:spacing w:line="360" w:lineRule="auto"/>
        <w:jc w:val="both"/>
        <w:rPr>
          <w:rFonts w:cstheme="minorHAnsi"/>
          <w:lang w:val="pt-PT"/>
        </w:rPr>
      </w:pPr>
      <w:r w:rsidRPr="00217EBD">
        <w:rPr>
          <w:rFonts w:cstheme="minorHAnsi"/>
          <w:lang w:val="pt-PT"/>
        </w:rPr>
        <w:t>Maria João Fanica (Farmacêutica Assistente), Serviços Farmacêuticos, Hospital de Curry Cabral, Centro Hospitalar Universitário de Lisboa Central, Lisboa, Portugal.</w:t>
      </w:r>
    </w:p>
    <w:p w:rsidR="00420FD6" w:rsidRPr="00217EBD" w:rsidRDefault="00420FD6" w:rsidP="00420FD6">
      <w:pPr>
        <w:spacing w:line="360" w:lineRule="auto"/>
        <w:jc w:val="both"/>
        <w:rPr>
          <w:rFonts w:cstheme="minorHAnsi"/>
          <w:lang w:val="pt-PT"/>
        </w:rPr>
      </w:pPr>
    </w:p>
    <w:p w:rsidR="00420FD6" w:rsidRPr="00217EBD" w:rsidRDefault="00420FD6" w:rsidP="00420FD6">
      <w:pPr>
        <w:spacing w:line="360" w:lineRule="auto"/>
        <w:jc w:val="both"/>
        <w:rPr>
          <w:rFonts w:cstheme="minorHAnsi"/>
          <w:lang w:val="pt-PT"/>
        </w:rPr>
      </w:pPr>
      <w:r w:rsidRPr="00217EBD">
        <w:rPr>
          <w:rFonts w:cstheme="minorHAnsi"/>
          <w:lang w:val="pt-PT"/>
        </w:rPr>
        <w:t>Carina Ruano (Assistente Hospitalar), Serviço de Radiologia, Centro Hospitalar Universitário de Lisboa Central, Lisboa, Portugal.</w:t>
      </w:r>
    </w:p>
    <w:p w:rsidR="00420FD6" w:rsidRPr="00217EBD" w:rsidRDefault="00420FD6" w:rsidP="00420FD6">
      <w:pPr>
        <w:spacing w:line="360" w:lineRule="auto"/>
        <w:jc w:val="both"/>
        <w:rPr>
          <w:rFonts w:cstheme="minorHAnsi"/>
          <w:lang w:val="pt-PT"/>
        </w:rPr>
      </w:pPr>
    </w:p>
    <w:p w:rsidR="00420FD6" w:rsidRPr="00217EBD" w:rsidRDefault="00420FD6" w:rsidP="00420FD6">
      <w:pPr>
        <w:spacing w:line="360" w:lineRule="auto"/>
        <w:jc w:val="both"/>
        <w:rPr>
          <w:rFonts w:cstheme="minorHAnsi"/>
          <w:lang w:val="pt-PT"/>
        </w:rPr>
      </w:pPr>
      <w:r w:rsidRPr="00217EBD">
        <w:rPr>
          <w:rFonts w:cstheme="minorHAnsi"/>
          <w:lang w:val="pt-PT"/>
        </w:rPr>
        <w:t>António Panarra (Chefe de Serviço), Director do Serviço de Medicina 7.2, Hospital de Curry Cabral, Centro Hospitalar Universitário de Lisboa Central, Lisboa, Portugal.</w:t>
      </w:r>
    </w:p>
    <w:p w:rsidR="00420FD6" w:rsidRPr="00217EBD" w:rsidRDefault="00420FD6" w:rsidP="00420FD6">
      <w:pPr>
        <w:spacing w:line="360" w:lineRule="auto"/>
        <w:jc w:val="both"/>
        <w:rPr>
          <w:rFonts w:cstheme="minorHAnsi"/>
          <w:lang w:val="pt-PT"/>
        </w:rPr>
      </w:pPr>
    </w:p>
    <w:p w:rsidR="00420FD6" w:rsidRPr="00217EBD" w:rsidRDefault="00420FD6" w:rsidP="00420FD6">
      <w:pPr>
        <w:spacing w:line="360" w:lineRule="auto"/>
        <w:jc w:val="both"/>
        <w:rPr>
          <w:rFonts w:cstheme="minorHAnsi"/>
          <w:lang w:val="en-GB"/>
        </w:rPr>
      </w:pPr>
      <w:proofErr w:type="spellStart"/>
      <w:r w:rsidRPr="00217EBD">
        <w:rPr>
          <w:rFonts w:cstheme="minorHAnsi"/>
          <w:lang w:val="en-GB"/>
        </w:rPr>
        <w:t>Céu</w:t>
      </w:r>
      <w:proofErr w:type="spellEnd"/>
      <w:r w:rsidRPr="00217EBD">
        <w:rPr>
          <w:rFonts w:cstheme="minorHAnsi"/>
          <w:lang w:val="en-GB"/>
        </w:rPr>
        <w:t xml:space="preserve"> </w:t>
      </w:r>
      <w:proofErr w:type="spellStart"/>
      <w:r w:rsidRPr="00217EBD">
        <w:rPr>
          <w:rFonts w:cstheme="minorHAnsi"/>
          <w:lang w:val="en-GB"/>
        </w:rPr>
        <w:t>Mateus</w:t>
      </w:r>
      <w:proofErr w:type="spellEnd"/>
      <w:r w:rsidRPr="00217EBD">
        <w:rPr>
          <w:rFonts w:cstheme="minorHAnsi"/>
          <w:lang w:val="en-GB"/>
        </w:rPr>
        <w:t xml:space="preserve"> (Professor of Health Economics), Division of Health Research Lancaster University, Furness College, </w:t>
      </w:r>
      <w:proofErr w:type="spellStart"/>
      <w:r w:rsidRPr="00217EBD">
        <w:rPr>
          <w:rFonts w:cstheme="minorHAnsi"/>
          <w:lang w:val="en-GB"/>
        </w:rPr>
        <w:t>Reino</w:t>
      </w:r>
      <w:proofErr w:type="spellEnd"/>
      <w:r w:rsidRPr="00217EBD">
        <w:rPr>
          <w:rFonts w:cstheme="minorHAnsi"/>
          <w:lang w:val="en-GB"/>
        </w:rPr>
        <w:t xml:space="preserve"> </w:t>
      </w:r>
      <w:proofErr w:type="spellStart"/>
      <w:r w:rsidRPr="00217EBD">
        <w:rPr>
          <w:rFonts w:cstheme="minorHAnsi"/>
          <w:lang w:val="en-GB"/>
        </w:rPr>
        <w:t>Unido</w:t>
      </w:r>
      <w:proofErr w:type="spellEnd"/>
      <w:r w:rsidRPr="00217EBD">
        <w:rPr>
          <w:rFonts w:cstheme="minorHAnsi"/>
          <w:lang w:val="en-GB"/>
        </w:rPr>
        <w:t>.</w:t>
      </w:r>
    </w:p>
    <w:p w:rsidR="00420FD6" w:rsidRPr="00217EBD" w:rsidRDefault="00420FD6" w:rsidP="00420FD6">
      <w:pPr>
        <w:spacing w:line="360" w:lineRule="auto"/>
        <w:jc w:val="both"/>
        <w:rPr>
          <w:rFonts w:cstheme="minorHAnsi"/>
          <w:lang w:val="en-GB"/>
        </w:rPr>
      </w:pPr>
      <w:r w:rsidRPr="00217EBD" w:rsidDel="00892FA3">
        <w:rPr>
          <w:rFonts w:cstheme="minorHAnsi"/>
          <w:vertAlign w:val="superscript"/>
          <w:lang w:val="en-GB"/>
        </w:rPr>
        <w:t xml:space="preserve"> </w:t>
      </w:r>
    </w:p>
    <w:p w:rsidR="00420FD6" w:rsidRPr="00217EBD" w:rsidRDefault="00420FD6" w:rsidP="00420FD6">
      <w:pPr>
        <w:spacing w:line="360" w:lineRule="auto"/>
        <w:jc w:val="both"/>
        <w:rPr>
          <w:rFonts w:cstheme="minorHAnsi"/>
          <w:lang w:val="pt-PT"/>
        </w:rPr>
      </w:pPr>
      <w:r w:rsidRPr="00217EBD">
        <w:rPr>
          <w:rFonts w:cstheme="minorHAnsi"/>
          <w:lang w:val="pt-PT"/>
        </w:rPr>
        <w:t>Maria Francisca Moraes-Fontes (Assistente Hospitalar Graduada), Coordenadora da Unidade de Doenças Auto-imunes/Medicina 7.2, Hospital de Curry Cabral, Centro Hospitalar Universitário de Lisboa Central, Lisboa, Portugal.</w:t>
      </w:r>
    </w:p>
    <w:p w:rsidR="00420FD6" w:rsidRPr="00217EBD" w:rsidRDefault="00420FD6" w:rsidP="00420FD6">
      <w:pPr>
        <w:tabs>
          <w:tab w:val="left" w:pos="3570"/>
        </w:tabs>
        <w:spacing w:line="360" w:lineRule="auto"/>
        <w:ind w:left="284" w:hanging="284"/>
        <w:jc w:val="both"/>
        <w:rPr>
          <w:rFonts w:cstheme="minorHAnsi"/>
          <w:lang w:val="pt-PT"/>
        </w:rPr>
      </w:pPr>
    </w:p>
    <w:p w:rsidR="00420FD6" w:rsidRPr="00217EBD" w:rsidRDefault="00420FD6" w:rsidP="00420FD6">
      <w:pPr>
        <w:tabs>
          <w:tab w:val="left" w:pos="3570"/>
        </w:tabs>
        <w:spacing w:line="360" w:lineRule="auto"/>
        <w:ind w:left="284" w:hanging="284"/>
        <w:jc w:val="both"/>
        <w:rPr>
          <w:rFonts w:cstheme="minorHAnsi"/>
          <w:b/>
          <w:caps/>
          <w:color w:val="000000" w:themeColor="text1"/>
          <w:lang w:val="pt-PT"/>
        </w:rPr>
      </w:pPr>
      <w:r w:rsidRPr="00217EBD">
        <w:rPr>
          <w:rFonts w:cstheme="minorHAnsi"/>
          <w:b/>
          <w:caps/>
          <w:color w:val="000000" w:themeColor="text1"/>
          <w:lang w:val="pt-PT"/>
        </w:rPr>
        <w:t xml:space="preserve">Corresponding Author: </w:t>
      </w:r>
    </w:p>
    <w:p w:rsidR="00420FD6" w:rsidRPr="00217EBD" w:rsidRDefault="00420FD6" w:rsidP="00420FD6">
      <w:pPr>
        <w:tabs>
          <w:tab w:val="left" w:pos="3570"/>
        </w:tabs>
        <w:spacing w:line="360" w:lineRule="auto"/>
        <w:ind w:left="284" w:hanging="284"/>
        <w:jc w:val="both"/>
        <w:rPr>
          <w:rFonts w:cstheme="minorHAnsi"/>
          <w:lang w:val="pt-PT"/>
        </w:rPr>
      </w:pPr>
      <w:r w:rsidRPr="00217EBD">
        <w:rPr>
          <w:rFonts w:cstheme="minorHAnsi"/>
          <w:lang w:val="pt-PT"/>
        </w:rPr>
        <w:t>Maria Francisca Moraes-Fontes</w:t>
      </w:r>
    </w:p>
    <w:p w:rsidR="00420FD6" w:rsidRPr="00217EBD" w:rsidRDefault="00420FD6" w:rsidP="00420FD6">
      <w:pPr>
        <w:tabs>
          <w:tab w:val="left" w:pos="3570"/>
        </w:tabs>
        <w:spacing w:line="360" w:lineRule="auto"/>
        <w:jc w:val="both"/>
        <w:rPr>
          <w:rFonts w:cstheme="minorHAnsi"/>
          <w:lang w:val="pt-PT"/>
        </w:rPr>
      </w:pPr>
      <w:r w:rsidRPr="00217EBD">
        <w:rPr>
          <w:rFonts w:cstheme="minorHAnsi"/>
          <w:lang w:val="pt-PT"/>
        </w:rPr>
        <w:t>Address: Unidade de Doenças Auto-imunes/Medicina 7.2, Hospital de Curry Cabral, Centro Hospitalar Universitário Lisboa Central, Rua da Beneficância, 8, 1069-166 Lisboa, Portugal</w:t>
      </w:r>
    </w:p>
    <w:p w:rsidR="00420FD6" w:rsidRPr="00123C4C" w:rsidRDefault="00420FD6" w:rsidP="00420FD6">
      <w:pPr>
        <w:tabs>
          <w:tab w:val="left" w:pos="3570"/>
        </w:tabs>
        <w:spacing w:line="360" w:lineRule="auto"/>
        <w:ind w:left="284" w:hanging="284"/>
        <w:jc w:val="both"/>
        <w:rPr>
          <w:rFonts w:cstheme="minorHAnsi"/>
          <w:lang w:val="en-GB"/>
        </w:rPr>
      </w:pPr>
      <w:proofErr w:type="gramStart"/>
      <w:r w:rsidRPr="00123C4C">
        <w:rPr>
          <w:rFonts w:cstheme="minorHAnsi"/>
          <w:lang w:val="en-GB"/>
        </w:rPr>
        <w:t>e-mail</w:t>
      </w:r>
      <w:proofErr w:type="gramEnd"/>
      <w:r w:rsidRPr="00123C4C">
        <w:rPr>
          <w:rFonts w:cstheme="minorHAnsi"/>
          <w:lang w:val="en-GB"/>
        </w:rPr>
        <w:t xml:space="preserve">: </w:t>
      </w:r>
      <w:hyperlink r:id="rId6" w:history="1">
        <w:r w:rsidR="00F96075" w:rsidRPr="00123C4C">
          <w:rPr>
            <w:rStyle w:val="Hyperlink"/>
            <w:rFonts w:cstheme="minorHAnsi"/>
            <w:lang w:val="en-GB"/>
          </w:rPr>
          <w:t>mffontes61@gmail.com</w:t>
        </w:r>
      </w:hyperlink>
    </w:p>
    <w:p w:rsidR="00420FD6" w:rsidRPr="00217EBD" w:rsidRDefault="00420FD6" w:rsidP="00420FD6">
      <w:pPr>
        <w:spacing w:line="360" w:lineRule="auto"/>
        <w:jc w:val="both"/>
        <w:rPr>
          <w:rFonts w:cstheme="minorHAnsi"/>
          <w:lang w:val="en-GB"/>
        </w:rPr>
      </w:pPr>
      <w:r w:rsidRPr="00217EBD">
        <w:rPr>
          <w:rFonts w:cstheme="minorHAnsi"/>
          <w:b/>
          <w:caps/>
          <w:color w:val="000000" w:themeColor="text1"/>
          <w:lang w:val="en-GB"/>
        </w:rPr>
        <w:t xml:space="preserve">BRIEF TITLE FOR A HEADING: </w:t>
      </w:r>
      <w:r w:rsidRPr="00217EBD">
        <w:rPr>
          <w:rFonts w:cstheme="minorHAnsi"/>
        </w:rPr>
        <w:t>B</w:t>
      </w:r>
      <w:r w:rsidRPr="003F153A">
        <w:rPr>
          <w:rFonts w:cstheme="minorHAnsi"/>
        </w:rPr>
        <w:t>iotechnological</w:t>
      </w:r>
      <w:r w:rsidRPr="003F153A">
        <w:rPr>
          <w:rFonts w:cstheme="minorHAnsi"/>
          <w:lang w:val="en-GB"/>
        </w:rPr>
        <w:t xml:space="preserve"> therapy in </w:t>
      </w:r>
      <w:r w:rsidRPr="00D20003">
        <w:rPr>
          <w:rFonts w:cstheme="minorHAnsi"/>
          <w:lang w:val="en-GB"/>
        </w:rPr>
        <w:t xml:space="preserve">rheumatoid arthritis: </w:t>
      </w:r>
      <w:r w:rsidRPr="00D20003">
        <w:rPr>
          <w:rFonts w:cstheme="minorHAnsi"/>
        </w:rPr>
        <w:t xml:space="preserve">results based on standardized monitoring in an outpatient clinic in </w:t>
      </w:r>
      <w:r w:rsidRPr="00217EBD">
        <w:rPr>
          <w:rFonts w:cstheme="minorHAnsi"/>
        </w:rPr>
        <w:t>Portugal</w:t>
      </w:r>
    </w:p>
    <w:p w:rsidR="00420FD6" w:rsidRPr="00217EBD" w:rsidRDefault="00420FD6" w:rsidP="00420FD6">
      <w:pPr>
        <w:spacing w:line="360" w:lineRule="auto"/>
        <w:jc w:val="both"/>
        <w:rPr>
          <w:rFonts w:cstheme="minorHAnsi"/>
          <w:b/>
          <w:lang w:val="pt-PT"/>
        </w:rPr>
      </w:pPr>
      <w:r w:rsidRPr="00217EBD">
        <w:rPr>
          <w:rFonts w:cstheme="minorHAnsi"/>
          <w:b/>
          <w:lang w:val="pt-PT"/>
        </w:rPr>
        <w:lastRenderedPageBreak/>
        <w:t>TÍTULO:</w:t>
      </w:r>
    </w:p>
    <w:p w:rsidR="00420FD6" w:rsidRPr="00217EBD" w:rsidRDefault="00420FD6" w:rsidP="00420FD6">
      <w:pPr>
        <w:spacing w:line="360" w:lineRule="auto"/>
        <w:jc w:val="both"/>
        <w:rPr>
          <w:rFonts w:cstheme="minorHAnsi"/>
          <w:lang w:val="pt-PT"/>
        </w:rPr>
      </w:pPr>
      <w:r w:rsidRPr="00217EBD">
        <w:rPr>
          <w:rFonts w:cstheme="minorHAnsi"/>
          <w:lang w:val="pt-PT"/>
        </w:rPr>
        <w:t xml:space="preserve">Artrite reumatóide em </w:t>
      </w:r>
      <w:r w:rsidR="00B82011" w:rsidRPr="00217EBD">
        <w:rPr>
          <w:rFonts w:cstheme="minorHAnsi"/>
          <w:lang w:val="pt-PT"/>
        </w:rPr>
        <w:t xml:space="preserve">coorte de </w:t>
      </w:r>
      <w:r w:rsidRPr="00217EBD">
        <w:rPr>
          <w:rFonts w:cstheme="minorHAnsi"/>
          <w:lang w:val="pt-PT"/>
        </w:rPr>
        <w:t xml:space="preserve">doentes submetidos a terapêutica biológica: monitorização </w:t>
      </w:r>
      <w:r w:rsidR="00B82011" w:rsidRPr="00217EBD">
        <w:rPr>
          <w:rFonts w:cstheme="minorHAnsi"/>
          <w:lang w:val="pt-PT"/>
        </w:rPr>
        <w:t xml:space="preserve">padronizada </w:t>
      </w:r>
      <w:r w:rsidRPr="00217EBD">
        <w:rPr>
          <w:rFonts w:cstheme="minorHAnsi"/>
          <w:lang w:val="pt-PT"/>
        </w:rPr>
        <w:t>num centro terciário de referenciação em Portugal.</w:t>
      </w:r>
    </w:p>
    <w:p w:rsidR="00420FD6" w:rsidRPr="00217EBD" w:rsidRDefault="00420FD6" w:rsidP="00420FD6">
      <w:pPr>
        <w:spacing w:line="360" w:lineRule="auto"/>
        <w:jc w:val="both"/>
        <w:rPr>
          <w:rFonts w:cstheme="minorHAnsi"/>
          <w:b/>
          <w:lang w:val="en-GB"/>
        </w:rPr>
      </w:pPr>
      <w:r w:rsidRPr="00217EBD">
        <w:rPr>
          <w:rFonts w:cstheme="minorHAnsi"/>
          <w:b/>
          <w:lang w:val="en-GB"/>
        </w:rPr>
        <w:t xml:space="preserve">TITLE: </w:t>
      </w:r>
    </w:p>
    <w:p w:rsidR="00420FD6" w:rsidRPr="00217EBD" w:rsidRDefault="00420FD6" w:rsidP="00420FD6">
      <w:pPr>
        <w:spacing w:line="360" w:lineRule="auto"/>
        <w:jc w:val="both"/>
        <w:rPr>
          <w:rFonts w:cstheme="minorHAnsi"/>
          <w:lang w:val="en-GB"/>
        </w:rPr>
      </w:pPr>
      <w:r w:rsidRPr="00217EBD">
        <w:rPr>
          <w:rFonts w:cstheme="minorHAnsi"/>
        </w:rPr>
        <w:t>Biotechnological</w:t>
      </w:r>
      <w:r w:rsidRPr="00217EBD">
        <w:rPr>
          <w:rFonts w:cstheme="minorHAnsi"/>
          <w:lang w:val="en-GB"/>
        </w:rPr>
        <w:t xml:space="preserve"> therapy in a cohort of patients with rheumatoid arthritis: </w:t>
      </w:r>
      <w:r w:rsidRPr="00217EBD">
        <w:rPr>
          <w:rFonts w:cstheme="minorHAnsi"/>
        </w:rPr>
        <w:t>results based on standardized monitoring in a tertiary center in Portugal</w:t>
      </w:r>
    </w:p>
    <w:p w:rsidR="00420FD6" w:rsidRPr="00217EBD" w:rsidRDefault="00420FD6" w:rsidP="00420FD6">
      <w:pPr>
        <w:spacing w:line="360" w:lineRule="auto"/>
        <w:rPr>
          <w:rFonts w:cstheme="minorHAnsi"/>
          <w:b/>
          <w:lang w:val="pt-PT"/>
        </w:rPr>
      </w:pPr>
      <w:r w:rsidRPr="00217EBD">
        <w:rPr>
          <w:rFonts w:cstheme="minorHAnsi"/>
          <w:b/>
          <w:lang w:val="pt-PT"/>
        </w:rPr>
        <w:t>ABSTRACT EM PORTUGUÊS</w:t>
      </w:r>
    </w:p>
    <w:p w:rsidR="00420FD6" w:rsidRPr="00217EBD" w:rsidRDefault="00420FD6" w:rsidP="00420FD6">
      <w:pPr>
        <w:spacing w:line="360" w:lineRule="auto"/>
        <w:rPr>
          <w:rFonts w:cstheme="minorHAnsi"/>
          <w:lang w:val="pt-PT"/>
        </w:rPr>
      </w:pPr>
      <w:r w:rsidRPr="00217EBD">
        <w:rPr>
          <w:rFonts w:cstheme="minorHAnsi"/>
          <w:lang w:val="pt-PT"/>
        </w:rPr>
        <w:t>INTRODUÇÃO:</w:t>
      </w:r>
    </w:p>
    <w:p w:rsidR="00420FD6" w:rsidRPr="00217EBD" w:rsidRDefault="005D279C" w:rsidP="00420FD6">
      <w:pPr>
        <w:spacing w:line="360" w:lineRule="auto"/>
        <w:jc w:val="both"/>
        <w:rPr>
          <w:rFonts w:cstheme="minorHAnsi"/>
          <w:lang w:val="pt-PT"/>
        </w:rPr>
      </w:pPr>
      <w:r>
        <w:rPr>
          <w:rFonts w:cstheme="minorHAnsi"/>
          <w:lang w:val="pt-PT"/>
        </w:rPr>
        <w:t>A</w:t>
      </w:r>
      <w:r w:rsidR="00420FD6" w:rsidRPr="00217EBD">
        <w:rPr>
          <w:rFonts w:cstheme="minorHAnsi"/>
          <w:lang w:val="pt-PT"/>
        </w:rPr>
        <w:t xml:space="preserve">vanços no tratamento da artrite reumatóide contribuiram para </w:t>
      </w:r>
      <w:r w:rsidR="00EF612A">
        <w:rPr>
          <w:rFonts w:cstheme="minorHAnsi"/>
          <w:lang w:val="pt-PT"/>
        </w:rPr>
        <w:t>uma evolução favorável</w:t>
      </w:r>
      <w:r w:rsidR="00420FD6" w:rsidRPr="00217EBD">
        <w:rPr>
          <w:rFonts w:cstheme="minorHAnsi"/>
          <w:lang w:val="pt-PT"/>
        </w:rPr>
        <w:t>. Apesar de evidências substanciais provenientes de ensaios clínicos, são menos conhecidos dados de vida real. O objetivo do estudo foi caracterizar a doença e a qualidade de vida em doentes sob fármacos biotecnológicos.</w:t>
      </w:r>
    </w:p>
    <w:p w:rsidR="00420FD6" w:rsidRPr="00217EBD" w:rsidRDefault="00420FD6" w:rsidP="00420FD6">
      <w:pPr>
        <w:spacing w:line="360" w:lineRule="auto"/>
        <w:jc w:val="both"/>
        <w:rPr>
          <w:rFonts w:cstheme="minorHAnsi"/>
          <w:lang w:val="pt-PT"/>
        </w:rPr>
      </w:pPr>
      <w:r w:rsidRPr="00217EBD">
        <w:rPr>
          <w:rFonts w:cstheme="minorHAnsi"/>
          <w:lang w:val="pt-PT"/>
        </w:rPr>
        <w:t>MÉTODOS:</w:t>
      </w:r>
    </w:p>
    <w:p w:rsidR="00420FD6" w:rsidRPr="00217EBD" w:rsidRDefault="00A5118D" w:rsidP="00420FD6">
      <w:pPr>
        <w:spacing w:line="360" w:lineRule="auto"/>
        <w:jc w:val="both"/>
        <w:rPr>
          <w:rFonts w:cstheme="minorHAnsi"/>
          <w:lang w:val="pt-PT"/>
        </w:rPr>
      </w:pPr>
      <w:r>
        <w:rPr>
          <w:rFonts w:cstheme="minorHAnsi"/>
          <w:lang w:val="pt-PT"/>
        </w:rPr>
        <w:t>E</w:t>
      </w:r>
      <w:r w:rsidR="00420FD6" w:rsidRPr="00217EBD">
        <w:rPr>
          <w:rFonts w:cstheme="minorHAnsi"/>
          <w:lang w:val="pt-PT"/>
        </w:rPr>
        <w:t>studo transversal</w:t>
      </w:r>
      <w:r w:rsidR="0033716B" w:rsidRPr="00217EBD">
        <w:rPr>
          <w:rFonts w:cstheme="minorHAnsi"/>
          <w:lang w:val="pt-PT"/>
        </w:rPr>
        <w:t xml:space="preserve"> de coorte</w:t>
      </w:r>
      <w:r w:rsidR="00420FD6" w:rsidRPr="00217EBD">
        <w:rPr>
          <w:rFonts w:cstheme="minorHAnsi"/>
          <w:lang w:val="pt-PT"/>
        </w:rPr>
        <w:t xml:space="preserve"> sendo recolhidos dados clínicos, relativos à adesão terapêutica, atividade da doença, capacidade funcional, deformidades articulares</w:t>
      </w:r>
      <w:r w:rsidR="001250D9">
        <w:rPr>
          <w:rFonts w:cstheme="minorHAnsi"/>
          <w:lang w:val="pt-PT"/>
        </w:rPr>
        <w:t>,</w:t>
      </w:r>
      <w:r w:rsidR="00420FD6" w:rsidRPr="00217EBD">
        <w:rPr>
          <w:rFonts w:cstheme="minorHAnsi"/>
          <w:lang w:val="pt-PT"/>
        </w:rPr>
        <w:t xml:space="preserve"> comorbilidades</w:t>
      </w:r>
      <w:r w:rsidR="001250D9">
        <w:rPr>
          <w:rFonts w:cstheme="minorHAnsi"/>
          <w:lang w:val="pt-PT"/>
        </w:rPr>
        <w:t xml:space="preserve"> e</w:t>
      </w:r>
      <w:r w:rsidR="00420FD6" w:rsidRPr="00217EBD">
        <w:rPr>
          <w:rFonts w:cstheme="minorHAnsi"/>
          <w:lang w:val="pt-PT"/>
        </w:rPr>
        <w:t xml:space="preserve"> questionários de Qualidade de Vida relacionada com a saúde, estado civil, situação profissional e escolaridade.</w:t>
      </w:r>
    </w:p>
    <w:p w:rsidR="00420FD6" w:rsidRPr="00217EBD" w:rsidRDefault="00420FD6" w:rsidP="00420FD6">
      <w:pPr>
        <w:spacing w:line="360" w:lineRule="auto"/>
        <w:jc w:val="both"/>
        <w:rPr>
          <w:rFonts w:cstheme="minorHAnsi"/>
          <w:lang w:val="pt-PT"/>
        </w:rPr>
      </w:pPr>
      <w:r w:rsidRPr="00217EBD">
        <w:rPr>
          <w:rFonts w:cstheme="minorHAnsi"/>
          <w:lang w:val="pt-PT"/>
        </w:rPr>
        <w:t>RESULTADOS:</w:t>
      </w:r>
    </w:p>
    <w:p w:rsidR="009E1945" w:rsidRPr="00217EBD" w:rsidRDefault="00EF612A" w:rsidP="009E1945">
      <w:pPr>
        <w:spacing w:line="360" w:lineRule="auto"/>
        <w:jc w:val="both"/>
        <w:rPr>
          <w:rFonts w:cstheme="minorHAnsi"/>
          <w:lang w:val="pt-PT"/>
        </w:rPr>
      </w:pPr>
      <w:r>
        <w:rPr>
          <w:rFonts w:cstheme="minorHAnsi"/>
          <w:lang w:val="pt-PT"/>
        </w:rPr>
        <w:t>Foram recrutados 77 do</w:t>
      </w:r>
      <w:r w:rsidR="009E1945" w:rsidRPr="00217EBD">
        <w:rPr>
          <w:rFonts w:cstheme="minorHAnsi"/>
          <w:lang w:val="pt-PT"/>
        </w:rPr>
        <w:t xml:space="preserve"> </w:t>
      </w:r>
      <w:r w:rsidR="008E1507">
        <w:rPr>
          <w:rFonts w:cstheme="minorHAnsi"/>
          <w:lang w:val="pt-PT"/>
        </w:rPr>
        <w:t>grupo original</w:t>
      </w:r>
      <w:r w:rsidR="009E1945" w:rsidRPr="00217EBD">
        <w:rPr>
          <w:rFonts w:cstheme="minorHAnsi"/>
          <w:lang w:val="pt-PT"/>
        </w:rPr>
        <w:t xml:space="preserve"> </w:t>
      </w:r>
      <w:r w:rsidR="009E1945" w:rsidRPr="00EF612A">
        <w:rPr>
          <w:rFonts w:cstheme="minorHAnsi"/>
          <w:highlight w:val="yellow"/>
          <w:lang w:val="pt-PT"/>
        </w:rPr>
        <w:t xml:space="preserve">de </w:t>
      </w:r>
      <w:r w:rsidRPr="00EF612A">
        <w:rPr>
          <w:rFonts w:cstheme="minorHAnsi"/>
          <w:highlight w:val="yellow"/>
          <w:lang w:val="pt-PT"/>
        </w:rPr>
        <w:t>um total</w:t>
      </w:r>
      <w:r>
        <w:rPr>
          <w:rFonts w:cstheme="minorHAnsi"/>
          <w:lang w:val="pt-PT"/>
        </w:rPr>
        <w:t xml:space="preserve"> de </w:t>
      </w:r>
      <w:r w:rsidR="009E1945" w:rsidRPr="00217EBD">
        <w:rPr>
          <w:rFonts w:cstheme="minorHAnsi"/>
          <w:lang w:val="pt-PT"/>
        </w:rPr>
        <w:t>94 doentes. A mediana da idade foi</w:t>
      </w:r>
      <w:r w:rsidR="001250D9">
        <w:rPr>
          <w:rFonts w:cstheme="minorHAnsi"/>
          <w:lang w:val="pt-PT"/>
        </w:rPr>
        <w:t xml:space="preserve"> 63 anos, 82% do sexo feminino e</w:t>
      </w:r>
      <w:r w:rsidR="009E1945" w:rsidRPr="00217EBD">
        <w:rPr>
          <w:rFonts w:cstheme="minorHAnsi"/>
          <w:lang w:val="pt-PT"/>
        </w:rPr>
        <w:t xml:space="preserve"> início de biológico cerca de 4 anos após o início da doença</w:t>
      </w:r>
      <w:r w:rsidR="001250D9">
        <w:rPr>
          <w:rFonts w:cstheme="minorHAnsi"/>
          <w:lang w:val="pt-PT"/>
        </w:rPr>
        <w:t xml:space="preserve">, </w:t>
      </w:r>
      <w:r w:rsidR="001250D9" w:rsidRPr="0025452C">
        <w:rPr>
          <w:rFonts w:cstheme="minorHAnsi"/>
          <w:highlight w:val="yellow"/>
          <w:lang w:val="pt-PT"/>
        </w:rPr>
        <w:t>com uma mediana de duração de 12 anos</w:t>
      </w:r>
      <w:r w:rsidR="009E1945" w:rsidRPr="0025452C">
        <w:rPr>
          <w:rFonts w:cstheme="minorHAnsi"/>
          <w:highlight w:val="yellow"/>
          <w:lang w:val="pt-PT"/>
        </w:rPr>
        <w:t>.</w:t>
      </w:r>
      <w:r w:rsidR="009E1945" w:rsidRPr="00217EBD">
        <w:rPr>
          <w:rFonts w:cstheme="minorHAnsi"/>
          <w:lang w:val="pt-PT"/>
        </w:rPr>
        <w:t xml:space="preserve"> De acordo com o </w:t>
      </w:r>
      <w:r w:rsidR="009E1945" w:rsidRPr="00217EBD">
        <w:rPr>
          <w:rFonts w:cstheme="minorHAnsi"/>
          <w:i/>
          <w:lang w:val="pt-PT"/>
        </w:rPr>
        <w:t>Disease Activity Score</w:t>
      </w:r>
      <w:r w:rsidR="009E1945" w:rsidRPr="00217EBD">
        <w:rPr>
          <w:rFonts w:cstheme="minorHAnsi"/>
          <w:lang w:val="pt-PT"/>
        </w:rPr>
        <w:t xml:space="preserve"> (DAS28), a </w:t>
      </w:r>
      <w:r w:rsidR="009E1945">
        <w:rPr>
          <w:rFonts w:cstheme="minorHAnsi"/>
          <w:lang w:val="pt-PT"/>
        </w:rPr>
        <w:t>%</w:t>
      </w:r>
      <w:r w:rsidR="009E1945" w:rsidRPr="00217EBD">
        <w:rPr>
          <w:rFonts w:cstheme="minorHAnsi"/>
          <w:lang w:val="pt-PT"/>
        </w:rPr>
        <w:t xml:space="preserve"> de doentes com atividade alta, moderada, baixa ou em remissão mudou</w:t>
      </w:r>
      <w:r w:rsidR="009E1945">
        <w:rPr>
          <w:rFonts w:cstheme="minorHAnsi"/>
          <w:lang w:val="pt-PT"/>
        </w:rPr>
        <w:t xml:space="preserve">, respectivamente, de 50, 45, 0 e 5 pré- biológico para 11, 37, 25 e 26 na altura da re-avaliação, </w:t>
      </w:r>
      <w:r w:rsidR="009E1945" w:rsidRPr="00217EBD">
        <w:rPr>
          <w:rFonts w:cstheme="minorHAnsi"/>
          <w:lang w:val="pt-PT"/>
        </w:rPr>
        <w:t>com melhoria funcional. Setenta</w:t>
      </w:r>
      <w:r w:rsidR="009E1945">
        <w:rPr>
          <w:rFonts w:cstheme="minorHAnsi"/>
          <w:lang w:val="pt-PT"/>
        </w:rPr>
        <w:t xml:space="preserve"> e cinco %</w:t>
      </w:r>
      <w:r w:rsidR="009E1945" w:rsidRPr="00217EBD">
        <w:rPr>
          <w:rFonts w:cstheme="minorHAnsi"/>
          <w:lang w:val="pt-PT"/>
        </w:rPr>
        <w:t xml:space="preserve"> dos doentes mantiveram o tratamento original com boa adesão. Pontuações mais baixas do </w:t>
      </w:r>
      <w:r w:rsidR="009E1945" w:rsidRPr="00217EBD">
        <w:rPr>
          <w:rFonts w:cstheme="minorHAnsi"/>
          <w:i/>
          <w:lang w:val="pt-PT"/>
        </w:rPr>
        <w:t>Short Form-36</w:t>
      </w:r>
      <w:r w:rsidR="009E1945" w:rsidRPr="00217EBD">
        <w:rPr>
          <w:rFonts w:cstheme="minorHAnsi"/>
          <w:lang w:val="pt-PT"/>
        </w:rPr>
        <w:t xml:space="preserve"> associaram-se a uma baixa pontuação no </w:t>
      </w:r>
      <w:r w:rsidR="009E1945" w:rsidRPr="00217EBD">
        <w:rPr>
          <w:rFonts w:cstheme="minorHAnsi"/>
          <w:i/>
          <w:lang w:val="pt-PT"/>
        </w:rPr>
        <w:t>EQ-5D-3L</w:t>
      </w:r>
      <w:r w:rsidR="009E1945" w:rsidRPr="00217EBD">
        <w:rPr>
          <w:rFonts w:cstheme="minorHAnsi"/>
          <w:lang w:val="pt-PT"/>
        </w:rPr>
        <w:t>. Uma menor esperança de vida aos 10 anos as</w:t>
      </w:r>
      <w:r w:rsidR="009E1945">
        <w:rPr>
          <w:rFonts w:cstheme="minorHAnsi"/>
          <w:lang w:val="pt-PT"/>
        </w:rPr>
        <w:t>sim como uma maior</w:t>
      </w:r>
      <w:r w:rsidR="009E1945" w:rsidRPr="00217EBD">
        <w:rPr>
          <w:rFonts w:cstheme="minorHAnsi"/>
          <w:lang w:val="pt-PT"/>
        </w:rPr>
        <w:t xml:space="preserve"> discontinuação</w:t>
      </w:r>
      <w:r w:rsidR="009E1945">
        <w:rPr>
          <w:rFonts w:cstheme="minorHAnsi"/>
          <w:lang w:val="pt-PT"/>
        </w:rPr>
        <w:t xml:space="preserve"> da</w:t>
      </w:r>
      <w:r w:rsidR="009E1945" w:rsidRPr="00217EBD">
        <w:rPr>
          <w:rFonts w:cstheme="minorHAnsi"/>
          <w:lang w:val="pt-PT"/>
        </w:rPr>
        <w:t xml:space="preserve"> terapêutica </w:t>
      </w:r>
      <w:r w:rsidR="009E1945">
        <w:rPr>
          <w:rFonts w:cstheme="minorHAnsi"/>
          <w:lang w:val="pt-PT"/>
        </w:rPr>
        <w:t xml:space="preserve">biológica </w:t>
      </w:r>
      <w:r w:rsidR="009E1945" w:rsidRPr="00217EBD">
        <w:rPr>
          <w:rFonts w:cstheme="minorHAnsi"/>
          <w:lang w:val="pt-PT"/>
        </w:rPr>
        <w:t>foram observadas no grupo de  doentes que vieram a falecer (n=6).</w:t>
      </w:r>
    </w:p>
    <w:p w:rsidR="00420FD6" w:rsidRPr="00217EBD" w:rsidRDefault="00420FD6" w:rsidP="00420FD6">
      <w:pPr>
        <w:spacing w:line="360" w:lineRule="auto"/>
        <w:jc w:val="both"/>
        <w:rPr>
          <w:rFonts w:cstheme="minorHAnsi"/>
          <w:lang w:val="pt-PT"/>
        </w:rPr>
      </w:pPr>
      <w:r w:rsidRPr="00217EBD">
        <w:rPr>
          <w:rFonts w:cstheme="minorHAnsi"/>
          <w:lang w:val="pt-PT"/>
        </w:rPr>
        <w:t>CONCLUSÕES:</w:t>
      </w:r>
    </w:p>
    <w:p w:rsidR="00420FD6" w:rsidRPr="00217EBD" w:rsidRDefault="00EF612A" w:rsidP="00420FD6">
      <w:pPr>
        <w:pStyle w:val="NormalWeb"/>
        <w:spacing w:before="0" w:beforeAutospacing="0" w:after="0" w:afterAutospacing="0" w:line="360" w:lineRule="auto"/>
        <w:jc w:val="both"/>
        <w:rPr>
          <w:rFonts w:ascii="Calibri" w:hAnsi="Calibri" w:cs="Calibri"/>
          <w:color w:val="000000"/>
          <w:lang w:val="pt-PT"/>
        </w:rPr>
      </w:pPr>
      <w:r>
        <w:rPr>
          <w:rFonts w:ascii="Calibri" w:hAnsi="Calibri" w:cs="Calibri"/>
          <w:color w:val="000000"/>
          <w:lang w:val="pt-PT"/>
        </w:rPr>
        <w:t xml:space="preserve">Não obstante </w:t>
      </w:r>
      <w:r w:rsidR="00420FD6" w:rsidRPr="00217EBD">
        <w:rPr>
          <w:rFonts w:ascii="Calibri" w:hAnsi="Calibri" w:cs="Calibri"/>
          <w:color w:val="000000"/>
          <w:lang w:val="pt-PT"/>
        </w:rPr>
        <w:t xml:space="preserve">ajustes terapêuticos e seguimento regular, uma </w:t>
      </w:r>
      <w:r w:rsidR="005D279C">
        <w:rPr>
          <w:rFonts w:ascii="Calibri" w:hAnsi="Calibri" w:cs="Calibri"/>
          <w:color w:val="000000"/>
          <w:lang w:val="pt-PT"/>
        </w:rPr>
        <w:t>%</w:t>
      </w:r>
      <w:r w:rsidR="005D279C" w:rsidRPr="00217EBD">
        <w:rPr>
          <w:rFonts w:ascii="Calibri" w:hAnsi="Calibri" w:cs="Calibri"/>
          <w:color w:val="000000"/>
          <w:lang w:val="pt-PT"/>
        </w:rPr>
        <w:t xml:space="preserve"> </w:t>
      </w:r>
      <w:r w:rsidR="00420FD6" w:rsidRPr="00217EBD">
        <w:rPr>
          <w:rFonts w:ascii="Calibri" w:hAnsi="Calibri" w:cs="Calibri"/>
          <w:color w:val="000000"/>
          <w:lang w:val="pt-PT"/>
        </w:rPr>
        <w:t>significativa de doentes mantin</w:t>
      </w:r>
      <w:r>
        <w:rPr>
          <w:rFonts w:ascii="Calibri" w:hAnsi="Calibri" w:cs="Calibri"/>
          <w:color w:val="000000"/>
          <w:lang w:val="pt-PT"/>
        </w:rPr>
        <w:t>ha atividade moderada e limitação funcional com</w:t>
      </w:r>
      <w:r w:rsidR="00420FD6" w:rsidRPr="00217EBD">
        <w:rPr>
          <w:rFonts w:ascii="Calibri" w:hAnsi="Calibri" w:cs="Calibri"/>
          <w:color w:val="000000"/>
          <w:lang w:val="pt-PT"/>
        </w:rPr>
        <w:t xml:space="preserve"> baixa qualidade de vida</w:t>
      </w:r>
      <w:r w:rsidR="00B07310" w:rsidRPr="00217EBD">
        <w:rPr>
          <w:rFonts w:ascii="Calibri" w:hAnsi="Calibri" w:cs="Calibri"/>
          <w:color w:val="000000"/>
          <w:lang w:val="pt-PT"/>
        </w:rPr>
        <w:t xml:space="preserve"> relacionada com a saúde</w:t>
      </w:r>
      <w:r w:rsidR="00420FD6" w:rsidRPr="00217EBD">
        <w:rPr>
          <w:rFonts w:ascii="Calibri" w:hAnsi="Calibri" w:cs="Calibri"/>
          <w:color w:val="000000"/>
          <w:lang w:val="pt-PT"/>
        </w:rPr>
        <w:t xml:space="preserve">. </w:t>
      </w:r>
    </w:p>
    <w:p w:rsidR="00B07310" w:rsidRPr="00217EBD" w:rsidRDefault="00B07310" w:rsidP="00420FD6">
      <w:pPr>
        <w:pStyle w:val="NormalWeb"/>
        <w:spacing w:before="0" w:beforeAutospacing="0" w:after="0" w:afterAutospacing="0" w:line="360" w:lineRule="auto"/>
        <w:jc w:val="both"/>
        <w:rPr>
          <w:rFonts w:ascii="Calibri" w:hAnsi="Calibri" w:cs="Calibri"/>
          <w:b/>
          <w:bCs/>
          <w:color w:val="000000"/>
          <w:lang w:val="pt-PT"/>
        </w:rPr>
      </w:pPr>
    </w:p>
    <w:p w:rsidR="00420FD6" w:rsidRPr="00217EBD" w:rsidRDefault="00420FD6" w:rsidP="00420FD6">
      <w:pPr>
        <w:spacing w:line="360" w:lineRule="auto"/>
        <w:rPr>
          <w:rFonts w:cstheme="minorHAnsi"/>
          <w:b/>
          <w:color w:val="FF0000"/>
          <w:lang w:val="en-GB"/>
        </w:rPr>
      </w:pPr>
      <w:r w:rsidRPr="00217EBD">
        <w:rPr>
          <w:rFonts w:cstheme="minorHAnsi"/>
          <w:b/>
          <w:lang w:val="en-GB"/>
        </w:rPr>
        <w:t xml:space="preserve">ABSTRACT </w:t>
      </w:r>
    </w:p>
    <w:p w:rsidR="00420FD6" w:rsidRPr="00217EBD" w:rsidRDefault="00420FD6" w:rsidP="00420FD6">
      <w:pPr>
        <w:spacing w:line="360" w:lineRule="auto"/>
        <w:rPr>
          <w:rFonts w:cstheme="minorHAnsi"/>
          <w:lang w:val="en-GB"/>
        </w:rPr>
      </w:pPr>
      <w:r w:rsidRPr="00217EBD">
        <w:rPr>
          <w:rFonts w:cstheme="minorHAnsi"/>
          <w:lang w:val="en-GB"/>
        </w:rPr>
        <w:t>INTRODUCTION:</w:t>
      </w:r>
    </w:p>
    <w:p w:rsidR="00420FD6" w:rsidRPr="00217EBD" w:rsidRDefault="00420FD6" w:rsidP="00420FD6">
      <w:pPr>
        <w:spacing w:line="360" w:lineRule="auto"/>
        <w:jc w:val="both"/>
        <w:rPr>
          <w:rFonts w:cstheme="minorHAnsi"/>
          <w:lang w:val="en-GB"/>
        </w:rPr>
      </w:pPr>
      <w:r w:rsidRPr="00217EBD">
        <w:rPr>
          <w:rFonts w:cstheme="minorHAnsi"/>
          <w:lang w:val="en-GB"/>
        </w:rPr>
        <w:t xml:space="preserve">Clinical outcomes in rheumatoid arthritis have greatly improved with therapeutic advances. Despite intense trial observations, there is a lack of real life data.  The aim of this study was to assess disease status and quality of life in an outpatient population treated with biotechnological disease-modifying anti-rheumatic drugs. </w:t>
      </w:r>
    </w:p>
    <w:p w:rsidR="00420FD6" w:rsidRPr="00217EBD" w:rsidRDefault="00420FD6" w:rsidP="00420FD6">
      <w:pPr>
        <w:spacing w:line="360" w:lineRule="auto"/>
        <w:rPr>
          <w:rFonts w:cstheme="minorHAnsi"/>
          <w:lang w:val="en-GB"/>
        </w:rPr>
      </w:pPr>
      <w:r w:rsidRPr="00217EBD">
        <w:rPr>
          <w:rFonts w:cstheme="minorHAnsi"/>
          <w:lang w:val="en-GB"/>
        </w:rPr>
        <w:t>METHODS:</w:t>
      </w:r>
    </w:p>
    <w:p w:rsidR="00420FD6" w:rsidRPr="00217EBD" w:rsidRDefault="00174FA5" w:rsidP="00420FD6">
      <w:pPr>
        <w:spacing w:line="360" w:lineRule="auto"/>
        <w:jc w:val="both"/>
        <w:rPr>
          <w:rFonts w:cstheme="minorHAnsi"/>
          <w:lang w:val="en-GB"/>
        </w:rPr>
      </w:pPr>
      <w:r>
        <w:rPr>
          <w:rFonts w:cstheme="minorHAnsi"/>
          <w:color w:val="000000" w:themeColor="text1"/>
        </w:rPr>
        <w:t>C</w:t>
      </w:r>
      <w:r w:rsidR="00420FD6" w:rsidRPr="00217EBD">
        <w:rPr>
          <w:rFonts w:cstheme="minorHAnsi"/>
          <w:color w:val="000000" w:themeColor="text1"/>
        </w:rPr>
        <w:t xml:space="preserve">ross-sectional </w:t>
      </w:r>
      <w:r w:rsidR="0033716B" w:rsidRPr="00217EBD">
        <w:rPr>
          <w:rFonts w:cstheme="minorHAnsi"/>
          <w:color w:val="000000" w:themeColor="text1"/>
        </w:rPr>
        <w:t xml:space="preserve">cohort </w:t>
      </w:r>
      <w:r w:rsidR="00420FD6" w:rsidRPr="00217EBD">
        <w:rPr>
          <w:rFonts w:cstheme="minorHAnsi"/>
          <w:lang w:val="en-GB"/>
        </w:rPr>
        <w:t xml:space="preserve">study recalling all patients ever treated in our unit with biotechnological disease-modifying anti-rheumatic drugs. Clinical and demographic data, compliance, disease activity, functional status, joint deformities, and comorbidities </w:t>
      </w:r>
      <w:proofErr w:type="gramStart"/>
      <w:r w:rsidR="00420FD6" w:rsidRPr="00217EBD">
        <w:rPr>
          <w:rFonts w:cstheme="minorHAnsi"/>
          <w:lang w:val="en-GB"/>
        </w:rPr>
        <w:t>were documented</w:t>
      </w:r>
      <w:proofErr w:type="gramEnd"/>
      <w:r w:rsidR="00420FD6" w:rsidRPr="00217EBD">
        <w:rPr>
          <w:rFonts w:cstheme="minorHAnsi"/>
          <w:lang w:val="en-GB"/>
        </w:rPr>
        <w:t xml:space="preserve">, and patients queried on occupational status, education, marital status and </w:t>
      </w:r>
      <w:r w:rsidR="00420FD6" w:rsidRPr="00217EBD">
        <w:rPr>
          <w:rFonts w:cstheme="minorHAnsi"/>
          <w:color w:val="000000" w:themeColor="text1"/>
        </w:rPr>
        <w:t>generic Health Related Quality of Life questionnaires</w:t>
      </w:r>
      <w:r w:rsidR="00420FD6" w:rsidRPr="00217EBD">
        <w:rPr>
          <w:rFonts w:cstheme="minorHAnsi"/>
          <w:lang w:val="en-GB"/>
        </w:rPr>
        <w:t>.</w:t>
      </w:r>
    </w:p>
    <w:p w:rsidR="00420FD6" w:rsidRPr="00217EBD" w:rsidRDefault="00420FD6" w:rsidP="00420FD6">
      <w:pPr>
        <w:spacing w:line="360" w:lineRule="auto"/>
        <w:rPr>
          <w:rFonts w:cstheme="minorHAnsi"/>
          <w:lang w:val="en-GB"/>
        </w:rPr>
      </w:pPr>
      <w:r w:rsidRPr="00217EBD">
        <w:rPr>
          <w:rFonts w:cstheme="minorHAnsi"/>
          <w:lang w:val="en-GB"/>
        </w:rPr>
        <w:t>RESULTS:</w:t>
      </w:r>
    </w:p>
    <w:p w:rsidR="00420FD6" w:rsidRPr="00217EBD" w:rsidRDefault="00420FD6" w:rsidP="00420FD6">
      <w:pPr>
        <w:spacing w:line="360" w:lineRule="auto"/>
        <w:jc w:val="both"/>
        <w:rPr>
          <w:rFonts w:cstheme="minorHAnsi"/>
        </w:rPr>
      </w:pPr>
      <w:proofErr w:type="gramStart"/>
      <w:r w:rsidRPr="00217EBD">
        <w:rPr>
          <w:rFonts w:cstheme="minorHAnsi"/>
          <w:lang w:val="en-GB"/>
        </w:rPr>
        <w:t>Recall was attended by 77 of the original 94 patients</w:t>
      </w:r>
      <w:proofErr w:type="gramEnd"/>
      <w:r w:rsidRPr="00217EBD">
        <w:rPr>
          <w:rFonts w:cstheme="minorHAnsi"/>
          <w:lang w:val="en-GB"/>
        </w:rPr>
        <w:t xml:space="preserve">. At recall, median age was 63, 82% female and </w:t>
      </w:r>
      <w:r w:rsidR="001C67BA">
        <w:rPr>
          <w:rFonts w:cstheme="minorHAnsi"/>
          <w:lang w:val="en-GB"/>
        </w:rPr>
        <w:t xml:space="preserve">the </w:t>
      </w:r>
      <w:r w:rsidRPr="00217EBD">
        <w:rPr>
          <w:rFonts w:cstheme="minorHAnsi"/>
          <w:lang w:val="en-GB"/>
        </w:rPr>
        <w:t xml:space="preserve">median disease duration was 12 years. Biological therapy was started a median 4 years following disease onset. According to the Disease Activity Score (DAS28), the </w:t>
      </w:r>
      <w:proofErr w:type="gramStart"/>
      <w:r w:rsidR="004C40BB">
        <w:rPr>
          <w:rFonts w:cstheme="minorHAnsi"/>
          <w:lang w:val="en-GB"/>
        </w:rPr>
        <w:t>%</w:t>
      </w:r>
      <w:proofErr w:type="gramEnd"/>
      <w:r w:rsidR="00BE7D3E" w:rsidRPr="00217EBD">
        <w:rPr>
          <w:rFonts w:cstheme="minorHAnsi"/>
          <w:lang w:val="en-GB"/>
        </w:rPr>
        <w:t xml:space="preserve"> </w:t>
      </w:r>
      <w:r w:rsidRPr="00217EBD">
        <w:rPr>
          <w:rFonts w:cstheme="minorHAnsi"/>
          <w:lang w:val="en-GB"/>
        </w:rPr>
        <w:t xml:space="preserve">of patients with high, moderate, low disease activity or remission changed from 50, 45, 0 and 5 </w:t>
      </w:r>
      <w:r w:rsidR="004C40BB">
        <w:rPr>
          <w:rFonts w:cstheme="minorHAnsi"/>
          <w:lang w:val="en-GB"/>
        </w:rPr>
        <w:t>(</w:t>
      </w:r>
      <w:r w:rsidRPr="00217EBD">
        <w:rPr>
          <w:rFonts w:cstheme="minorHAnsi"/>
          <w:lang w:val="en-GB"/>
        </w:rPr>
        <w:t>pre-therapy</w:t>
      </w:r>
      <w:r w:rsidR="004C40BB">
        <w:rPr>
          <w:rFonts w:cstheme="minorHAnsi"/>
          <w:lang w:val="en-GB"/>
        </w:rPr>
        <w:t>)</w:t>
      </w:r>
      <w:r w:rsidRPr="00217EBD">
        <w:rPr>
          <w:rFonts w:cstheme="minorHAnsi"/>
          <w:lang w:val="en-GB"/>
        </w:rPr>
        <w:t xml:space="preserve"> to 11, 37, 25 and 26 at recall, respectively; functional status was significantly improved. </w:t>
      </w:r>
      <w:r w:rsidR="00125635" w:rsidRPr="00217EBD">
        <w:rPr>
          <w:rFonts w:cstheme="minorHAnsi"/>
          <w:lang w:val="en-GB"/>
        </w:rPr>
        <w:t xml:space="preserve">Seventy-five </w:t>
      </w:r>
      <w:r w:rsidR="00280BB6">
        <w:rPr>
          <w:rFonts w:cstheme="minorHAnsi"/>
          <w:lang w:val="en-GB"/>
        </w:rPr>
        <w:t>%</w:t>
      </w:r>
      <w:r w:rsidR="00125635" w:rsidRPr="00217EBD">
        <w:rPr>
          <w:rFonts w:cstheme="minorHAnsi"/>
          <w:lang w:val="en-GB"/>
        </w:rPr>
        <w:t xml:space="preserve"> of patients</w:t>
      </w:r>
      <w:r w:rsidRPr="00217EBD">
        <w:rPr>
          <w:rFonts w:cstheme="minorHAnsi"/>
          <w:lang w:val="en-GB"/>
        </w:rPr>
        <w:t xml:space="preserve"> retained the original treatment with good compliance. </w:t>
      </w:r>
      <w:r w:rsidRPr="00217EBD">
        <w:rPr>
          <w:rFonts w:cstheme="minorHAnsi"/>
        </w:rPr>
        <w:t xml:space="preserve">Lower </w:t>
      </w:r>
      <w:r w:rsidRPr="00217EBD">
        <w:rPr>
          <w:rFonts w:cstheme="minorHAnsi"/>
          <w:lang w:val="en-GB"/>
        </w:rPr>
        <w:t xml:space="preserve">Short Form-36 </w:t>
      </w:r>
      <w:r w:rsidRPr="00217EBD">
        <w:rPr>
          <w:rFonts w:cstheme="minorHAnsi"/>
        </w:rPr>
        <w:t xml:space="preserve">domain </w:t>
      </w:r>
      <w:r w:rsidRPr="00217EBD">
        <w:rPr>
          <w:rFonts w:cstheme="minorHAnsi"/>
          <w:lang w:val="en-GB"/>
        </w:rPr>
        <w:t xml:space="preserve">scores accompanied a low </w:t>
      </w:r>
      <w:r w:rsidRPr="00217EBD">
        <w:rPr>
          <w:rFonts w:cstheme="minorHAnsi"/>
        </w:rPr>
        <w:t>EQ-5D-3L score. Deceased patients (n=6) had a lower estimated 10-year survival rate</w:t>
      </w:r>
      <w:r w:rsidR="00280BB6">
        <w:rPr>
          <w:rFonts w:cstheme="minorHAnsi"/>
        </w:rPr>
        <w:t>.</w:t>
      </w:r>
      <w:r w:rsidR="001D42F8" w:rsidRPr="00217EBD">
        <w:rPr>
          <w:rFonts w:cstheme="minorHAnsi"/>
        </w:rPr>
        <w:t xml:space="preserve"> In this group, biological therapy </w:t>
      </w:r>
      <w:proofErr w:type="gramStart"/>
      <w:r w:rsidR="001D42F8" w:rsidRPr="00217EBD">
        <w:rPr>
          <w:rFonts w:cstheme="minorHAnsi"/>
        </w:rPr>
        <w:t>was discontinued</w:t>
      </w:r>
      <w:proofErr w:type="gramEnd"/>
      <w:r w:rsidR="001D42F8" w:rsidRPr="00217EBD">
        <w:rPr>
          <w:rFonts w:cstheme="minorHAnsi"/>
        </w:rPr>
        <w:t xml:space="preserve"> at a higher frequency during follow-up</w:t>
      </w:r>
      <w:r w:rsidRPr="00217EBD">
        <w:rPr>
          <w:rFonts w:cstheme="minorHAnsi"/>
        </w:rPr>
        <w:t xml:space="preserve">. </w:t>
      </w:r>
    </w:p>
    <w:p w:rsidR="00420FD6" w:rsidRPr="00217EBD" w:rsidRDefault="00420FD6" w:rsidP="00420FD6">
      <w:pPr>
        <w:spacing w:line="360" w:lineRule="auto"/>
        <w:rPr>
          <w:rFonts w:cstheme="minorHAnsi"/>
          <w:lang w:val="en-GB"/>
        </w:rPr>
      </w:pPr>
      <w:r w:rsidRPr="00217EBD">
        <w:rPr>
          <w:rFonts w:cstheme="minorHAnsi"/>
          <w:lang w:val="en-GB"/>
        </w:rPr>
        <w:t>CONCLUSIONS:</w:t>
      </w:r>
    </w:p>
    <w:p w:rsidR="00420FD6" w:rsidRPr="003F153A" w:rsidRDefault="00420FD6" w:rsidP="00420FD6">
      <w:pPr>
        <w:spacing w:line="360" w:lineRule="auto"/>
        <w:jc w:val="both"/>
        <w:rPr>
          <w:rFonts w:cstheme="minorHAnsi"/>
          <w:lang w:val="en-GB"/>
        </w:rPr>
      </w:pPr>
      <w:r w:rsidRPr="00217EBD">
        <w:rPr>
          <w:rFonts w:cstheme="minorHAnsi"/>
        </w:rPr>
        <w:t>In spite of</w:t>
      </w:r>
      <w:r w:rsidRPr="00217EBD">
        <w:rPr>
          <w:rFonts w:cstheme="minorHAnsi"/>
          <w:lang w:val="en-GB"/>
        </w:rPr>
        <w:t xml:space="preserve"> therapy switches and regular follow-up, a significant </w:t>
      </w:r>
      <w:proofErr w:type="gramStart"/>
      <w:r w:rsidR="00280BB6">
        <w:rPr>
          <w:rFonts w:cstheme="minorHAnsi"/>
          <w:lang w:val="en-GB"/>
        </w:rPr>
        <w:t>%</w:t>
      </w:r>
      <w:proofErr w:type="gramEnd"/>
      <w:r w:rsidR="003F153A" w:rsidRPr="003F153A">
        <w:rPr>
          <w:rFonts w:cstheme="minorHAnsi"/>
          <w:lang w:val="en-GB"/>
        </w:rPr>
        <w:t xml:space="preserve"> </w:t>
      </w:r>
      <w:r w:rsidRPr="003F153A">
        <w:rPr>
          <w:rFonts w:cstheme="minorHAnsi"/>
          <w:lang w:val="en-GB"/>
        </w:rPr>
        <w:t>of patients still presented with moderate disease activity, functional impairment and a poor Health-related Quality of Life.</w:t>
      </w:r>
    </w:p>
    <w:p w:rsidR="00420FD6" w:rsidRPr="00217EBD" w:rsidRDefault="00420FD6" w:rsidP="00420FD6">
      <w:pPr>
        <w:spacing w:line="360" w:lineRule="auto"/>
        <w:jc w:val="both"/>
        <w:rPr>
          <w:rFonts w:cstheme="minorHAnsi"/>
          <w:lang w:val="en-GB"/>
        </w:rPr>
      </w:pPr>
    </w:p>
    <w:p w:rsidR="00420FD6" w:rsidRPr="00217EBD" w:rsidRDefault="00420FD6" w:rsidP="00420FD6">
      <w:r w:rsidRPr="00217EBD">
        <w:rPr>
          <w:rFonts w:cstheme="minorHAnsi"/>
          <w:b/>
          <w:lang w:val="en-GB"/>
        </w:rPr>
        <w:t>KEYWORDS</w:t>
      </w:r>
      <w:r w:rsidRPr="00217EBD">
        <w:rPr>
          <w:rFonts w:cstheme="minorHAnsi"/>
          <w:b/>
          <w:color w:val="000000" w:themeColor="text1"/>
          <w:lang w:val="en-GB"/>
        </w:rPr>
        <w:t>:</w:t>
      </w:r>
      <w:r w:rsidRPr="00217EBD">
        <w:rPr>
          <w:rFonts w:cstheme="minorHAnsi"/>
          <w:lang w:val="en-GB"/>
        </w:rPr>
        <w:t xml:space="preserve"> Rheu</w:t>
      </w:r>
      <w:r w:rsidRPr="00217EBD">
        <w:rPr>
          <w:rFonts w:cstheme="minorHAnsi"/>
        </w:rPr>
        <w:t xml:space="preserve">matoid Arthritis, </w:t>
      </w:r>
      <w:r w:rsidRPr="00217EBD">
        <w:rPr>
          <w:rFonts w:cstheme="minorHAnsi"/>
          <w:lang w:val="en-GB"/>
        </w:rPr>
        <w:t>Health-related Quality of Life</w:t>
      </w:r>
      <w:r w:rsidRPr="00217EBD">
        <w:rPr>
          <w:rFonts w:cstheme="minorHAnsi"/>
        </w:rPr>
        <w:t>, Biotechnological Therapy</w:t>
      </w:r>
    </w:p>
    <w:p w:rsidR="00420FD6" w:rsidRPr="00217EBD" w:rsidRDefault="00420FD6">
      <w:pPr>
        <w:spacing w:after="160" w:line="259" w:lineRule="auto"/>
      </w:pPr>
      <w:r w:rsidRPr="00217EBD">
        <w:br w:type="page"/>
      </w:r>
    </w:p>
    <w:p w:rsidR="00420FD6" w:rsidRPr="00217EBD" w:rsidRDefault="00420FD6" w:rsidP="00420FD6">
      <w:pPr>
        <w:spacing w:line="360" w:lineRule="auto"/>
        <w:rPr>
          <w:rFonts w:cstheme="minorHAnsi"/>
          <w:b/>
          <w:lang w:val="en-GB"/>
        </w:rPr>
      </w:pPr>
      <w:r w:rsidRPr="00217EBD">
        <w:rPr>
          <w:rFonts w:cstheme="minorHAnsi"/>
          <w:b/>
          <w:lang w:val="en-GB"/>
        </w:rPr>
        <w:lastRenderedPageBreak/>
        <w:t xml:space="preserve">INTRODUCTION </w:t>
      </w:r>
    </w:p>
    <w:p w:rsidR="00420FD6" w:rsidRPr="00217EBD" w:rsidRDefault="00420FD6" w:rsidP="00420FD6">
      <w:pPr>
        <w:spacing w:line="360" w:lineRule="auto"/>
        <w:ind w:firstLine="708"/>
        <w:jc w:val="both"/>
        <w:rPr>
          <w:rFonts w:cstheme="minorHAnsi"/>
        </w:rPr>
      </w:pPr>
      <w:r w:rsidRPr="00217EBD">
        <w:rPr>
          <w:rFonts w:cstheme="minorHAnsi"/>
        </w:rPr>
        <w:t xml:space="preserve">Rheumatoid Arthritis (RA) is a chronic systemic autoimmune disease predominantly characterized by chronic inflammation of synovial joints. </w:t>
      </w:r>
      <w:proofErr w:type="gramStart"/>
      <w:r w:rsidRPr="00217EBD">
        <w:rPr>
          <w:rFonts w:cstheme="minorHAnsi"/>
        </w:rPr>
        <w:t>Without appropriate therapy the disease almost inevitably leads to severe joint deformities, particularly of the hands, chronic pain and suffering, disability, inability to work, poor quality of life and early mortality.</w:t>
      </w:r>
      <w:r w:rsidRPr="00217EBD">
        <w:rPr>
          <w:rFonts w:cstheme="minorHAnsi"/>
          <w:b/>
          <w:noProof/>
          <w:vertAlign w:val="superscript"/>
        </w:rPr>
        <w:t>1</w:t>
      </w:r>
      <w:r w:rsidRPr="00217EBD">
        <w:rPr>
          <w:rFonts w:cstheme="minorHAnsi"/>
        </w:rPr>
        <w:t xml:space="preserve"> Chronic glucocorticoids and non-steroidal anti-inflammatory drugs used from the 1950´s failed to control disease and had too many associated side-effects, often life-threatening.</w:t>
      </w:r>
      <w:r w:rsidRPr="00217EBD">
        <w:rPr>
          <w:rFonts w:cstheme="minorHAnsi"/>
          <w:b/>
          <w:noProof/>
          <w:vertAlign w:val="superscript"/>
        </w:rPr>
        <w:t>2</w:t>
      </w:r>
      <w:r w:rsidRPr="00217EBD">
        <w:rPr>
          <w:rFonts w:cstheme="minorHAnsi"/>
        </w:rPr>
        <w:t xml:space="preserve"> The era of innovative medicine occurred in the late 1990’s with the focus shifted to a treat to target–based approach, with new treatment paradigms, including early diagnosis and an intensive management approach.</w:t>
      </w:r>
      <w:proofErr w:type="gramEnd"/>
      <w:r w:rsidRPr="00217EBD">
        <w:rPr>
          <w:rFonts w:cstheme="minorHAnsi"/>
        </w:rPr>
        <w:t xml:space="preserve"> </w:t>
      </w:r>
      <w:proofErr w:type="gramStart"/>
      <w:r w:rsidRPr="00217EBD">
        <w:rPr>
          <w:rFonts w:cstheme="minorHAnsi"/>
        </w:rPr>
        <w:t>This was made possible through the use of biotechnological disease-modifying anti-rheumatic drugs (bDMARD) in addition or as an alternative to synthetic disease-modifying anti-rheumatic drugs (</w:t>
      </w:r>
      <w:proofErr w:type="spellStart"/>
      <w:r w:rsidRPr="00217EBD">
        <w:rPr>
          <w:rFonts w:cstheme="minorHAnsi"/>
        </w:rPr>
        <w:t>sDMARD</w:t>
      </w:r>
      <w:proofErr w:type="spellEnd"/>
      <w:r w:rsidRPr="00217EBD">
        <w:rPr>
          <w:rFonts w:cstheme="minorHAnsi"/>
        </w:rPr>
        <w:t>).</w:t>
      </w:r>
      <w:r w:rsidRPr="00217EBD">
        <w:rPr>
          <w:rFonts w:cstheme="minorHAnsi"/>
          <w:b/>
          <w:noProof/>
          <w:vertAlign w:val="superscript"/>
        </w:rPr>
        <w:t>3,4,5</w:t>
      </w:r>
      <w:r w:rsidRPr="00217EBD">
        <w:rPr>
          <w:rFonts w:cstheme="minorHAnsi"/>
        </w:rPr>
        <w:t xml:space="preserve"> The first biological therapies to be developed in rheumatology were the tumor necrosis factor inhibitors (</w:t>
      </w:r>
      <w:proofErr w:type="spellStart"/>
      <w:r w:rsidRPr="00217EBD">
        <w:rPr>
          <w:rFonts w:cstheme="minorHAnsi"/>
        </w:rPr>
        <w:t>TNFi</w:t>
      </w:r>
      <w:proofErr w:type="spellEnd"/>
      <w:r w:rsidRPr="00217EBD">
        <w:rPr>
          <w:rFonts w:cstheme="minorHAnsi"/>
        </w:rPr>
        <w:t>) for patients who failed treatment with sDMARDs.</w:t>
      </w:r>
      <w:r w:rsidRPr="00217EBD">
        <w:rPr>
          <w:rFonts w:cstheme="minorHAnsi"/>
          <w:b/>
          <w:noProof/>
          <w:vertAlign w:val="superscript"/>
        </w:rPr>
        <w:t>4,6</w:t>
      </w:r>
      <w:r w:rsidRPr="00217EBD">
        <w:rPr>
          <w:rFonts w:cstheme="minorHAnsi"/>
        </w:rPr>
        <w:t xml:space="preserve"> Most importantly, the therapeutic judgment has to take into account co-morbidities (such as heart failure and infectious risk), past history of neoplasia and ideally identify those with a high risk of relapse.</w:t>
      </w:r>
      <w:r w:rsidRPr="00217EBD">
        <w:rPr>
          <w:rFonts w:cstheme="minorHAnsi"/>
          <w:b/>
          <w:noProof/>
          <w:vertAlign w:val="superscript"/>
        </w:rPr>
        <w:t>6</w:t>
      </w:r>
      <w:r w:rsidRPr="00217EBD">
        <w:rPr>
          <w:rFonts w:cstheme="minorHAnsi"/>
        </w:rPr>
        <w:t xml:space="preserve"> Currently there is a much wider therapeutic armamentarium ranging from membrane receptor agonists or antagonists (Fc-CTLA4, CD20), anti-cytokine (Il-6, IL-17) to JAK kinase inhibitors.</w:t>
      </w:r>
      <w:r w:rsidRPr="00217EBD">
        <w:rPr>
          <w:rFonts w:cstheme="minorHAnsi"/>
          <w:b/>
          <w:noProof/>
          <w:vertAlign w:val="superscript"/>
        </w:rPr>
        <w:t>7</w:t>
      </w:r>
      <w:proofErr w:type="gramEnd"/>
      <w:r w:rsidRPr="00217EBD">
        <w:rPr>
          <w:rFonts w:cstheme="minorHAnsi"/>
          <w:b/>
        </w:rPr>
        <w:t xml:space="preserve"> </w:t>
      </w:r>
    </w:p>
    <w:p w:rsidR="00420FD6" w:rsidRPr="00217EBD" w:rsidRDefault="00420FD6" w:rsidP="00420FD6">
      <w:pPr>
        <w:spacing w:line="360" w:lineRule="auto"/>
        <w:ind w:firstLine="708"/>
        <w:jc w:val="both"/>
        <w:rPr>
          <w:rFonts w:cstheme="minorHAnsi"/>
        </w:rPr>
      </w:pPr>
      <w:r w:rsidRPr="00217EBD">
        <w:rPr>
          <w:rFonts w:cstheme="minorHAnsi"/>
        </w:rPr>
        <w:t xml:space="preserve">Despite </w:t>
      </w:r>
      <w:proofErr w:type="gramStart"/>
      <w:r w:rsidRPr="00217EBD">
        <w:rPr>
          <w:rFonts w:cstheme="minorHAnsi"/>
        </w:rPr>
        <w:t>advances</w:t>
      </w:r>
      <w:proofErr w:type="gramEnd"/>
      <w:r w:rsidRPr="00217EBD">
        <w:rPr>
          <w:rFonts w:cstheme="minorHAnsi"/>
        </w:rPr>
        <w:t xml:space="preserve"> there are still no easily assessable bio-markers to establish a personalized treatment approach at the time of disease onset or diagnosis. Similarly, during follow-up most therapeutic decisions frequently remain empirical. This is the case when tentatively adapting the chosen therapy to a personalized optimal dose and regimen, but also when prescribing co-therapies or switching to other bDMARD when the treatment is inefficient, or associated with intolerance or adverse events.</w:t>
      </w:r>
      <w:r w:rsidRPr="00217EBD">
        <w:rPr>
          <w:rFonts w:cstheme="minorHAnsi"/>
          <w:noProof/>
        </w:rPr>
        <w:t xml:space="preserve"> </w:t>
      </w:r>
      <w:r w:rsidRPr="00217EBD">
        <w:rPr>
          <w:rFonts w:cstheme="minorHAnsi"/>
        </w:rPr>
        <w:t xml:space="preserve">Furthermore, therapies may be ineffective (wrong target) or become neutralized due to their immunogenicity. Of note, in Portugal, these therapies are entirely state subsidized and are associated with a significant societal cost. </w:t>
      </w:r>
    </w:p>
    <w:p w:rsidR="00420FD6" w:rsidRPr="00217EBD" w:rsidRDefault="00420FD6" w:rsidP="00420FD6">
      <w:pPr>
        <w:spacing w:line="360" w:lineRule="auto"/>
        <w:ind w:firstLine="708"/>
        <w:jc w:val="both"/>
        <w:rPr>
          <w:rFonts w:cstheme="minorHAnsi"/>
        </w:rPr>
      </w:pPr>
      <w:r w:rsidRPr="00217EBD">
        <w:rPr>
          <w:rFonts w:cstheme="minorHAnsi"/>
        </w:rPr>
        <w:t>Clinical assessment of disease activity, progression and remission are robust and quantitative</w:t>
      </w:r>
      <w:proofErr w:type="gramStart"/>
      <w:r w:rsidRPr="00217EBD">
        <w:rPr>
          <w:rFonts w:cstheme="minorHAnsi"/>
        </w:rPr>
        <w:t>,</w:t>
      </w:r>
      <w:r w:rsidR="000B2A0C">
        <w:rPr>
          <w:rFonts w:cstheme="minorHAnsi"/>
          <w:vertAlign w:val="superscript"/>
        </w:rPr>
        <w:t>8</w:t>
      </w:r>
      <w:proofErr w:type="gramEnd"/>
      <w:r w:rsidR="00F24F2E">
        <w:rPr>
          <w:rFonts w:cstheme="minorHAnsi"/>
          <w:vertAlign w:val="superscript"/>
        </w:rPr>
        <w:t xml:space="preserve"> </w:t>
      </w:r>
      <w:r w:rsidRPr="00217EBD">
        <w:rPr>
          <w:rFonts w:cstheme="minorHAnsi"/>
        </w:rPr>
        <w:t xml:space="preserve">as are indicators of </w:t>
      </w:r>
      <w:r w:rsidR="001F2D18">
        <w:rPr>
          <w:rFonts w:cstheme="minorHAnsi"/>
        </w:rPr>
        <w:t xml:space="preserve">a </w:t>
      </w:r>
      <w:r w:rsidRPr="00217EBD">
        <w:rPr>
          <w:rFonts w:cstheme="minorHAnsi"/>
        </w:rPr>
        <w:t xml:space="preserve">patient’s quality of life. In this </w:t>
      </w:r>
      <w:proofErr w:type="gramStart"/>
      <w:r w:rsidRPr="00217EBD">
        <w:rPr>
          <w:rFonts w:cstheme="minorHAnsi"/>
        </w:rPr>
        <w:t>work</w:t>
      </w:r>
      <w:proofErr w:type="gramEnd"/>
      <w:r w:rsidRPr="00217EBD">
        <w:rPr>
          <w:rFonts w:cstheme="minorHAnsi"/>
        </w:rPr>
        <w:t xml:space="preserve"> we aimed to study every single patient with RA that ever received biological therapy in our Unit and answer some very simple questions that nevertheless remain at the core of the major </w:t>
      </w:r>
      <w:r w:rsidRPr="00217EBD">
        <w:rPr>
          <w:rFonts w:cstheme="minorHAnsi"/>
        </w:rPr>
        <w:lastRenderedPageBreak/>
        <w:t xml:space="preserve">investment for these patients. Are our patients free of deformities? Are they able to work and do they lead productive lives? Have they retained their original therapies? Was a switch required? Was therapy interrupted and for what reason? Have they suffered important </w:t>
      </w:r>
      <w:proofErr w:type="gramStart"/>
      <w:r w:rsidRPr="00217EBD">
        <w:rPr>
          <w:rFonts w:cstheme="minorHAnsi"/>
        </w:rPr>
        <w:t>side-effects</w:t>
      </w:r>
      <w:proofErr w:type="gramEnd"/>
      <w:r w:rsidRPr="00217EBD">
        <w:rPr>
          <w:rFonts w:cstheme="minorHAnsi"/>
        </w:rPr>
        <w:t xml:space="preserve">? Do they suffer from important co-morbidities? Have we lost patients to follow-up? Are they alive? </w:t>
      </w:r>
    </w:p>
    <w:p w:rsidR="00420FD6" w:rsidRPr="00217EBD" w:rsidRDefault="00420FD6" w:rsidP="00420FD6">
      <w:pPr>
        <w:spacing w:line="360" w:lineRule="auto"/>
        <w:ind w:firstLine="708"/>
        <w:jc w:val="both"/>
        <w:rPr>
          <w:rFonts w:cstheme="minorHAnsi"/>
        </w:rPr>
      </w:pPr>
    </w:p>
    <w:p w:rsidR="00420FD6" w:rsidRPr="00217EBD" w:rsidRDefault="00420FD6" w:rsidP="00420FD6">
      <w:pPr>
        <w:spacing w:line="360" w:lineRule="auto"/>
        <w:jc w:val="both"/>
        <w:rPr>
          <w:rFonts w:cstheme="minorHAnsi"/>
          <w:b/>
        </w:rPr>
      </w:pPr>
      <w:r w:rsidRPr="00217EBD">
        <w:rPr>
          <w:rFonts w:cstheme="minorHAnsi"/>
          <w:b/>
        </w:rPr>
        <w:t xml:space="preserve">MATERIALS AND METHODS </w:t>
      </w:r>
    </w:p>
    <w:p w:rsidR="00420FD6" w:rsidRPr="00217EBD" w:rsidRDefault="00420FD6" w:rsidP="00420FD6">
      <w:pPr>
        <w:spacing w:line="360" w:lineRule="auto"/>
        <w:jc w:val="both"/>
        <w:rPr>
          <w:rFonts w:cstheme="minorHAnsi"/>
          <w:b/>
        </w:rPr>
      </w:pPr>
      <w:r w:rsidRPr="00217EBD">
        <w:rPr>
          <w:rFonts w:cstheme="minorHAnsi"/>
          <w:b/>
        </w:rPr>
        <w:t>1. STUDY DESIGN AND POPULATION</w:t>
      </w:r>
    </w:p>
    <w:p w:rsidR="00420FD6" w:rsidRPr="003F153A" w:rsidRDefault="00420FD6" w:rsidP="00420FD6">
      <w:pPr>
        <w:spacing w:line="360" w:lineRule="auto"/>
        <w:ind w:firstLine="708"/>
        <w:jc w:val="both"/>
        <w:rPr>
          <w:rFonts w:cstheme="minorHAnsi"/>
          <w:color w:val="000000" w:themeColor="text1"/>
        </w:rPr>
      </w:pPr>
      <w:r w:rsidRPr="00217EBD">
        <w:rPr>
          <w:rFonts w:cstheme="minorHAnsi"/>
          <w:color w:val="000000" w:themeColor="text1"/>
        </w:rPr>
        <w:t xml:space="preserve">This </w:t>
      </w:r>
      <w:proofErr w:type="gramStart"/>
      <w:r w:rsidRPr="00217EBD">
        <w:rPr>
          <w:rFonts w:cstheme="minorHAnsi"/>
          <w:color w:val="000000" w:themeColor="text1"/>
        </w:rPr>
        <w:t>is a cross-sectional study that</w:t>
      </w:r>
      <w:proofErr w:type="gramEnd"/>
      <w:r w:rsidRPr="00217EBD">
        <w:rPr>
          <w:rFonts w:cstheme="minorHAnsi"/>
          <w:color w:val="000000" w:themeColor="text1"/>
        </w:rPr>
        <w:t xml:space="preserve"> took place in an outpatient care setting between December 2017 and May 2018. We only included patients that were on biological therapy for at least three months. </w:t>
      </w:r>
      <w:proofErr w:type="gramStart"/>
      <w:r w:rsidRPr="00217EBD">
        <w:rPr>
          <w:rFonts w:cstheme="minorHAnsi"/>
          <w:color w:val="000000" w:themeColor="text1"/>
        </w:rPr>
        <w:t xml:space="preserve">All fulfilled </w:t>
      </w:r>
      <w:r w:rsidRPr="00217EBD">
        <w:rPr>
          <w:rFonts w:cstheme="minorHAnsi"/>
        </w:rPr>
        <w:t xml:space="preserve">the American College of Rheumatology </w:t>
      </w:r>
      <w:r w:rsidR="00EE52DD" w:rsidRPr="00217EBD">
        <w:rPr>
          <w:rFonts w:cstheme="minorHAnsi"/>
        </w:rPr>
        <w:t>1987</w:t>
      </w:r>
      <w:r w:rsidR="00EE52DD">
        <w:rPr>
          <w:rFonts w:cstheme="minorHAnsi"/>
          <w:b/>
          <w:noProof/>
          <w:vertAlign w:val="superscript"/>
        </w:rPr>
        <w:t>9</w:t>
      </w:r>
      <w:r w:rsidR="00EE52DD" w:rsidRPr="00217EBD">
        <w:rPr>
          <w:rFonts w:cstheme="minorHAnsi"/>
        </w:rPr>
        <w:t xml:space="preserve"> </w:t>
      </w:r>
      <w:r w:rsidRPr="00217EBD">
        <w:rPr>
          <w:rFonts w:cstheme="minorHAnsi"/>
        </w:rPr>
        <w:t xml:space="preserve">and </w:t>
      </w:r>
      <w:r w:rsidR="00EE52DD" w:rsidRPr="00217EBD">
        <w:rPr>
          <w:rFonts w:cstheme="minorHAnsi"/>
        </w:rPr>
        <w:t>2010</w:t>
      </w:r>
      <w:r w:rsidR="00EE52DD">
        <w:rPr>
          <w:rFonts w:cstheme="minorHAnsi"/>
          <w:b/>
          <w:noProof/>
          <w:vertAlign w:val="superscript"/>
        </w:rPr>
        <w:t>10</w:t>
      </w:r>
      <w:r w:rsidR="00EE52DD" w:rsidRPr="00217EBD">
        <w:rPr>
          <w:rFonts w:cstheme="minorHAnsi"/>
        </w:rPr>
        <w:t xml:space="preserve"> </w:t>
      </w:r>
      <w:r w:rsidRPr="00217EBD">
        <w:rPr>
          <w:rFonts w:cstheme="minorHAnsi"/>
        </w:rPr>
        <w:t>revised criteria for the classification of Rheumatoid Arthritis</w:t>
      </w:r>
      <w:r w:rsidRPr="00217EBD">
        <w:rPr>
          <w:rFonts w:cstheme="minorHAnsi"/>
          <w:color w:val="000000" w:themeColor="text1"/>
        </w:rPr>
        <w:t xml:space="preserve"> (RA) </w:t>
      </w:r>
      <w:r w:rsidRPr="00217EBD">
        <w:rPr>
          <w:rFonts w:cstheme="minorHAnsi"/>
        </w:rPr>
        <w:t xml:space="preserve">and were aged </w:t>
      </w:r>
      <w:r w:rsidRPr="00217EBD">
        <w:rPr>
          <w:rFonts w:cstheme="minorHAnsi"/>
        </w:rPr>
        <w:sym w:font="Symbol" w:char="F0B3"/>
      </w:r>
      <w:r w:rsidRPr="00217EBD">
        <w:rPr>
          <w:rFonts w:cstheme="minorHAnsi"/>
        </w:rPr>
        <w:t>18 years.</w:t>
      </w:r>
      <w:proofErr w:type="gramEnd"/>
      <w:r w:rsidRPr="00217EBD">
        <w:rPr>
          <w:rFonts w:cstheme="minorHAnsi"/>
          <w:color w:val="000000" w:themeColor="text1"/>
        </w:rPr>
        <w:t xml:space="preserve"> </w:t>
      </w:r>
      <w:r w:rsidRPr="00C64348">
        <w:rPr>
          <w:rFonts w:cstheme="minorHAnsi"/>
          <w:highlight w:val="yellow"/>
        </w:rPr>
        <w:t xml:space="preserve">Our Unit´s database allowed us to identify 94 patients with RA </w:t>
      </w:r>
      <w:r w:rsidRPr="00C64348">
        <w:rPr>
          <w:rFonts w:cstheme="minorHAnsi"/>
          <w:color w:val="000000" w:themeColor="text1"/>
          <w:highlight w:val="yellow"/>
        </w:rPr>
        <w:t>that started biological therapy (bDMARD) from 01/2002</w:t>
      </w:r>
      <w:r w:rsidR="00C80EE9" w:rsidRPr="00C64348">
        <w:rPr>
          <w:rFonts w:cstheme="minorHAnsi"/>
          <w:color w:val="000000" w:themeColor="text1"/>
          <w:highlight w:val="yellow"/>
        </w:rPr>
        <w:t xml:space="preserve"> (date of first bDMARD treatment in the Unit)</w:t>
      </w:r>
      <w:r w:rsidRPr="00C64348">
        <w:rPr>
          <w:rFonts w:cstheme="minorHAnsi"/>
          <w:color w:val="000000" w:themeColor="text1"/>
          <w:highlight w:val="yellow"/>
        </w:rPr>
        <w:t xml:space="preserve"> to 12/2017.</w:t>
      </w:r>
      <w:r w:rsidRPr="00217EBD">
        <w:rPr>
          <w:rFonts w:cstheme="minorHAnsi"/>
          <w:color w:val="000000" w:themeColor="text1"/>
        </w:rPr>
        <w:t xml:space="preserve"> At the time of recall, seven patients were lost to follow-up, six patients had died, and four refused to participate in our study. Overall, recall involved 77 patients. Each patient underwent a physical examination, recording of disease activity and hand joint deformities and </w:t>
      </w:r>
      <w:proofErr w:type="gramStart"/>
      <w:r w:rsidRPr="00217EBD">
        <w:rPr>
          <w:rFonts w:cstheme="minorHAnsi"/>
          <w:color w:val="000000" w:themeColor="text1"/>
        </w:rPr>
        <w:t>was requested</w:t>
      </w:r>
      <w:proofErr w:type="gramEnd"/>
      <w:r w:rsidRPr="00217EBD">
        <w:rPr>
          <w:rFonts w:cstheme="minorHAnsi"/>
          <w:color w:val="000000" w:themeColor="text1"/>
        </w:rPr>
        <w:t xml:space="preserve"> to complete a questionnaire regarding demographic and social characteristics as well as generic Health Related Quality of Life (HR-</w:t>
      </w:r>
      <w:proofErr w:type="spellStart"/>
      <w:r w:rsidRPr="00217EBD">
        <w:rPr>
          <w:rFonts w:cstheme="minorHAnsi"/>
          <w:color w:val="000000" w:themeColor="text1"/>
        </w:rPr>
        <w:t>QoL</w:t>
      </w:r>
      <w:proofErr w:type="spellEnd"/>
      <w:r w:rsidRPr="00217EBD">
        <w:rPr>
          <w:rFonts w:cstheme="minorHAnsi"/>
          <w:color w:val="000000" w:themeColor="text1"/>
        </w:rPr>
        <w:t>) questionnaires validated for Portugal.</w:t>
      </w:r>
      <w:r w:rsidRPr="00217EBD" w:rsidDel="007C7861">
        <w:rPr>
          <w:rFonts w:cstheme="minorHAnsi"/>
          <w:color w:val="000000" w:themeColor="text1"/>
        </w:rPr>
        <w:t xml:space="preserve"> </w:t>
      </w:r>
      <w:r w:rsidRPr="00217EBD">
        <w:rPr>
          <w:rFonts w:cstheme="minorHAnsi"/>
          <w:color w:val="000000" w:themeColor="text1"/>
        </w:rPr>
        <w:t xml:space="preserve"> Demographic and clinical data </w:t>
      </w:r>
      <w:proofErr w:type="gramStart"/>
      <w:r w:rsidRPr="00217EBD">
        <w:rPr>
          <w:rFonts w:cstheme="minorHAnsi"/>
          <w:color w:val="000000" w:themeColor="text1"/>
        </w:rPr>
        <w:t>was also extracted</w:t>
      </w:r>
      <w:proofErr w:type="gramEnd"/>
      <w:r w:rsidRPr="00217EBD">
        <w:rPr>
          <w:rFonts w:cstheme="minorHAnsi"/>
          <w:color w:val="000000" w:themeColor="text1"/>
        </w:rPr>
        <w:t xml:space="preserve"> from the medical records. The Charlson Comorbidity Index (CCI</w:t>
      </w:r>
      <w:proofErr w:type="gramStart"/>
      <w:r w:rsidRPr="00217EBD">
        <w:rPr>
          <w:rFonts w:cstheme="minorHAnsi"/>
          <w:color w:val="000000" w:themeColor="text1"/>
        </w:rPr>
        <w:t>)</w:t>
      </w:r>
      <w:r w:rsidR="00EE52DD" w:rsidRPr="00217EBD">
        <w:rPr>
          <w:rFonts w:cstheme="minorHAnsi"/>
          <w:b/>
          <w:noProof/>
          <w:color w:val="000000" w:themeColor="text1"/>
          <w:vertAlign w:val="superscript"/>
        </w:rPr>
        <w:t>1</w:t>
      </w:r>
      <w:r w:rsidR="00EE52DD">
        <w:rPr>
          <w:rFonts w:cstheme="minorHAnsi"/>
          <w:b/>
          <w:noProof/>
          <w:color w:val="000000" w:themeColor="text1"/>
          <w:vertAlign w:val="superscript"/>
        </w:rPr>
        <w:t>1</w:t>
      </w:r>
      <w:proofErr w:type="gramEnd"/>
      <w:r w:rsidR="00EE52DD" w:rsidRPr="00217EBD">
        <w:rPr>
          <w:rFonts w:cstheme="minorHAnsi"/>
          <w:color w:val="000000" w:themeColor="text1"/>
        </w:rPr>
        <w:t xml:space="preserve"> </w:t>
      </w:r>
      <w:r w:rsidRPr="00217EBD">
        <w:rPr>
          <w:rFonts w:cstheme="minorHAnsi"/>
          <w:color w:val="000000" w:themeColor="text1"/>
        </w:rPr>
        <w:t xml:space="preserve">which </w:t>
      </w:r>
      <w:r w:rsidRPr="00217EBD">
        <w:rPr>
          <w:rFonts w:cstheme="minorHAnsi"/>
          <w:color w:val="000000" w:themeColor="text1"/>
          <w:lang w:val="en-GB"/>
        </w:rPr>
        <w:t>predicts 10-year survival in patients with multiple comorbidities was calculated for all patients at onset of bDMARD therapy and at time of recall.</w:t>
      </w:r>
      <w:r w:rsidRPr="00217EBD">
        <w:rPr>
          <w:rFonts w:cstheme="minorHAnsi"/>
          <w:color w:val="000000" w:themeColor="text1"/>
        </w:rPr>
        <w:t xml:space="preserve"> Pharmacy refill information </w:t>
      </w:r>
      <w:proofErr w:type="gramStart"/>
      <w:r w:rsidRPr="00217EBD">
        <w:rPr>
          <w:rFonts w:cstheme="minorHAnsi"/>
          <w:color w:val="000000" w:themeColor="text1"/>
        </w:rPr>
        <w:t>was obtained</w:t>
      </w:r>
      <w:proofErr w:type="gramEnd"/>
      <w:r w:rsidRPr="00217EBD">
        <w:rPr>
          <w:rFonts w:cstheme="minorHAnsi"/>
          <w:color w:val="000000" w:themeColor="text1"/>
        </w:rPr>
        <w:t xml:space="preserve"> for every patient under self-administered biological therapy. The study was registered at </w:t>
      </w:r>
      <w:proofErr w:type="spellStart"/>
      <w:r w:rsidRPr="00217EBD">
        <w:rPr>
          <w:rFonts w:cstheme="minorHAnsi"/>
          <w:color w:val="000000" w:themeColor="text1"/>
        </w:rPr>
        <w:t>EuroQol</w:t>
      </w:r>
      <w:proofErr w:type="spellEnd"/>
      <w:r w:rsidRPr="00217EBD">
        <w:rPr>
          <w:rFonts w:cstheme="minorHAnsi"/>
          <w:color w:val="000000" w:themeColor="text1"/>
        </w:rPr>
        <w:t xml:space="preserve"> Group website (</w:t>
      </w:r>
      <w:proofErr w:type="gramStart"/>
      <w:r w:rsidRPr="00217EBD">
        <w:rPr>
          <w:rFonts w:cstheme="minorHAnsi"/>
          <w:color w:val="000000" w:themeColor="text1"/>
        </w:rPr>
        <w:t>14</w:t>
      </w:r>
      <w:r w:rsidRPr="00217EBD">
        <w:rPr>
          <w:rFonts w:cstheme="minorHAnsi"/>
          <w:color w:val="000000" w:themeColor="text1"/>
          <w:vertAlign w:val="superscript"/>
        </w:rPr>
        <w:t>th</w:t>
      </w:r>
      <w:proofErr w:type="gramEnd"/>
      <w:r w:rsidRPr="00217EBD">
        <w:rPr>
          <w:rFonts w:cstheme="minorHAnsi"/>
          <w:color w:val="000000" w:themeColor="text1"/>
        </w:rPr>
        <w:t xml:space="preserve"> July 2013) and collaboration was obtained from Professor Pedro Lopes Ferreira (24</w:t>
      </w:r>
      <w:r w:rsidRPr="00217EBD">
        <w:rPr>
          <w:rFonts w:cstheme="minorHAnsi"/>
          <w:color w:val="000000" w:themeColor="text1"/>
          <w:vertAlign w:val="superscript"/>
        </w:rPr>
        <w:t>th</w:t>
      </w:r>
      <w:r w:rsidRPr="00217EBD">
        <w:rPr>
          <w:rFonts w:cstheme="minorHAnsi"/>
          <w:color w:val="000000" w:themeColor="text1"/>
        </w:rPr>
        <w:t xml:space="preserve"> January 2015). The study protocol was approved by the hospital Ethics Committee (process 183/2015) and the </w:t>
      </w:r>
      <w:proofErr w:type="spellStart"/>
      <w:r w:rsidRPr="00123C4C">
        <w:rPr>
          <w:rFonts w:cstheme="minorHAnsi"/>
          <w:i/>
          <w:color w:val="000000" w:themeColor="text1"/>
        </w:rPr>
        <w:t>Comissão</w:t>
      </w:r>
      <w:proofErr w:type="spellEnd"/>
      <w:r w:rsidRPr="00123C4C">
        <w:rPr>
          <w:rFonts w:cstheme="minorHAnsi"/>
          <w:i/>
          <w:color w:val="000000" w:themeColor="text1"/>
        </w:rPr>
        <w:t xml:space="preserve"> Nacional de </w:t>
      </w:r>
      <w:proofErr w:type="spellStart"/>
      <w:r w:rsidRPr="00123C4C">
        <w:rPr>
          <w:rFonts w:cstheme="minorHAnsi"/>
          <w:i/>
          <w:color w:val="000000" w:themeColor="text1"/>
        </w:rPr>
        <w:t>Protecção</w:t>
      </w:r>
      <w:proofErr w:type="spellEnd"/>
      <w:r w:rsidRPr="00123C4C">
        <w:rPr>
          <w:rFonts w:cstheme="minorHAnsi"/>
          <w:i/>
          <w:color w:val="000000" w:themeColor="text1"/>
        </w:rPr>
        <w:t xml:space="preserve"> de Dados</w:t>
      </w:r>
      <w:r w:rsidRPr="00217EBD">
        <w:rPr>
          <w:rFonts w:cstheme="minorHAnsi"/>
          <w:color w:val="000000" w:themeColor="text1"/>
        </w:rPr>
        <w:t xml:space="preserve"> (3886/2016). </w:t>
      </w:r>
    </w:p>
    <w:p w:rsidR="00420FD6" w:rsidRPr="00217EBD" w:rsidRDefault="00420FD6" w:rsidP="00420FD6">
      <w:pPr>
        <w:spacing w:line="360" w:lineRule="auto"/>
        <w:ind w:firstLine="708"/>
        <w:jc w:val="both"/>
        <w:rPr>
          <w:rFonts w:cstheme="minorHAnsi"/>
          <w:b/>
          <w:color w:val="000000" w:themeColor="text1"/>
        </w:rPr>
      </w:pPr>
    </w:p>
    <w:p w:rsidR="00420FD6" w:rsidRPr="00217EBD" w:rsidRDefault="00420FD6" w:rsidP="00420FD6">
      <w:pPr>
        <w:spacing w:line="360" w:lineRule="auto"/>
        <w:jc w:val="both"/>
        <w:rPr>
          <w:rFonts w:cstheme="minorHAnsi"/>
          <w:b/>
          <w:color w:val="000000" w:themeColor="text1"/>
        </w:rPr>
      </w:pPr>
      <w:r w:rsidRPr="00217EBD">
        <w:rPr>
          <w:rFonts w:cstheme="minorHAnsi"/>
          <w:b/>
          <w:color w:val="000000" w:themeColor="text1"/>
        </w:rPr>
        <w:t>2. THERAPEUTIC APPROACH</w:t>
      </w:r>
    </w:p>
    <w:p w:rsidR="00420FD6" w:rsidRPr="00217EBD" w:rsidRDefault="00420FD6" w:rsidP="00420FD6">
      <w:pPr>
        <w:spacing w:line="360" w:lineRule="auto"/>
        <w:ind w:firstLine="708"/>
        <w:jc w:val="both"/>
        <w:rPr>
          <w:rFonts w:cstheme="minorHAnsi"/>
          <w:color w:val="000000" w:themeColor="text1"/>
        </w:rPr>
      </w:pPr>
      <w:proofErr w:type="gramStart"/>
      <w:r w:rsidRPr="00217EBD">
        <w:rPr>
          <w:rFonts w:cstheme="minorHAnsi"/>
          <w:color w:val="000000" w:themeColor="text1"/>
        </w:rPr>
        <w:t>In the latter years, a T2T approach was followed according to recommendations.</w:t>
      </w:r>
      <w:r w:rsidRPr="00217EBD">
        <w:rPr>
          <w:rFonts w:cstheme="minorHAnsi"/>
          <w:b/>
          <w:noProof/>
          <w:color w:val="000000" w:themeColor="text1"/>
          <w:vertAlign w:val="superscript"/>
        </w:rPr>
        <w:t>5</w:t>
      </w:r>
      <w:r w:rsidRPr="00217EBD">
        <w:rPr>
          <w:rFonts w:cstheme="minorHAnsi"/>
          <w:b/>
          <w:color w:val="000000" w:themeColor="text1"/>
        </w:rPr>
        <w:t xml:space="preserve"> </w:t>
      </w:r>
      <w:r w:rsidR="00FF2384">
        <w:rPr>
          <w:rFonts w:cstheme="minorHAnsi"/>
          <w:color w:val="000000" w:themeColor="text1"/>
        </w:rPr>
        <w:t xml:space="preserve">When a </w:t>
      </w:r>
      <w:proofErr w:type="spellStart"/>
      <w:r w:rsidR="00AF5050">
        <w:rPr>
          <w:rFonts w:cstheme="minorHAnsi"/>
          <w:color w:val="000000" w:themeColor="text1"/>
        </w:rPr>
        <w:t>TNFi</w:t>
      </w:r>
      <w:proofErr w:type="spellEnd"/>
      <w:r w:rsidRPr="00217EBD">
        <w:rPr>
          <w:rFonts w:cstheme="minorHAnsi"/>
          <w:color w:val="000000" w:themeColor="text1"/>
        </w:rPr>
        <w:t xml:space="preserve"> patient was intolerant to methotrexate, failed to reach at least low disease </w:t>
      </w:r>
      <w:r w:rsidRPr="00217EBD">
        <w:rPr>
          <w:rFonts w:cstheme="minorHAnsi"/>
          <w:color w:val="000000" w:themeColor="text1"/>
        </w:rPr>
        <w:lastRenderedPageBreak/>
        <w:t xml:space="preserve">activity or presented with poor prognostic signs, a switch was performed, to rituximab, tocilizumab or </w:t>
      </w:r>
      <w:proofErr w:type="spellStart"/>
      <w:r w:rsidRPr="00217EBD">
        <w:rPr>
          <w:rFonts w:cstheme="minorHAnsi"/>
          <w:color w:val="000000" w:themeColor="text1"/>
        </w:rPr>
        <w:t>abatacept</w:t>
      </w:r>
      <w:proofErr w:type="spellEnd"/>
      <w:r w:rsidRPr="00217EBD">
        <w:rPr>
          <w:rFonts w:cstheme="minorHAnsi"/>
          <w:color w:val="000000" w:themeColor="text1"/>
        </w:rPr>
        <w:t>, depending on prior medical history and comorbidities and also according to marketing authorizations and ministry of health re-imbursement policies at the time.</w:t>
      </w:r>
      <w:proofErr w:type="gramEnd"/>
      <w:r w:rsidRPr="00217EBD">
        <w:rPr>
          <w:rFonts w:cstheme="minorHAnsi"/>
          <w:color w:val="000000" w:themeColor="text1"/>
        </w:rPr>
        <w:t xml:space="preserve"> Rituximab </w:t>
      </w:r>
      <w:proofErr w:type="gramStart"/>
      <w:r w:rsidRPr="00217EBD">
        <w:rPr>
          <w:rFonts w:cstheme="minorHAnsi"/>
          <w:color w:val="000000" w:themeColor="text1"/>
        </w:rPr>
        <w:t>was administered</w:t>
      </w:r>
      <w:proofErr w:type="gramEnd"/>
      <w:r w:rsidRPr="00217EBD">
        <w:rPr>
          <w:rFonts w:cstheme="minorHAnsi"/>
          <w:color w:val="000000" w:themeColor="text1"/>
        </w:rPr>
        <w:t xml:space="preserve"> at the dose of 1 g, 2 weeks apart, with the exception of one patient with </w:t>
      </w:r>
      <w:proofErr w:type="spellStart"/>
      <w:r w:rsidRPr="00217EBD">
        <w:rPr>
          <w:rFonts w:cstheme="minorHAnsi"/>
          <w:color w:val="000000" w:themeColor="text1"/>
        </w:rPr>
        <w:t>Sjögren´s</w:t>
      </w:r>
      <w:proofErr w:type="spellEnd"/>
      <w:r w:rsidRPr="00217EBD">
        <w:rPr>
          <w:rFonts w:cstheme="minorHAnsi"/>
          <w:color w:val="000000" w:themeColor="text1"/>
        </w:rPr>
        <w:t xml:space="preserve"> syndrome that received 375 mg/m</w:t>
      </w:r>
      <w:r w:rsidRPr="00217EBD">
        <w:rPr>
          <w:rFonts w:cstheme="minorHAnsi"/>
          <w:color w:val="000000" w:themeColor="text1"/>
          <w:vertAlign w:val="superscript"/>
        </w:rPr>
        <w:t>2</w:t>
      </w:r>
      <w:r w:rsidRPr="00217EBD">
        <w:rPr>
          <w:rFonts w:cstheme="minorHAnsi"/>
          <w:color w:val="000000" w:themeColor="text1"/>
        </w:rPr>
        <w:t xml:space="preserve"> – 4 doses, weekly. Prednisolone </w:t>
      </w:r>
      <w:proofErr w:type="gramStart"/>
      <w:r w:rsidRPr="00217EBD">
        <w:rPr>
          <w:rFonts w:cstheme="minorHAnsi"/>
          <w:color w:val="000000" w:themeColor="text1"/>
        </w:rPr>
        <w:t>was tapered and discontinued whenever possible</w:t>
      </w:r>
      <w:proofErr w:type="gramEnd"/>
      <w:r w:rsidRPr="00217EBD">
        <w:rPr>
          <w:rFonts w:cstheme="minorHAnsi"/>
          <w:color w:val="000000" w:themeColor="text1"/>
        </w:rPr>
        <w:t xml:space="preserve">. </w:t>
      </w:r>
    </w:p>
    <w:p w:rsidR="00420FD6" w:rsidRPr="00217EBD" w:rsidRDefault="00420FD6" w:rsidP="00420FD6">
      <w:pPr>
        <w:spacing w:line="360" w:lineRule="auto"/>
        <w:ind w:firstLine="708"/>
        <w:jc w:val="both"/>
        <w:rPr>
          <w:rFonts w:cstheme="minorHAnsi"/>
          <w:b/>
          <w:color w:val="000000" w:themeColor="text1"/>
        </w:rPr>
      </w:pPr>
    </w:p>
    <w:p w:rsidR="00420FD6" w:rsidRPr="00217EBD" w:rsidRDefault="00420FD6" w:rsidP="00420FD6">
      <w:pPr>
        <w:spacing w:line="360" w:lineRule="auto"/>
        <w:jc w:val="both"/>
        <w:rPr>
          <w:rFonts w:cstheme="minorHAnsi"/>
          <w:b/>
          <w:color w:val="000000" w:themeColor="text1"/>
        </w:rPr>
      </w:pPr>
      <w:r w:rsidRPr="00217EBD">
        <w:rPr>
          <w:rFonts w:cstheme="minorHAnsi"/>
          <w:b/>
          <w:color w:val="000000" w:themeColor="text1"/>
        </w:rPr>
        <w:t>3. DISEASE ACTIVITY AND DEFORMITIES</w:t>
      </w:r>
    </w:p>
    <w:p w:rsidR="00420FD6" w:rsidRPr="00217EBD" w:rsidRDefault="00420FD6" w:rsidP="00420FD6">
      <w:pPr>
        <w:spacing w:line="360" w:lineRule="auto"/>
        <w:ind w:firstLine="708"/>
        <w:jc w:val="both"/>
        <w:rPr>
          <w:rFonts w:cstheme="minorHAnsi"/>
          <w:color w:val="000000" w:themeColor="text1"/>
        </w:rPr>
      </w:pPr>
      <w:r w:rsidRPr="00217EBD">
        <w:rPr>
          <w:rFonts w:cstheme="minorHAnsi"/>
          <w:color w:val="000000" w:themeColor="text1"/>
        </w:rPr>
        <w:t>Disease activity was measured by Disease Activity Score 28-erythrocyte sedimentation rate [DAS28-ESR]</w:t>
      </w:r>
      <w:r w:rsidR="00EE52DD" w:rsidRPr="00217EBD">
        <w:rPr>
          <w:rFonts w:cstheme="minorHAnsi"/>
          <w:b/>
          <w:color w:val="000000" w:themeColor="text1"/>
          <w:vertAlign w:val="superscript"/>
        </w:rPr>
        <w:t>1</w:t>
      </w:r>
      <w:r w:rsidR="00EE52DD">
        <w:rPr>
          <w:rFonts w:cstheme="minorHAnsi"/>
          <w:b/>
          <w:color w:val="000000" w:themeColor="text1"/>
          <w:vertAlign w:val="superscript"/>
        </w:rPr>
        <w:t>2</w:t>
      </w:r>
      <w:r w:rsidR="00EE52DD" w:rsidRPr="00217EBD">
        <w:rPr>
          <w:rFonts w:cstheme="minorHAnsi"/>
          <w:b/>
          <w:color w:val="000000" w:themeColor="text1"/>
        </w:rPr>
        <w:t xml:space="preserve"> </w:t>
      </w:r>
      <w:r w:rsidRPr="00217EBD">
        <w:rPr>
          <w:rFonts w:cstheme="minorHAnsi"/>
          <w:color w:val="000000" w:themeColor="text1"/>
        </w:rPr>
        <w:t xml:space="preserve">defined as follows: high disease activity (HDA) &gt; 5.1; moderate disease activity (MDA) ≥ 3.2 and ≤5.1; low disease activity (LDA) ≥ 2.6 and &lt; 3.2; remission &lt; 2.6. DAS28-ESR </w:t>
      </w:r>
      <w:proofErr w:type="gramStart"/>
      <w:r w:rsidRPr="00217EBD">
        <w:rPr>
          <w:rFonts w:cstheme="minorHAnsi"/>
          <w:color w:val="000000" w:themeColor="text1"/>
        </w:rPr>
        <w:t>was routinely recorded</w:t>
      </w:r>
      <w:proofErr w:type="gramEnd"/>
      <w:r w:rsidRPr="00217EBD">
        <w:rPr>
          <w:rFonts w:cstheme="minorHAnsi"/>
          <w:color w:val="000000" w:themeColor="text1"/>
        </w:rPr>
        <w:t xml:space="preserve"> at clinic visits. In a subset of patients, at recall, the </w:t>
      </w:r>
      <w:r w:rsidR="00077715" w:rsidRPr="00217EBD">
        <w:rPr>
          <w:rFonts w:cstheme="minorHAnsi"/>
          <w:color w:val="000000" w:themeColor="text1"/>
        </w:rPr>
        <w:t>physician counted the number of wrist and hand deformities per patient</w:t>
      </w:r>
      <w:r w:rsidRPr="00217EBD">
        <w:rPr>
          <w:rFonts w:cstheme="minorHAnsi"/>
          <w:color w:val="000000" w:themeColor="text1"/>
        </w:rPr>
        <w:t xml:space="preserve">.  </w:t>
      </w:r>
    </w:p>
    <w:p w:rsidR="00420FD6" w:rsidRPr="00217EBD" w:rsidRDefault="00420FD6" w:rsidP="00420FD6">
      <w:pPr>
        <w:spacing w:line="360" w:lineRule="auto"/>
        <w:ind w:firstLine="708"/>
        <w:jc w:val="both"/>
        <w:rPr>
          <w:rFonts w:cstheme="minorHAnsi"/>
          <w:color w:val="000000" w:themeColor="text1"/>
        </w:rPr>
      </w:pPr>
    </w:p>
    <w:p w:rsidR="00420FD6" w:rsidRPr="00217EBD" w:rsidRDefault="00420FD6" w:rsidP="00420FD6">
      <w:pPr>
        <w:spacing w:line="360" w:lineRule="auto"/>
        <w:jc w:val="both"/>
        <w:rPr>
          <w:rFonts w:cstheme="minorHAnsi"/>
          <w:b/>
          <w:color w:val="000000" w:themeColor="text1"/>
        </w:rPr>
      </w:pPr>
      <w:r w:rsidRPr="00217EBD">
        <w:rPr>
          <w:rFonts w:cstheme="minorHAnsi"/>
          <w:b/>
          <w:color w:val="000000" w:themeColor="text1"/>
        </w:rPr>
        <w:t xml:space="preserve">4. HEALTH ASSESSMENT QUESTIONNAIRE </w:t>
      </w:r>
    </w:p>
    <w:p w:rsidR="00420FD6" w:rsidRPr="00217EBD" w:rsidRDefault="00420FD6" w:rsidP="00420FD6">
      <w:pPr>
        <w:spacing w:line="360" w:lineRule="auto"/>
        <w:ind w:firstLine="708"/>
        <w:jc w:val="both"/>
        <w:rPr>
          <w:rFonts w:cstheme="minorHAnsi"/>
          <w:color w:val="000000" w:themeColor="text1"/>
        </w:rPr>
      </w:pPr>
      <w:r w:rsidRPr="00217EBD">
        <w:rPr>
          <w:rFonts w:cstheme="minorHAnsi"/>
          <w:color w:val="000000" w:themeColor="text1"/>
        </w:rPr>
        <w:t xml:space="preserve">The functional status </w:t>
      </w:r>
      <w:proofErr w:type="gramStart"/>
      <w:r w:rsidRPr="00217EBD">
        <w:rPr>
          <w:rFonts w:cstheme="minorHAnsi"/>
          <w:color w:val="000000" w:themeColor="text1"/>
        </w:rPr>
        <w:t>was measured</w:t>
      </w:r>
      <w:proofErr w:type="gramEnd"/>
      <w:r w:rsidRPr="00217EBD">
        <w:rPr>
          <w:rFonts w:cstheme="minorHAnsi"/>
          <w:color w:val="000000" w:themeColor="text1"/>
        </w:rPr>
        <w:t xml:space="preserve"> by the health assessment questionnaire (HAQ). The HAQ consists of eight </w:t>
      </w:r>
      <w:proofErr w:type="gramStart"/>
      <w:r w:rsidRPr="00217EBD">
        <w:rPr>
          <w:rFonts w:cstheme="minorHAnsi"/>
          <w:color w:val="000000" w:themeColor="text1"/>
        </w:rPr>
        <w:t>categories which</w:t>
      </w:r>
      <w:proofErr w:type="gramEnd"/>
      <w:r w:rsidRPr="00217EBD">
        <w:rPr>
          <w:rFonts w:cstheme="minorHAnsi"/>
          <w:color w:val="000000" w:themeColor="text1"/>
        </w:rPr>
        <w:t xml:space="preserve"> evaluate the patient’s difficulty with activities of daily living over the past week. The questionnaire consists of 41 total items: 20 specific activities are grouped into </w:t>
      </w:r>
      <w:proofErr w:type="gramStart"/>
      <w:r w:rsidRPr="00217EBD">
        <w:rPr>
          <w:rFonts w:cstheme="minorHAnsi"/>
          <w:color w:val="000000" w:themeColor="text1"/>
        </w:rPr>
        <w:t>8</w:t>
      </w:r>
      <w:proofErr w:type="gramEnd"/>
      <w:r w:rsidRPr="00217EBD">
        <w:rPr>
          <w:rFonts w:cstheme="minorHAnsi"/>
          <w:color w:val="000000" w:themeColor="text1"/>
        </w:rPr>
        <w:t xml:space="preserve"> functional categories with each category given a single score equal to the maximum value of their component activities, 13 additional questions on the use of assistive devices, and 8 additional questions assessing help received from others using a scale 0, 1, 2 or 3. The patient's responses </w:t>
      </w:r>
      <w:proofErr w:type="gramStart"/>
      <w:r w:rsidR="00F24F2E">
        <w:rPr>
          <w:rFonts w:cstheme="minorHAnsi"/>
          <w:color w:val="000000" w:themeColor="text1"/>
        </w:rPr>
        <w:t>were</w:t>
      </w:r>
      <w:r w:rsidR="00F24F2E" w:rsidRPr="00217EBD">
        <w:rPr>
          <w:rFonts w:cstheme="minorHAnsi"/>
          <w:color w:val="000000" w:themeColor="text1"/>
        </w:rPr>
        <w:t xml:space="preserve"> </w:t>
      </w:r>
      <w:r w:rsidR="0051773E" w:rsidRPr="00217EBD">
        <w:rPr>
          <w:rFonts w:cstheme="minorHAnsi"/>
          <w:color w:val="000000" w:themeColor="text1"/>
        </w:rPr>
        <w:t>recorded</w:t>
      </w:r>
      <w:proofErr w:type="gramEnd"/>
      <w:r w:rsidR="0051773E" w:rsidRPr="00217EBD">
        <w:rPr>
          <w:rFonts w:cstheme="minorHAnsi"/>
          <w:color w:val="000000" w:themeColor="text1"/>
        </w:rPr>
        <w:t xml:space="preserve"> </w:t>
      </w:r>
      <w:r w:rsidRPr="00217EBD">
        <w:rPr>
          <w:rFonts w:cstheme="minorHAnsi"/>
          <w:color w:val="000000" w:themeColor="text1"/>
        </w:rPr>
        <w:t>on a scale from zero (no disability) to three (completely disabled).</w:t>
      </w:r>
      <w:r w:rsidR="00EE52DD">
        <w:rPr>
          <w:rFonts w:cstheme="minorHAnsi"/>
          <w:b/>
          <w:color w:val="000000" w:themeColor="text1"/>
          <w:vertAlign w:val="superscript"/>
        </w:rPr>
        <w:t>13-16</w:t>
      </w:r>
      <w:r w:rsidRPr="00217EBD">
        <w:rPr>
          <w:rFonts w:cstheme="minorHAnsi"/>
          <w:color w:val="000000" w:themeColor="text1"/>
        </w:rPr>
        <w:t xml:space="preserve"> </w:t>
      </w:r>
    </w:p>
    <w:p w:rsidR="00420FD6" w:rsidRPr="00217EBD" w:rsidRDefault="00420FD6" w:rsidP="00420FD6">
      <w:pPr>
        <w:spacing w:line="360" w:lineRule="auto"/>
        <w:ind w:firstLine="708"/>
        <w:jc w:val="both"/>
        <w:rPr>
          <w:rFonts w:cstheme="minorHAnsi"/>
          <w:b/>
          <w:color w:val="000000" w:themeColor="text1"/>
        </w:rPr>
      </w:pPr>
    </w:p>
    <w:p w:rsidR="00420FD6" w:rsidRPr="00217EBD" w:rsidRDefault="00420FD6" w:rsidP="00420FD6">
      <w:pPr>
        <w:spacing w:line="360" w:lineRule="auto"/>
        <w:jc w:val="both"/>
        <w:rPr>
          <w:rFonts w:cstheme="minorHAnsi"/>
          <w:color w:val="000000" w:themeColor="text1"/>
        </w:rPr>
      </w:pPr>
      <w:r w:rsidRPr="00217EBD">
        <w:rPr>
          <w:rFonts w:cstheme="minorHAnsi"/>
          <w:b/>
          <w:color w:val="000000" w:themeColor="text1"/>
        </w:rPr>
        <w:t>5. PATIENT COMPLIANCE</w:t>
      </w:r>
      <w:r w:rsidRPr="00217EBD">
        <w:rPr>
          <w:rFonts w:cstheme="minorHAnsi"/>
          <w:color w:val="000000" w:themeColor="text1"/>
        </w:rPr>
        <w:t xml:space="preserve"> </w:t>
      </w:r>
    </w:p>
    <w:p w:rsidR="00420FD6" w:rsidRPr="00217EBD" w:rsidRDefault="00420FD6" w:rsidP="00420FD6">
      <w:pPr>
        <w:spacing w:line="360" w:lineRule="auto"/>
        <w:ind w:firstLine="708"/>
        <w:jc w:val="both"/>
        <w:rPr>
          <w:rFonts w:cstheme="minorHAnsi"/>
          <w:color w:val="000000" w:themeColor="text1"/>
        </w:rPr>
      </w:pPr>
      <w:r w:rsidRPr="00217EBD">
        <w:rPr>
          <w:rFonts w:cstheme="minorHAnsi"/>
        </w:rPr>
        <w:t xml:space="preserve">Compliance was determined by the proportion of days covered (PDC) for the index biologic during the 12-month follow-up period. Non-compliance of self-administered biologics (etanercept adalimumab, </w:t>
      </w:r>
      <w:proofErr w:type="spellStart"/>
      <w:r w:rsidRPr="00217EBD">
        <w:rPr>
          <w:rFonts w:cstheme="minorHAnsi"/>
        </w:rPr>
        <w:t>golimumab</w:t>
      </w:r>
      <w:proofErr w:type="spellEnd"/>
      <w:r w:rsidRPr="00217EBD">
        <w:rPr>
          <w:rFonts w:cstheme="minorHAnsi"/>
        </w:rPr>
        <w:t xml:space="preserve"> and tocilizumab) was defined as proportion of days covered &lt;80% during the post index period.</w:t>
      </w:r>
      <w:r w:rsidR="00EE52DD">
        <w:rPr>
          <w:rFonts w:cstheme="minorHAnsi"/>
          <w:b/>
          <w:noProof/>
          <w:vertAlign w:val="superscript"/>
        </w:rPr>
        <w:t>17</w:t>
      </w:r>
      <w:r w:rsidR="00EE52DD" w:rsidRPr="00217EBD">
        <w:rPr>
          <w:rFonts w:cstheme="minorHAnsi"/>
        </w:rPr>
        <w:t xml:space="preserve"> </w:t>
      </w:r>
      <w:r w:rsidRPr="00217EBD">
        <w:rPr>
          <w:rFonts w:cstheme="minorHAnsi"/>
        </w:rPr>
        <w:t xml:space="preserve">Patient </w:t>
      </w:r>
      <w:r w:rsidRPr="00217EBD">
        <w:rPr>
          <w:rFonts w:cstheme="minorHAnsi"/>
          <w:color w:val="000000" w:themeColor="text1"/>
        </w:rPr>
        <w:t xml:space="preserve">compliance was obtained by using pharmacy refill information for the duration of one year prior to recall visit. Patients </w:t>
      </w:r>
      <w:proofErr w:type="gramStart"/>
      <w:r w:rsidRPr="00217EBD">
        <w:rPr>
          <w:rFonts w:cstheme="minorHAnsi"/>
          <w:color w:val="000000" w:themeColor="text1"/>
        </w:rPr>
        <w:t>were considered</w:t>
      </w:r>
      <w:proofErr w:type="gramEnd"/>
      <w:r w:rsidRPr="00217EBD">
        <w:rPr>
          <w:rFonts w:cstheme="minorHAnsi"/>
          <w:color w:val="000000" w:themeColor="text1"/>
        </w:rPr>
        <w:t xml:space="preserve"> non-compliant with medication when </w:t>
      </w:r>
      <w:r w:rsidRPr="00217EBD">
        <w:rPr>
          <w:rFonts w:cstheme="minorHAnsi"/>
          <w:color w:val="000000" w:themeColor="text1"/>
        </w:rPr>
        <w:lastRenderedPageBreak/>
        <w:t xml:space="preserve">less than 80% of prescriptions were collected from the pharmacy. Patients under intravenous medication (rituximab, tocilizumab, infliximab, and </w:t>
      </w:r>
      <w:proofErr w:type="spellStart"/>
      <w:r w:rsidRPr="00217EBD">
        <w:rPr>
          <w:rFonts w:cstheme="minorHAnsi"/>
          <w:color w:val="000000" w:themeColor="text1"/>
        </w:rPr>
        <w:t>abatacept</w:t>
      </w:r>
      <w:proofErr w:type="spellEnd"/>
      <w:r w:rsidRPr="00217EBD">
        <w:rPr>
          <w:rFonts w:cstheme="minorHAnsi"/>
          <w:color w:val="000000" w:themeColor="text1"/>
        </w:rPr>
        <w:t xml:space="preserve">) </w:t>
      </w:r>
      <w:proofErr w:type="gramStart"/>
      <w:r w:rsidRPr="00217EBD">
        <w:rPr>
          <w:rFonts w:cstheme="minorHAnsi"/>
          <w:color w:val="000000" w:themeColor="text1"/>
        </w:rPr>
        <w:t>were considered</w:t>
      </w:r>
      <w:proofErr w:type="gramEnd"/>
      <w:r w:rsidRPr="00217EBD">
        <w:rPr>
          <w:rFonts w:cstheme="minorHAnsi"/>
          <w:color w:val="000000" w:themeColor="text1"/>
        </w:rPr>
        <w:t xml:space="preserve"> compliant since</w:t>
      </w:r>
      <w:r w:rsidR="0038449E">
        <w:rPr>
          <w:rFonts w:cstheme="minorHAnsi"/>
          <w:color w:val="000000" w:themeColor="text1"/>
        </w:rPr>
        <w:t xml:space="preserve"> in our Unit</w:t>
      </w:r>
      <w:r w:rsidRPr="00217EBD">
        <w:rPr>
          <w:rFonts w:cstheme="minorHAnsi"/>
          <w:color w:val="000000" w:themeColor="text1"/>
        </w:rPr>
        <w:t xml:space="preserve"> </w:t>
      </w:r>
      <w:r w:rsidR="00AA1909" w:rsidRPr="00217EBD">
        <w:rPr>
          <w:rFonts w:cstheme="minorHAnsi"/>
          <w:color w:val="000000" w:themeColor="text1"/>
        </w:rPr>
        <w:t xml:space="preserve">qualified nurses perform administration </w:t>
      </w:r>
      <w:r w:rsidR="00010CE4" w:rsidRPr="00217EBD">
        <w:rPr>
          <w:rFonts w:cstheme="minorHAnsi"/>
          <w:color w:val="000000" w:themeColor="text1"/>
        </w:rPr>
        <w:t>of biologics in a Day Hospital</w:t>
      </w:r>
      <w:r w:rsidRPr="00217EBD">
        <w:rPr>
          <w:rFonts w:cstheme="minorHAnsi"/>
          <w:color w:val="000000" w:themeColor="text1"/>
        </w:rPr>
        <w:t xml:space="preserve">. </w:t>
      </w:r>
    </w:p>
    <w:p w:rsidR="00420FD6" w:rsidRPr="00217EBD" w:rsidRDefault="00420FD6" w:rsidP="00420FD6">
      <w:pPr>
        <w:spacing w:line="360" w:lineRule="auto"/>
        <w:ind w:firstLine="708"/>
        <w:jc w:val="both"/>
        <w:rPr>
          <w:rFonts w:cstheme="minorHAnsi"/>
        </w:rPr>
      </w:pPr>
    </w:p>
    <w:p w:rsidR="00420FD6" w:rsidRPr="00217EBD" w:rsidRDefault="00420FD6" w:rsidP="00420FD6">
      <w:pPr>
        <w:spacing w:line="360" w:lineRule="auto"/>
        <w:jc w:val="both"/>
        <w:rPr>
          <w:rFonts w:cstheme="minorHAnsi"/>
          <w:b/>
          <w:color w:val="000000" w:themeColor="text1"/>
        </w:rPr>
      </w:pPr>
      <w:r w:rsidRPr="00217EBD">
        <w:rPr>
          <w:rFonts w:cstheme="minorHAnsi"/>
          <w:b/>
          <w:color w:val="000000" w:themeColor="text1"/>
        </w:rPr>
        <w:t>6. HEALTH RELATED QUALITY OF LIFE</w:t>
      </w:r>
    </w:p>
    <w:p w:rsidR="00420FD6" w:rsidRPr="00217EBD" w:rsidRDefault="00420FD6" w:rsidP="00420FD6">
      <w:pPr>
        <w:pStyle w:val="Pr-formataoHTML"/>
        <w:spacing w:line="360" w:lineRule="auto"/>
        <w:jc w:val="both"/>
        <w:rPr>
          <w:rFonts w:asciiTheme="minorHAnsi" w:hAnsiTheme="minorHAnsi" w:cstheme="minorHAnsi"/>
          <w:sz w:val="24"/>
          <w:szCs w:val="24"/>
          <w:lang w:val="en-GB"/>
        </w:rPr>
      </w:pPr>
      <w:r w:rsidRPr="00217EBD">
        <w:rPr>
          <w:rFonts w:asciiTheme="minorHAnsi" w:hAnsiTheme="minorHAnsi" w:cstheme="minorHAnsi"/>
          <w:color w:val="000000" w:themeColor="text1"/>
          <w:sz w:val="24"/>
          <w:szCs w:val="24"/>
          <w:lang w:val="en-GB"/>
        </w:rPr>
        <w:tab/>
        <w:t>HR-</w:t>
      </w:r>
      <w:proofErr w:type="spellStart"/>
      <w:r w:rsidRPr="00217EBD">
        <w:rPr>
          <w:rFonts w:asciiTheme="minorHAnsi" w:hAnsiTheme="minorHAnsi" w:cstheme="minorHAnsi"/>
          <w:color w:val="000000" w:themeColor="text1"/>
          <w:sz w:val="24"/>
          <w:szCs w:val="24"/>
          <w:lang w:val="en-GB"/>
        </w:rPr>
        <w:t>QoL</w:t>
      </w:r>
      <w:proofErr w:type="spellEnd"/>
      <w:r w:rsidR="002C12FF">
        <w:rPr>
          <w:rFonts w:asciiTheme="minorHAnsi" w:hAnsiTheme="minorHAnsi" w:cstheme="minorHAnsi"/>
          <w:color w:val="000000" w:themeColor="text1"/>
          <w:sz w:val="24"/>
          <w:szCs w:val="24"/>
          <w:lang w:val="en-GB"/>
        </w:rPr>
        <w:t>,</w:t>
      </w:r>
      <w:r w:rsidRPr="00217EBD">
        <w:rPr>
          <w:rFonts w:asciiTheme="minorHAnsi" w:hAnsiTheme="minorHAnsi" w:cstheme="minorHAnsi"/>
          <w:color w:val="000000" w:themeColor="text1"/>
          <w:sz w:val="24"/>
          <w:szCs w:val="24"/>
          <w:lang w:val="en-GB"/>
        </w:rPr>
        <w:t xml:space="preserve"> defined as those aspects of quality of life that directly or indirectly relate to health, a concept that includes physical, psychological, and social domains</w:t>
      </w:r>
      <w:r w:rsidR="002C12FF">
        <w:rPr>
          <w:rFonts w:asciiTheme="minorHAnsi" w:hAnsiTheme="minorHAnsi" w:cstheme="minorHAnsi"/>
          <w:color w:val="000000" w:themeColor="text1"/>
          <w:sz w:val="24"/>
          <w:szCs w:val="24"/>
          <w:lang w:val="en-GB"/>
        </w:rPr>
        <w:t xml:space="preserve">, </w:t>
      </w:r>
      <w:r w:rsidRPr="00217EBD">
        <w:rPr>
          <w:rFonts w:asciiTheme="minorHAnsi" w:hAnsiTheme="minorHAnsi" w:cstheme="minorHAnsi"/>
          <w:color w:val="000000" w:themeColor="text1"/>
          <w:sz w:val="24"/>
          <w:szCs w:val="24"/>
          <w:lang w:val="en-GB"/>
        </w:rPr>
        <w:t xml:space="preserve"> was measured through t</w:t>
      </w:r>
      <w:r w:rsidRPr="00217EBD">
        <w:rPr>
          <w:rFonts w:asciiTheme="minorHAnsi" w:hAnsiTheme="minorHAnsi" w:cstheme="minorHAnsi"/>
          <w:sz w:val="24"/>
          <w:szCs w:val="24"/>
          <w:lang w:val="en-GB"/>
        </w:rPr>
        <w:t xml:space="preserve">he Short Form (SF-36) Health Survey and the </w:t>
      </w:r>
      <w:proofErr w:type="spellStart"/>
      <w:r w:rsidRPr="00217EBD">
        <w:rPr>
          <w:rFonts w:asciiTheme="minorHAnsi" w:hAnsiTheme="minorHAnsi" w:cstheme="minorHAnsi"/>
          <w:sz w:val="24"/>
          <w:szCs w:val="24"/>
          <w:lang w:val="en-GB"/>
        </w:rPr>
        <w:t>EuroQoL</w:t>
      </w:r>
      <w:proofErr w:type="spellEnd"/>
      <w:r w:rsidRPr="00217EBD">
        <w:rPr>
          <w:rFonts w:asciiTheme="minorHAnsi" w:hAnsiTheme="minorHAnsi" w:cstheme="minorHAnsi"/>
          <w:sz w:val="24"/>
          <w:szCs w:val="24"/>
          <w:lang w:val="en-GB"/>
        </w:rPr>
        <w:t xml:space="preserve"> Group 5D-3L (EQ-5D-3L). </w:t>
      </w:r>
    </w:p>
    <w:p w:rsidR="00420FD6" w:rsidRPr="00217EBD" w:rsidRDefault="00420FD6" w:rsidP="00420FD6">
      <w:pPr>
        <w:pStyle w:val="Pr-formataoHTML"/>
        <w:spacing w:line="360" w:lineRule="auto"/>
        <w:jc w:val="both"/>
        <w:rPr>
          <w:rFonts w:asciiTheme="minorHAnsi" w:hAnsiTheme="minorHAnsi" w:cstheme="minorHAnsi"/>
          <w:sz w:val="24"/>
          <w:szCs w:val="24"/>
          <w:lang w:val="en-GB"/>
        </w:rPr>
      </w:pPr>
      <w:r w:rsidRPr="00217EBD">
        <w:rPr>
          <w:rFonts w:asciiTheme="minorHAnsi" w:hAnsiTheme="minorHAnsi" w:cstheme="minorHAnsi"/>
          <w:sz w:val="24"/>
          <w:szCs w:val="24"/>
          <w:lang w:val="en-GB"/>
        </w:rPr>
        <w:tab/>
        <w:t xml:space="preserve">SF-36 is a 36-item, patient-reported survey consisting of eight scaled scores, which are the weighted sums of the questions in their section. Some questions have an inverted scale. After each scale </w:t>
      </w:r>
      <w:proofErr w:type="gramStart"/>
      <w:r w:rsidRPr="00217EBD">
        <w:rPr>
          <w:rFonts w:asciiTheme="minorHAnsi" w:hAnsiTheme="minorHAnsi" w:cstheme="minorHAnsi"/>
          <w:sz w:val="24"/>
          <w:szCs w:val="24"/>
          <w:lang w:val="en-GB"/>
        </w:rPr>
        <w:t>is directly transformed</w:t>
      </w:r>
      <w:proofErr w:type="gramEnd"/>
      <w:r w:rsidRPr="00217EBD">
        <w:rPr>
          <w:rFonts w:asciiTheme="minorHAnsi" w:hAnsiTheme="minorHAnsi" w:cstheme="minorHAnsi"/>
          <w:sz w:val="24"/>
          <w:szCs w:val="24"/>
          <w:lang w:val="en-GB"/>
        </w:rPr>
        <w:t xml:space="preserve"> into a 0-100 scale, the lower the score the higher the disability, in other words, a score of zero is equivalent to maximum disability and a score of 100 is equivalent to no disability. The eight dimensions are: vitality (V), physical functioning (PF), bodily pain (BP), general health perceptions (GH), physical role functioning (RP), emotional role functioning (RE), social role functioning (SF) and mental health (MH). Scoring algorithms allow for aggregating scores from the eight SF-36 subscales in two distinct scores: a Physical Component Summary (PCS) and a Mental Component Summary (MCS). In the present study</w:t>
      </w:r>
      <w:r w:rsidR="006B1EEF" w:rsidRPr="00217EBD">
        <w:rPr>
          <w:rFonts w:asciiTheme="minorHAnsi" w:hAnsiTheme="minorHAnsi" w:cstheme="minorHAnsi"/>
          <w:sz w:val="24"/>
          <w:szCs w:val="24"/>
          <w:lang w:val="en-GB"/>
        </w:rPr>
        <w:t>,</w:t>
      </w:r>
      <w:r w:rsidRPr="00217EBD">
        <w:rPr>
          <w:rFonts w:asciiTheme="minorHAnsi" w:hAnsiTheme="minorHAnsi" w:cstheme="minorHAnsi"/>
          <w:sz w:val="24"/>
          <w:szCs w:val="24"/>
          <w:lang w:val="en-GB"/>
        </w:rPr>
        <w:t xml:space="preserve"> SF-36 was </w:t>
      </w:r>
      <w:r w:rsidR="009D3D4B" w:rsidRPr="00217EBD">
        <w:rPr>
          <w:rFonts w:asciiTheme="minorHAnsi" w:hAnsiTheme="minorHAnsi" w:cstheme="minorHAnsi"/>
          <w:sz w:val="24"/>
          <w:szCs w:val="24"/>
          <w:lang w:val="en-GB"/>
        </w:rPr>
        <w:t xml:space="preserve">analysed </w:t>
      </w:r>
      <w:r w:rsidRPr="00217EBD">
        <w:rPr>
          <w:rFonts w:asciiTheme="minorHAnsi" w:hAnsiTheme="minorHAnsi" w:cstheme="minorHAnsi"/>
          <w:sz w:val="24"/>
          <w:szCs w:val="24"/>
          <w:lang w:val="en-GB"/>
        </w:rPr>
        <w:t>according to the norms for the Portuguese population.</w:t>
      </w:r>
      <w:r w:rsidR="00EE52DD">
        <w:rPr>
          <w:rFonts w:asciiTheme="minorHAnsi" w:hAnsiTheme="minorHAnsi" w:cstheme="minorHAnsi"/>
          <w:b/>
          <w:noProof/>
          <w:sz w:val="24"/>
          <w:szCs w:val="24"/>
          <w:vertAlign w:val="superscript"/>
          <w:lang w:val="en-GB"/>
        </w:rPr>
        <w:t>18,19</w:t>
      </w:r>
    </w:p>
    <w:p w:rsidR="00420FD6" w:rsidRPr="00217EBD" w:rsidRDefault="00420FD6" w:rsidP="00420FD6">
      <w:pPr>
        <w:pStyle w:val="Pr-formataoHTML"/>
        <w:spacing w:line="360" w:lineRule="auto"/>
        <w:jc w:val="both"/>
        <w:rPr>
          <w:rFonts w:cstheme="minorHAnsi"/>
          <w:lang w:val="en-GB"/>
        </w:rPr>
      </w:pPr>
      <w:r w:rsidRPr="00217EBD">
        <w:rPr>
          <w:rFonts w:asciiTheme="minorHAnsi" w:hAnsiTheme="minorHAnsi" w:cstheme="minorHAnsi"/>
          <w:b/>
          <w:sz w:val="24"/>
          <w:szCs w:val="24"/>
          <w:lang w:val="en-GB"/>
        </w:rPr>
        <w:tab/>
      </w:r>
      <w:r w:rsidRPr="00217EBD">
        <w:rPr>
          <w:rFonts w:asciiTheme="minorHAnsi" w:hAnsiTheme="minorHAnsi" w:cstheme="minorHAnsi"/>
          <w:sz w:val="24"/>
          <w:szCs w:val="24"/>
          <w:lang w:val="en-GB"/>
        </w:rPr>
        <w:t xml:space="preserve">Each patient was asked to report their socio-demographic characteristics (age, gender, marital status) and complete the EQ-5D-3L in order to self-report their own health in a five-dimension descriptive system (mobility, self-care, usual activities, pain/discomfort and anxiety/depression). Each attribute has three levels: no problems, some problems, and severe problems, resulting in 243 possible health states, the best of which corresponds to a score of </w:t>
      </w:r>
      <w:proofErr w:type="gramStart"/>
      <w:r w:rsidRPr="00217EBD">
        <w:rPr>
          <w:rFonts w:asciiTheme="minorHAnsi" w:hAnsiTheme="minorHAnsi" w:cstheme="minorHAnsi"/>
          <w:sz w:val="24"/>
          <w:szCs w:val="24"/>
          <w:lang w:val="en-GB"/>
        </w:rPr>
        <w:t>1</w:t>
      </w:r>
      <w:proofErr w:type="gramEnd"/>
      <w:r w:rsidRPr="00217EBD">
        <w:rPr>
          <w:rFonts w:asciiTheme="minorHAnsi" w:hAnsiTheme="minorHAnsi" w:cstheme="minorHAnsi"/>
          <w:sz w:val="24"/>
          <w:szCs w:val="24"/>
          <w:lang w:val="en-GB"/>
        </w:rPr>
        <w:t>.  Each health state was then assigned an index value by applying scores from national Portuguese preference weights (tariffs) using a validated model</w:t>
      </w:r>
      <w:r w:rsidR="000C2133" w:rsidRPr="00217EBD">
        <w:rPr>
          <w:rFonts w:asciiTheme="minorHAnsi" w:hAnsiTheme="minorHAnsi" w:cstheme="minorHAnsi"/>
          <w:sz w:val="24"/>
          <w:szCs w:val="24"/>
          <w:lang w:val="en-GB"/>
        </w:rPr>
        <w:t>,</w:t>
      </w:r>
      <w:r w:rsidR="00EE52DD">
        <w:rPr>
          <w:rFonts w:asciiTheme="minorHAnsi" w:hAnsiTheme="minorHAnsi" w:cstheme="minorHAnsi"/>
          <w:b/>
          <w:noProof/>
          <w:sz w:val="24"/>
          <w:szCs w:val="24"/>
          <w:vertAlign w:val="superscript"/>
          <w:lang w:val="en-GB"/>
        </w:rPr>
        <w:t>20,21</w:t>
      </w:r>
      <w:r w:rsidRPr="00217EBD">
        <w:rPr>
          <w:rFonts w:asciiTheme="minorHAnsi" w:hAnsiTheme="minorHAnsi" w:cstheme="minorHAnsi"/>
          <w:b/>
          <w:noProof/>
          <w:sz w:val="24"/>
          <w:szCs w:val="24"/>
          <w:vertAlign w:val="superscript"/>
          <w:lang w:val="en-GB"/>
        </w:rPr>
        <w:t xml:space="preserve"> </w:t>
      </w:r>
      <w:r w:rsidR="002C12FF" w:rsidRPr="00123C4C">
        <w:rPr>
          <w:rFonts w:asciiTheme="minorHAnsi" w:hAnsiTheme="minorHAnsi" w:cstheme="minorHAnsi"/>
          <w:noProof/>
          <w:sz w:val="24"/>
          <w:szCs w:val="24"/>
          <w:lang w:val="en-GB"/>
        </w:rPr>
        <w:t>Patients were asked to place a mark</w:t>
      </w:r>
      <w:r w:rsidR="002C12FF">
        <w:rPr>
          <w:rFonts w:asciiTheme="minorHAnsi" w:hAnsiTheme="minorHAnsi" w:cstheme="minorHAnsi"/>
          <w:b/>
          <w:noProof/>
          <w:sz w:val="24"/>
          <w:szCs w:val="24"/>
          <w:lang w:val="en-GB"/>
        </w:rPr>
        <w:t xml:space="preserve"> </w:t>
      </w:r>
      <w:r w:rsidRPr="00217EBD">
        <w:rPr>
          <w:rFonts w:asciiTheme="minorHAnsi" w:hAnsiTheme="minorHAnsi" w:cstheme="minorHAnsi"/>
          <w:sz w:val="24"/>
          <w:szCs w:val="24"/>
          <w:lang w:val="en-GB"/>
        </w:rPr>
        <w:t>on a Visual Analogue Scale (VAS) rang</w:t>
      </w:r>
      <w:r w:rsidR="000C2133" w:rsidRPr="00217EBD">
        <w:rPr>
          <w:rFonts w:asciiTheme="minorHAnsi" w:hAnsiTheme="minorHAnsi" w:cstheme="minorHAnsi"/>
          <w:sz w:val="24"/>
          <w:szCs w:val="24"/>
          <w:lang w:val="en-GB"/>
        </w:rPr>
        <w:t>ing</w:t>
      </w:r>
      <w:r w:rsidRPr="00217EBD">
        <w:rPr>
          <w:rFonts w:asciiTheme="minorHAnsi" w:hAnsiTheme="minorHAnsi" w:cstheme="minorHAnsi"/>
          <w:sz w:val="24"/>
          <w:szCs w:val="24"/>
          <w:lang w:val="en-GB"/>
        </w:rPr>
        <w:t xml:space="preserve"> from endpoints 0 for the ‘worst imaginable health state’ to 100 for the ‘best imaginable health state’. </w:t>
      </w:r>
    </w:p>
    <w:p w:rsidR="00420FD6" w:rsidRPr="00217EBD" w:rsidRDefault="00420FD6" w:rsidP="00420FD6">
      <w:pPr>
        <w:pStyle w:val="Pr-formataoHTML"/>
        <w:spacing w:line="360" w:lineRule="auto"/>
        <w:jc w:val="both"/>
        <w:rPr>
          <w:rFonts w:cstheme="minorHAnsi"/>
          <w:b/>
          <w:caps/>
          <w:color w:val="000000" w:themeColor="text1"/>
          <w:lang w:val="en-GB"/>
        </w:rPr>
      </w:pPr>
    </w:p>
    <w:p w:rsidR="00420FD6" w:rsidRPr="00217EBD" w:rsidRDefault="00420FD6" w:rsidP="00420FD6">
      <w:pPr>
        <w:spacing w:line="360" w:lineRule="auto"/>
        <w:jc w:val="both"/>
        <w:rPr>
          <w:rFonts w:cstheme="minorHAnsi"/>
          <w:b/>
          <w:caps/>
          <w:color w:val="000000" w:themeColor="text1"/>
          <w:lang w:val="en-GB"/>
        </w:rPr>
      </w:pPr>
      <w:r w:rsidRPr="00217EBD">
        <w:rPr>
          <w:rFonts w:cstheme="minorHAnsi"/>
          <w:b/>
          <w:caps/>
          <w:color w:val="000000" w:themeColor="text1"/>
          <w:lang w:val="en-GB"/>
        </w:rPr>
        <w:lastRenderedPageBreak/>
        <w:t xml:space="preserve">7. Statistical analysis </w:t>
      </w:r>
    </w:p>
    <w:p w:rsidR="00420FD6" w:rsidRPr="00217EBD" w:rsidRDefault="00A55B8B" w:rsidP="0088219E">
      <w:pPr>
        <w:spacing w:line="360" w:lineRule="auto"/>
        <w:ind w:firstLine="708"/>
        <w:jc w:val="both"/>
        <w:rPr>
          <w:rFonts w:cstheme="minorHAnsi"/>
          <w:color w:val="000000" w:themeColor="text1"/>
          <w:lang w:val="en-GB"/>
        </w:rPr>
      </w:pPr>
      <w:r w:rsidRPr="00217EBD">
        <w:rPr>
          <w:rFonts w:cstheme="minorHAnsi"/>
          <w:color w:val="000000" w:themeColor="text1"/>
          <w:lang w:val="en-GB"/>
        </w:rPr>
        <w:t xml:space="preserve">According to the normality of their sampling distributions, </w:t>
      </w:r>
      <w:r w:rsidR="00420FD6" w:rsidRPr="00217EBD">
        <w:rPr>
          <w:rFonts w:cstheme="minorHAnsi"/>
          <w:color w:val="000000" w:themeColor="text1"/>
          <w:lang w:val="en-GB"/>
        </w:rPr>
        <w:t xml:space="preserve">continuous variables </w:t>
      </w:r>
      <w:proofErr w:type="gramStart"/>
      <w:r w:rsidR="00420FD6" w:rsidRPr="00217EBD">
        <w:rPr>
          <w:rFonts w:cstheme="minorHAnsi"/>
          <w:color w:val="000000" w:themeColor="text1"/>
          <w:lang w:val="en-GB"/>
        </w:rPr>
        <w:t>were recorded</w:t>
      </w:r>
      <w:proofErr w:type="gramEnd"/>
      <w:r w:rsidR="00420FD6" w:rsidRPr="00217EBD">
        <w:rPr>
          <w:rFonts w:cstheme="minorHAnsi"/>
          <w:color w:val="000000" w:themeColor="text1"/>
          <w:lang w:val="en-GB"/>
        </w:rPr>
        <w:t xml:space="preserve"> as means (± standard deviation) or medians (IQR1 - IQR3). Dichotomous variables </w:t>
      </w:r>
      <w:proofErr w:type="gramStart"/>
      <w:r w:rsidR="00420FD6" w:rsidRPr="00217EBD">
        <w:rPr>
          <w:rFonts w:cstheme="minorHAnsi"/>
          <w:color w:val="000000" w:themeColor="text1"/>
          <w:lang w:val="en-GB"/>
        </w:rPr>
        <w:t>were examined</w:t>
      </w:r>
      <w:proofErr w:type="gramEnd"/>
      <w:r w:rsidR="00420FD6" w:rsidRPr="00217EBD">
        <w:rPr>
          <w:rFonts w:cstheme="minorHAnsi"/>
          <w:color w:val="000000" w:themeColor="text1"/>
          <w:lang w:val="en-GB"/>
        </w:rPr>
        <w:t xml:space="preserve"> by frequency distribution, recorded as p</w:t>
      </w:r>
      <w:r w:rsidR="00D20003">
        <w:rPr>
          <w:rFonts w:cstheme="minorHAnsi"/>
          <w:color w:val="000000" w:themeColor="text1"/>
          <w:lang w:val="en-GB"/>
        </w:rPr>
        <w:t>ercentage</w:t>
      </w:r>
      <w:r w:rsidR="00420FD6" w:rsidRPr="00A31EDB">
        <w:rPr>
          <w:rFonts w:cstheme="minorHAnsi"/>
          <w:color w:val="000000" w:themeColor="text1"/>
          <w:lang w:val="en-GB"/>
        </w:rPr>
        <w:t xml:space="preserve">, and comparisons were made using the Chi-square test or Fisher’s exact test for independent samples. </w:t>
      </w:r>
      <w:r w:rsidR="008B0F0D" w:rsidRPr="00217EBD">
        <w:rPr>
          <w:rFonts w:cstheme="minorHAnsi"/>
          <w:color w:val="000000" w:themeColor="text1"/>
          <w:lang w:val="en-GB"/>
        </w:rPr>
        <w:t xml:space="preserve">The T test </w:t>
      </w:r>
      <w:proofErr w:type="gramStart"/>
      <w:r w:rsidR="008B0F0D" w:rsidRPr="00217EBD">
        <w:rPr>
          <w:rFonts w:cstheme="minorHAnsi"/>
          <w:color w:val="000000" w:themeColor="text1"/>
          <w:lang w:val="en-GB"/>
        </w:rPr>
        <w:t>was used</w:t>
      </w:r>
      <w:proofErr w:type="gramEnd"/>
      <w:r w:rsidR="008B0F0D" w:rsidRPr="00217EBD">
        <w:rPr>
          <w:rFonts w:cstheme="minorHAnsi"/>
          <w:color w:val="000000" w:themeColor="text1"/>
          <w:lang w:val="en-GB"/>
        </w:rPr>
        <w:t xml:space="preserve"> for comparison between normally distributed variables. </w:t>
      </w:r>
      <w:r w:rsidR="00DC579D" w:rsidRPr="00217EBD">
        <w:rPr>
          <w:rFonts w:cstheme="minorHAnsi"/>
          <w:color w:val="000000" w:themeColor="text1"/>
          <w:lang w:val="en-GB"/>
        </w:rPr>
        <w:t>For continuous data that were not normally distributed, t</w:t>
      </w:r>
      <w:r w:rsidR="00420FD6" w:rsidRPr="00217EBD">
        <w:rPr>
          <w:rFonts w:cstheme="minorHAnsi"/>
          <w:color w:val="000000" w:themeColor="text1"/>
          <w:lang w:val="en-GB"/>
        </w:rPr>
        <w:t xml:space="preserve">he Wilcoxon Signed Rank test </w:t>
      </w:r>
      <w:proofErr w:type="gramStart"/>
      <w:r w:rsidR="00420FD6" w:rsidRPr="00217EBD">
        <w:rPr>
          <w:rFonts w:cstheme="minorHAnsi"/>
          <w:color w:val="000000" w:themeColor="text1"/>
          <w:lang w:val="en-GB"/>
        </w:rPr>
        <w:t>was used</w:t>
      </w:r>
      <w:proofErr w:type="gramEnd"/>
      <w:r w:rsidR="00420FD6" w:rsidRPr="00217EBD">
        <w:rPr>
          <w:rFonts w:cstheme="minorHAnsi"/>
          <w:color w:val="000000" w:themeColor="text1"/>
          <w:lang w:val="en-GB"/>
        </w:rPr>
        <w:t xml:space="preserve"> to compare paired means </w:t>
      </w:r>
      <w:r w:rsidR="00DC579D" w:rsidRPr="00217EBD">
        <w:rPr>
          <w:rFonts w:cstheme="minorHAnsi"/>
          <w:color w:val="000000" w:themeColor="text1"/>
          <w:lang w:val="en-GB"/>
        </w:rPr>
        <w:t>and the Mann-Whitney</w:t>
      </w:r>
      <w:r w:rsidR="006C2307" w:rsidRPr="006C2307">
        <w:rPr>
          <w:rFonts w:cstheme="minorHAnsi"/>
          <w:color w:val="000000" w:themeColor="text1"/>
          <w:lang w:val="en-GB"/>
        </w:rPr>
        <w:t xml:space="preserve"> </w:t>
      </w:r>
      <w:r w:rsidR="006C2307" w:rsidRPr="00123C4C">
        <w:rPr>
          <w:rFonts w:cstheme="minorHAnsi"/>
          <w:i/>
          <w:color w:val="000000" w:themeColor="text1"/>
          <w:lang w:val="en-GB"/>
        </w:rPr>
        <w:t>U</w:t>
      </w:r>
      <w:r w:rsidR="00DC579D" w:rsidRPr="00217EBD">
        <w:rPr>
          <w:rFonts w:cstheme="minorHAnsi"/>
          <w:color w:val="000000" w:themeColor="text1"/>
          <w:lang w:val="en-GB"/>
        </w:rPr>
        <w:t xml:space="preserve"> test for comparisons between independent samples. </w:t>
      </w:r>
      <w:r w:rsidR="006C45C7" w:rsidRPr="00123C4C">
        <w:rPr>
          <w:rFonts w:cstheme="minorHAnsi"/>
          <w:color w:val="000000" w:themeColor="text1"/>
          <w:lang w:val="en-GB"/>
        </w:rPr>
        <w:t xml:space="preserve">Correlations between continuous variables were analysed with Pearson's correlation coefficient. </w:t>
      </w:r>
      <w:r w:rsidR="007D6A45" w:rsidRPr="007D6A45">
        <w:rPr>
          <w:rFonts w:cstheme="minorHAnsi"/>
          <w:color w:val="000000" w:themeColor="text1"/>
          <w:highlight w:val="yellow"/>
          <w:lang w:val="en-GB"/>
        </w:rPr>
        <w:t>A p value &lt; than 0.05 was considered statistically significant.</w:t>
      </w:r>
      <w:r w:rsidR="007D6A45" w:rsidRPr="007D6A45">
        <w:rPr>
          <w:rFonts w:cstheme="minorHAnsi"/>
          <w:color w:val="000000" w:themeColor="text1"/>
          <w:lang w:val="en-GB"/>
        </w:rPr>
        <w:t xml:space="preserve"> </w:t>
      </w:r>
      <w:r w:rsidR="00420FD6" w:rsidRPr="00217EBD">
        <w:rPr>
          <w:rFonts w:cstheme="minorHAnsi"/>
          <w:color w:val="000000" w:themeColor="text1"/>
          <w:lang w:val="en-GB"/>
        </w:rPr>
        <w:t xml:space="preserve">Analyses </w:t>
      </w:r>
      <w:proofErr w:type="gramStart"/>
      <w:r w:rsidR="00420FD6" w:rsidRPr="00217EBD">
        <w:rPr>
          <w:rFonts w:cstheme="minorHAnsi"/>
          <w:color w:val="000000" w:themeColor="text1"/>
          <w:lang w:val="en-GB"/>
        </w:rPr>
        <w:t>were performed</w:t>
      </w:r>
      <w:proofErr w:type="gramEnd"/>
      <w:r w:rsidR="00420FD6" w:rsidRPr="00217EBD">
        <w:rPr>
          <w:rFonts w:cstheme="minorHAnsi"/>
          <w:color w:val="000000" w:themeColor="text1"/>
          <w:lang w:val="en-GB"/>
        </w:rPr>
        <w:t xml:space="preserve"> using SPSS version 23</w:t>
      </w:r>
      <w:r w:rsidR="00531201" w:rsidRPr="00123C4C">
        <w:rPr>
          <w:rFonts w:cstheme="minorHAnsi"/>
          <w:color w:val="000000" w:themeColor="text1"/>
          <w:lang w:val="en-GB"/>
        </w:rPr>
        <w:t xml:space="preserve"> software</w:t>
      </w:r>
      <w:r w:rsidR="00420FD6" w:rsidRPr="00217EBD">
        <w:rPr>
          <w:rFonts w:cstheme="minorHAnsi"/>
          <w:color w:val="000000" w:themeColor="text1"/>
          <w:lang w:val="en-GB"/>
        </w:rPr>
        <w:t>.</w:t>
      </w:r>
    </w:p>
    <w:p w:rsidR="00420FD6" w:rsidRPr="00217EBD" w:rsidRDefault="00420FD6" w:rsidP="00420FD6">
      <w:pPr>
        <w:spacing w:line="360" w:lineRule="auto"/>
        <w:ind w:firstLine="708"/>
        <w:jc w:val="both"/>
        <w:rPr>
          <w:rFonts w:cstheme="minorHAnsi"/>
          <w:b/>
        </w:rPr>
      </w:pPr>
    </w:p>
    <w:p w:rsidR="00420FD6" w:rsidRPr="00217EBD" w:rsidRDefault="00420FD6" w:rsidP="00420FD6">
      <w:pPr>
        <w:spacing w:line="360" w:lineRule="auto"/>
        <w:jc w:val="both"/>
        <w:rPr>
          <w:rFonts w:cstheme="minorHAnsi"/>
          <w:b/>
        </w:rPr>
      </w:pPr>
      <w:r w:rsidRPr="00217EBD">
        <w:rPr>
          <w:rFonts w:cstheme="minorHAnsi"/>
          <w:b/>
        </w:rPr>
        <w:t>RESULTS</w:t>
      </w:r>
    </w:p>
    <w:p w:rsidR="00420FD6" w:rsidRPr="00217EBD" w:rsidRDefault="00420FD6" w:rsidP="00420FD6">
      <w:pPr>
        <w:spacing w:line="360" w:lineRule="auto"/>
        <w:jc w:val="both"/>
        <w:rPr>
          <w:rFonts w:cstheme="minorHAnsi"/>
          <w:b/>
        </w:rPr>
      </w:pPr>
    </w:p>
    <w:p w:rsidR="00420FD6" w:rsidRPr="00217EBD" w:rsidRDefault="00420FD6" w:rsidP="00420FD6">
      <w:pPr>
        <w:spacing w:line="360" w:lineRule="auto"/>
        <w:jc w:val="both"/>
        <w:rPr>
          <w:rFonts w:cstheme="minorHAnsi"/>
          <w:b/>
          <w:caps/>
        </w:rPr>
      </w:pPr>
      <w:r w:rsidRPr="00217EBD">
        <w:rPr>
          <w:rFonts w:cstheme="minorHAnsi"/>
          <w:b/>
          <w:caps/>
        </w:rPr>
        <w:t>Result 1. Initial Patient Cohort: demographic and clinical features</w:t>
      </w:r>
    </w:p>
    <w:p w:rsidR="00420FD6" w:rsidRPr="00217EBD" w:rsidRDefault="00420FD6" w:rsidP="00420FD6">
      <w:pPr>
        <w:spacing w:line="360" w:lineRule="auto"/>
        <w:ind w:firstLine="708"/>
        <w:jc w:val="both"/>
        <w:rPr>
          <w:rFonts w:cstheme="minorHAnsi"/>
        </w:rPr>
      </w:pPr>
      <w:r w:rsidRPr="00217EBD">
        <w:rPr>
          <w:rFonts w:cstheme="minorHAnsi"/>
        </w:rPr>
        <w:t xml:space="preserve">Overall 94 patients started bDMARD in their fifth decade of life, after a median disease duration of four years (Table I). The majority of patients were female </w:t>
      </w:r>
      <w:r w:rsidR="00246626">
        <w:rPr>
          <w:rFonts w:cstheme="minorHAnsi"/>
        </w:rPr>
        <w:t>with</w:t>
      </w:r>
      <w:r w:rsidRPr="00217EBD">
        <w:rPr>
          <w:rFonts w:cstheme="minorHAnsi"/>
        </w:rPr>
        <w:t xml:space="preserve"> no differences between the types of bDMARD as regards</w:t>
      </w:r>
      <w:r w:rsidR="000C3F71">
        <w:rPr>
          <w:rFonts w:cstheme="minorHAnsi"/>
        </w:rPr>
        <w:t xml:space="preserve"> </w:t>
      </w:r>
      <w:r w:rsidR="000C3F71" w:rsidRPr="000C3F71">
        <w:rPr>
          <w:rFonts w:cstheme="minorHAnsi"/>
          <w:highlight w:val="yellow"/>
        </w:rPr>
        <w:t>age and</w:t>
      </w:r>
      <w:r w:rsidRPr="000C3F71">
        <w:rPr>
          <w:rFonts w:cstheme="minorHAnsi"/>
          <w:highlight w:val="yellow"/>
        </w:rPr>
        <w:t xml:space="preserve"> gender attribution</w:t>
      </w:r>
      <w:r w:rsidRPr="00217EBD">
        <w:rPr>
          <w:rFonts w:cstheme="minorHAnsi"/>
        </w:rPr>
        <w:t xml:space="preserve"> (Supplementary Table I). Rheumatoid factor or anti-CCP antibodies tested positive in 81% of the patients. Methotrexate (MTX) - median dose 20 mg per week and corticosteroids - median dose prednisolone (PDN) equivalent 10 mg/day had failed to control disease activity in 87% and 66% of patients, respectively. Treated dyslipidemia</w:t>
      </w:r>
      <w:r w:rsidR="007551D2" w:rsidRPr="00217EBD">
        <w:rPr>
          <w:rFonts w:cstheme="minorHAnsi"/>
        </w:rPr>
        <w:t xml:space="preserve"> (51%)</w:t>
      </w:r>
      <w:r w:rsidRPr="00217EBD">
        <w:rPr>
          <w:rFonts w:cstheme="minorHAnsi"/>
        </w:rPr>
        <w:t xml:space="preserve"> and arterial hypertension</w:t>
      </w:r>
      <w:r w:rsidR="007551D2" w:rsidRPr="00217EBD">
        <w:rPr>
          <w:rFonts w:cstheme="minorHAnsi"/>
        </w:rPr>
        <w:t xml:space="preserve"> (41%)</w:t>
      </w:r>
      <w:r w:rsidRPr="00217EBD">
        <w:rPr>
          <w:rFonts w:cstheme="minorHAnsi"/>
        </w:rPr>
        <w:t xml:space="preserve"> were frequently documented, </w:t>
      </w:r>
      <w:r w:rsidR="00800039" w:rsidRPr="00217EBD">
        <w:rPr>
          <w:rFonts w:cstheme="minorHAnsi"/>
        </w:rPr>
        <w:t>19% of patients suffered from chronic anxiety, 16</w:t>
      </w:r>
      <w:r w:rsidRPr="00217EBD">
        <w:rPr>
          <w:rFonts w:cstheme="minorHAnsi"/>
        </w:rPr>
        <w:t xml:space="preserve">% </w:t>
      </w:r>
      <w:r w:rsidR="00800039" w:rsidRPr="00217EBD">
        <w:rPr>
          <w:rFonts w:cstheme="minorHAnsi"/>
        </w:rPr>
        <w:t>were smokers and 10</w:t>
      </w:r>
      <w:proofErr w:type="gramStart"/>
      <w:r w:rsidR="00800039" w:rsidRPr="00217EBD">
        <w:rPr>
          <w:rFonts w:cstheme="minorHAnsi"/>
        </w:rPr>
        <w:t xml:space="preserve">% </w:t>
      </w:r>
      <w:r w:rsidRPr="00217EBD">
        <w:rPr>
          <w:rFonts w:cstheme="minorHAnsi"/>
        </w:rPr>
        <w:t xml:space="preserve"> were</w:t>
      </w:r>
      <w:proofErr w:type="gramEnd"/>
      <w:r w:rsidRPr="00217EBD">
        <w:rPr>
          <w:rFonts w:cstheme="minorHAnsi"/>
        </w:rPr>
        <w:t xml:space="preserve"> obese</w:t>
      </w:r>
      <w:r w:rsidR="00800039" w:rsidRPr="00217EBD">
        <w:rPr>
          <w:rFonts w:cstheme="minorHAnsi"/>
        </w:rPr>
        <w:t>.</w:t>
      </w:r>
      <w:r w:rsidRPr="00217EBD">
        <w:rPr>
          <w:rFonts w:cstheme="minorHAnsi"/>
        </w:rPr>
        <w:t xml:space="preserve"> </w:t>
      </w:r>
      <w:r w:rsidR="004126ED" w:rsidRPr="00217EBD">
        <w:rPr>
          <w:rFonts w:cstheme="minorHAnsi"/>
        </w:rPr>
        <w:t>The median of the estimated 10-year survival using the Charlson comorbidity index was 90%.</w:t>
      </w:r>
    </w:p>
    <w:p w:rsidR="007179FB" w:rsidRDefault="007179FB" w:rsidP="00420FD6">
      <w:pPr>
        <w:spacing w:line="360" w:lineRule="auto"/>
        <w:jc w:val="both"/>
        <w:rPr>
          <w:rFonts w:cstheme="minorHAnsi"/>
          <w:b/>
          <w:caps/>
        </w:rPr>
      </w:pPr>
    </w:p>
    <w:p w:rsidR="00420FD6" w:rsidRPr="00217EBD" w:rsidRDefault="00420FD6" w:rsidP="00420FD6">
      <w:pPr>
        <w:spacing w:line="360" w:lineRule="auto"/>
        <w:jc w:val="both"/>
        <w:rPr>
          <w:rFonts w:cstheme="minorHAnsi"/>
          <w:b/>
          <w:caps/>
        </w:rPr>
      </w:pPr>
      <w:r w:rsidRPr="00217EBD">
        <w:rPr>
          <w:rFonts w:cstheme="minorHAnsi"/>
          <w:b/>
          <w:caps/>
        </w:rPr>
        <w:t>Result 2. Recall Patient Cohort: demographic and clinical features</w:t>
      </w:r>
    </w:p>
    <w:p w:rsidR="00420FD6" w:rsidRPr="00217EBD" w:rsidRDefault="005D1EF8" w:rsidP="00420FD6">
      <w:pPr>
        <w:spacing w:line="360" w:lineRule="auto"/>
        <w:ind w:firstLine="708"/>
        <w:jc w:val="both"/>
        <w:rPr>
          <w:rFonts w:cstheme="minorHAnsi"/>
        </w:rPr>
      </w:pPr>
      <w:r w:rsidRPr="00123C4C">
        <w:rPr>
          <w:rFonts w:cstheme="minorHAnsi"/>
        </w:rPr>
        <w:t xml:space="preserve">Recruitment </w:t>
      </w:r>
      <w:proofErr w:type="gramStart"/>
      <w:r w:rsidRPr="00123C4C">
        <w:rPr>
          <w:rFonts w:cstheme="minorHAnsi"/>
        </w:rPr>
        <w:t>was achieved</w:t>
      </w:r>
      <w:proofErr w:type="gramEnd"/>
      <w:r w:rsidRPr="00123C4C">
        <w:rPr>
          <w:rFonts w:cstheme="minorHAnsi"/>
        </w:rPr>
        <w:t xml:space="preserve"> in 77 patients, a major part of whom were between 47 and 66 years of age</w:t>
      </w:r>
      <w:r w:rsidR="009D3846" w:rsidRPr="00123C4C">
        <w:rPr>
          <w:rFonts w:cstheme="minorHAnsi"/>
        </w:rPr>
        <w:t xml:space="preserve"> (T</w:t>
      </w:r>
      <w:r w:rsidRPr="00123C4C">
        <w:rPr>
          <w:rFonts w:cstheme="minorHAnsi"/>
        </w:rPr>
        <w:t xml:space="preserve">able II). </w:t>
      </w:r>
      <w:r w:rsidR="00EB2187" w:rsidRPr="00217EBD">
        <w:rPr>
          <w:rFonts w:cstheme="minorHAnsi"/>
        </w:rPr>
        <w:t xml:space="preserve">As regards professional </w:t>
      </w:r>
      <w:proofErr w:type="gramStart"/>
      <w:r w:rsidR="00EB2187" w:rsidRPr="00217EBD">
        <w:rPr>
          <w:rFonts w:cstheme="minorHAnsi"/>
        </w:rPr>
        <w:t>status</w:t>
      </w:r>
      <w:proofErr w:type="gramEnd"/>
      <w:r w:rsidR="00EB2187" w:rsidRPr="00217EBD">
        <w:rPr>
          <w:rFonts w:cstheme="minorHAnsi"/>
        </w:rPr>
        <w:t xml:space="preserve"> almost half of the sample was retired (49%) and 10.5% unemployed.</w:t>
      </w:r>
      <w:r w:rsidR="00EB2187" w:rsidRPr="00217EBD" w:rsidDel="00EB2187">
        <w:rPr>
          <w:rFonts w:cstheme="minorHAnsi"/>
        </w:rPr>
        <w:t xml:space="preserve"> </w:t>
      </w:r>
      <w:r w:rsidR="00420FD6" w:rsidRPr="00217EBD">
        <w:rPr>
          <w:rFonts w:cstheme="minorHAnsi"/>
        </w:rPr>
        <w:t>The majority (40.8%) only had 4 years of schooling; 11% had completed 12 years of schooling and 17% underwent a u</w:t>
      </w:r>
      <w:r w:rsidR="00A22A5B">
        <w:rPr>
          <w:rFonts w:cstheme="minorHAnsi"/>
        </w:rPr>
        <w:t>niversity education</w:t>
      </w:r>
      <w:r w:rsidR="00420FD6" w:rsidRPr="00217EBD">
        <w:rPr>
          <w:rFonts w:cstheme="minorHAnsi"/>
        </w:rPr>
        <w:t>. Only 17% were single.</w:t>
      </w:r>
    </w:p>
    <w:p w:rsidR="00420FD6" w:rsidRDefault="00420FD6" w:rsidP="00420FD6">
      <w:pPr>
        <w:spacing w:line="360" w:lineRule="auto"/>
        <w:ind w:firstLine="708"/>
        <w:jc w:val="both"/>
        <w:rPr>
          <w:rFonts w:cstheme="minorHAnsi"/>
        </w:rPr>
      </w:pPr>
      <w:r w:rsidRPr="00217EBD">
        <w:rPr>
          <w:rFonts w:cstheme="minorHAnsi"/>
        </w:rPr>
        <w:lastRenderedPageBreak/>
        <w:t xml:space="preserve">Over two thirds (79%) of the patients remained on bDMARD (n=61), the majority of whom were on etanercept and tocilizumab; 75% remained on the original bDMARD with an adequate compliance (Table III). Approximately one fifth of the patients stopped bDMARD (n=16), mostly due to infection but also because of primary or secondary failure or </w:t>
      </w:r>
      <w:r w:rsidR="00A00089" w:rsidRPr="00217EBD">
        <w:rPr>
          <w:rFonts w:cstheme="minorHAnsi"/>
        </w:rPr>
        <w:t>willfully</w:t>
      </w:r>
      <w:r w:rsidRPr="00217EBD">
        <w:rPr>
          <w:rFonts w:cstheme="minorHAnsi"/>
        </w:rPr>
        <w:t xml:space="preserve"> due to subjectively controlled disease activity. One third of patients (n=22) switched from the original bDMARD, </w:t>
      </w:r>
      <w:r w:rsidR="00E06862" w:rsidRPr="00217EBD">
        <w:rPr>
          <w:rFonts w:cstheme="minorHAnsi"/>
        </w:rPr>
        <w:t xml:space="preserve">8 </w:t>
      </w:r>
      <w:r w:rsidRPr="00217EBD">
        <w:rPr>
          <w:rFonts w:cstheme="minorHAnsi"/>
        </w:rPr>
        <w:t xml:space="preserve">having required further switches. Maximal number of </w:t>
      </w:r>
      <w:proofErr w:type="gramStart"/>
      <w:r w:rsidRPr="00217EBD">
        <w:rPr>
          <w:rFonts w:cstheme="minorHAnsi"/>
        </w:rPr>
        <w:t>3</w:t>
      </w:r>
      <w:proofErr w:type="gramEnd"/>
      <w:r w:rsidRPr="00217EBD">
        <w:rPr>
          <w:rFonts w:cstheme="minorHAnsi"/>
        </w:rPr>
        <w:t xml:space="preserve"> and 4 switches occurred in single patients. After bDMARD onset, MTX use reduced from 95 to 22% (p=0.002, Chi square test between frequencies). Likewise, steroid use significantly decreased from 74 to 30% (p&lt;0.001, Chi square test between frequencies), halving the prednisolone equivalent dose to a median of 5 mg/day. Of note, the frequency of steroid use was slightly higher in those patients that discontinued bDMARD. </w:t>
      </w:r>
      <w:r w:rsidRPr="00217EBD">
        <w:rPr>
          <w:rFonts w:cstheme="minorHAnsi"/>
          <w:lang w:val="en-GB"/>
        </w:rPr>
        <w:t xml:space="preserve">Approximately 40% presented </w:t>
      </w:r>
      <w:r w:rsidRPr="00217EBD">
        <w:rPr>
          <w:rFonts w:cstheme="minorHAnsi"/>
        </w:rPr>
        <w:t xml:space="preserve">hand deformities, but the median number of deformities per patient was generally low. </w:t>
      </w:r>
      <w:r w:rsidR="00743096" w:rsidRPr="00217EBD">
        <w:rPr>
          <w:rFonts w:cstheme="minorHAnsi"/>
        </w:rPr>
        <w:t>D</w:t>
      </w:r>
      <w:r w:rsidR="00871836" w:rsidRPr="00217EBD">
        <w:rPr>
          <w:rFonts w:cstheme="minorHAnsi"/>
        </w:rPr>
        <w:t xml:space="preserve">yslipidemia </w:t>
      </w:r>
      <w:r w:rsidR="00743096" w:rsidRPr="00217EBD">
        <w:rPr>
          <w:rFonts w:cstheme="minorHAnsi"/>
        </w:rPr>
        <w:t xml:space="preserve">(53%) </w:t>
      </w:r>
      <w:r w:rsidR="00871836" w:rsidRPr="00217EBD">
        <w:rPr>
          <w:rFonts w:cstheme="minorHAnsi"/>
        </w:rPr>
        <w:t>and arterial hypertension</w:t>
      </w:r>
      <w:r w:rsidR="00743096" w:rsidRPr="00217EBD">
        <w:rPr>
          <w:rFonts w:cstheme="minorHAnsi"/>
        </w:rPr>
        <w:t xml:space="preserve"> (43%)</w:t>
      </w:r>
      <w:r w:rsidR="00871836" w:rsidRPr="00217EBD">
        <w:rPr>
          <w:rFonts w:cstheme="minorHAnsi"/>
        </w:rPr>
        <w:t xml:space="preserve"> </w:t>
      </w:r>
      <w:proofErr w:type="gramStart"/>
      <w:r w:rsidR="00871836" w:rsidRPr="00217EBD">
        <w:rPr>
          <w:rFonts w:cstheme="minorHAnsi"/>
        </w:rPr>
        <w:t>were equally dis</w:t>
      </w:r>
      <w:r w:rsidR="00743096" w:rsidRPr="00217EBD">
        <w:rPr>
          <w:rFonts w:cstheme="minorHAnsi"/>
        </w:rPr>
        <w:t>tributed</w:t>
      </w:r>
      <w:proofErr w:type="gramEnd"/>
      <w:r w:rsidR="00743096" w:rsidRPr="00217EBD">
        <w:rPr>
          <w:rFonts w:cstheme="minorHAnsi"/>
        </w:rPr>
        <w:t xml:space="preserve"> among the participants but chronic anxiety (18%), s</w:t>
      </w:r>
      <w:r w:rsidRPr="00217EBD">
        <w:rPr>
          <w:rFonts w:cstheme="minorHAnsi"/>
        </w:rPr>
        <w:t>moking</w:t>
      </w:r>
      <w:r w:rsidR="00871836" w:rsidRPr="00217EBD">
        <w:rPr>
          <w:rFonts w:cstheme="minorHAnsi"/>
        </w:rPr>
        <w:t xml:space="preserve"> (</w:t>
      </w:r>
      <w:r w:rsidR="00743096" w:rsidRPr="00217EBD">
        <w:rPr>
          <w:rFonts w:cstheme="minorHAnsi"/>
        </w:rPr>
        <w:t>14</w:t>
      </w:r>
      <w:r w:rsidR="00871836" w:rsidRPr="00217EBD">
        <w:rPr>
          <w:rFonts w:cstheme="minorHAnsi"/>
        </w:rPr>
        <w:t>%)</w:t>
      </w:r>
      <w:r w:rsidR="00743096" w:rsidRPr="00217EBD">
        <w:rPr>
          <w:rFonts w:cstheme="minorHAnsi"/>
        </w:rPr>
        <w:t xml:space="preserve"> and</w:t>
      </w:r>
      <w:r w:rsidR="00472F78" w:rsidRPr="00217EBD">
        <w:rPr>
          <w:rFonts w:cstheme="minorHAnsi"/>
        </w:rPr>
        <w:t xml:space="preserve"> </w:t>
      </w:r>
      <w:r w:rsidRPr="00217EBD">
        <w:rPr>
          <w:rFonts w:cstheme="minorHAnsi"/>
        </w:rPr>
        <w:t>obesity</w:t>
      </w:r>
      <w:r w:rsidR="00871836" w:rsidRPr="00217EBD">
        <w:rPr>
          <w:rFonts w:cstheme="minorHAnsi"/>
        </w:rPr>
        <w:t xml:space="preserve"> (</w:t>
      </w:r>
      <w:r w:rsidR="00743096" w:rsidRPr="00217EBD">
        <w:rPr>
          <w:rFonts w:cstheme="minorHAnsi"/>
        </w:rPr>
        <w:t>10</w:t>
      </w:r>
      <w:r w:rsidR="00871836" w:rsidRPr="00217EBD">
        <w:rPr>
          <w:rFonts w:cstheme="minorHAnsi"/>
        </w:rPr>
        <w:t>%)</w:t>
      </w:r>
      <w:r w:rsidR="00A136C3" w:rsidRPr="00123C4C">
        <w:rPr>
          <w:rFonts w:cstheme="minorHAnsi"/>
        </w:rPr>
        <w:t xml:space="preserve"> </w:t>
      </w:r>
      <w:r w:rsidRPr="00217EBD">
        <w:rPr>
          <w:rFonts w:cstheme="minorHAnsi"/>
        </w:rPr>
        <w:t>were only registered in females</w:t>
      </w:r>
      <w:r w:rsidR="00743096" w:rsidRPr="00217EBD">
        <w:rPr>
          <w:rFonts w:cstheme="minorHAnsi"/>
        </w:rPr>
        <w:t xml:space="preserve">. </w:t>
      </w:r>
      <w:r w:rsidRPr="00217EBD">
        <w:rPr>
          <w:rFonts w:cstheme="minorHAnsi"/>
        </w:rPr>
        <w:t xml:space="preserve">The original age difference between males and females was no longer present, with no other difference between sexes as regards demographic features, disease duration from diagnosis to recall, onset of first bDMARD and follow-up. </w:t>
      </w:r>
      <w:r w:rsidRPr="00217EBD">
        <w:rPr>
          <w:rFonts w:cstheme="minorHAnsi"/>
          <w:lang w:val="en-GB"/>
        </w:rPr>
        <w:t>Unlike before, t</w:t>
      </w:r>
      <w:r w:rsidRPr="00217EBD">
        <w:rPr>
          <w:rFonts w:cstheme="minorHAnsi"/>
        </w:rPr>
        <w:t xml:space="preserve">he Charlson comorbidity index was now higher in </w:t>
      </w:r>
      <w:r w:rsidR="00472F78" w:rsidRPr="00217EBD">
        <w:rPr>
          <w:rFonts w:cstheme="minorHAnsi"/>
        </w:rPr>
        <w:t xml:space="preserve">men </w:t>
      </w:r>
      <w:proofErr w:type="gramStart"/>
      <w:r w:rsidRPr="00217EBD">
        <w:rPr>
          <w:rFonts w:cstheme="minorHAnsi"/>
        </w:rPr>
        <w:t>than women</w:t>
      </w:r>
      <w:proofErr w:type="gramEnd"/>
      <w:r w:rsidRPr="00217EBD">
        <w:rPr>
          <w:rFonts w:cstheme="minorHAnsi"/>
        </w:rPr>
        <w:t>, estimating a lower 10-year survival for the former (p=0.019) (Supplementary Table II).</w:t>
      </w:r>
    </w:p>
    <w:p w:rsidR="007474CD" w:rsidRPr="00217EBD" w:rsidRDefault="00420FD6" w:rsidP="00420FD6">
      <w:pPr>
        <w:spacing w:line="360" w:lineRule="auto"/>
        <w:ind w:firstLine="708"/>
        <w:jc w:val="both"/>
        <w:rPr>
          <w:rFonts w:cstheme="minorHAnsi"/>
        </w:rPr>
      </w:pPr>
      <w:r w:rsidRPr="00217EBD">
        <w:rPr>
          <w:rFonts w:cstheme="minorHAnsi"/>
        </w:rPr>
        <w:t xml:space="preserve">At recall, DAS28-ESR and HAQ were significantly lower when compared to the pre-bDMARD values, both with a p value &lt;0.001 (Wilcoxon Signed Rank test). However </w:t>
      </w:r>
      <w:r w:rsidR="00AB6BAB">
        <w:rPr>
          <w:rFonts w:cstheme="minorHAnsi"/>
        </w:rPr>
        <w:t xml:space="preserve">the </w:t>
      </w:r>
      <w:r w:rsidRPr="00217EBD">
        <w:rPr>
          <w:rFonts w:cstheme="minorHAnsi"/>
        </w:rPr>
        <w:t>median DAS28-ESR of 3.2 (IQR 2.390 – 3.950) was borderline between low and moderate disease activity</w:t>
      </w:r>
      <w:r w:rsidR="002F5125">
        <w:rPr>
          <w:rFonts w:cstheme="minorHAnsi"/>
        </w:rPr>
        <w:t xml:space="preserve"> </w:t>
      </w:r>
      <w:r w:rsidR="00531127">
        <w:rPr>
          <w:rFonts w:cstheme="minorHAnsi"/>
        </w:rPr>
        <w:t xml:space="preserve">and </w:t>
      </w:r>
      <w:r w:rsidR="001966DE">
        <w:rPr>
          <w:rFonts w:cstheme="minorHAnsi"/>
        </w:rPr>
        <w:t>t</w:t>
      </w:r>
      <w:r w:rsidRPr="00217EBD">
        <w:rPr>
          <w:rFonts w:cstheme="minorHAnsi"/>
        </w:rPr>
        <w:t>he median HAQ-DI index was 1.310 (IQR 0.500 – 1.810)</w:t>
      </w:r>
      <w:r w:rsidR="001966DE">
        <w:rPr>
          <w:rFonts w:cstheme="minorHAnsi"/>
        </w:rPr>
        <w:t>,</w:t>
      </w:r>
      <w:r w:rsidRPr="00217EBD">
        <w:rPr>
          <w:rFonts w:cstheme="minorHAnsi"/>
        </w:rPr>
        <w:t xml:space="preserve"> indicative of mild to moderate disability</w:t>
      </w:r>
      <w:r w:rsidR="006F4569" w:rsidRPr="000C5111">
        <w:rPr>
          <w:rFonts w:cstheme="minorHAnsi"/>
          <w:lang w:val="en-GB"/>
        </w:rPr>
        <w:t xml:space="preserve">. </w:t>
      </w:r>
      <w:r w:rsidR="006F4569">
        <w:rPr>
          <w:rFonts w:cstheme="minorHAnsi"/>
          <w:lang w:val="en-GB"/>
        </w:rPr>
        <w:t>Additionally, at recall, t</w:t>
      </w:r>
      <w:r w:rsidR="00CB1B08">
        <w:rPr>
          <w:rFonts w:cstheme="minorHAnsi"/>
        </w:rPr>
        <w:t xml:space="preserve">here was no significant difference in </w:t>
      </w:r>
      <w:r w:rsidR="00CB1B08" w:rsidRPr="00AB6BAB">
        <w:rPr>
          <w:rFonts w:cstheme="minorHAnsi"/>
        </w:rPr>
        <w:t xml:space="preserve">DAS28-ESR </w:t>
      </w:r>
      <w:r w:rsidR="00CB1B08">
        <w:rPr>
          <w:rFonts w:cstheme="minorHAnsi"/>
        </w:rPr>
        <w:t>or HAQ when comparing</w:t>
      </w:r>
      <w:r w:rsidR="00CB1B08" w:rsidRPr="00AB6BAB">
        <w:rPr>
          <w:rFonts w:cstheme="minorHAnsi"/>
        </w:rPr>
        <w:t xml:space="preserve"> patients on bDMARD </w:t>
      </w:r>
      <w:r w:rsidR="00CB1B08">
        <w:rPr>
          <w:rFonts w:cstheme="minorHAnsi"/>
        </w:rPr>
        <w:t xml:space="preserve">with </w:t>
      </w:r>
      <w:r w:rsidR="00CB1B08" w:rsidRPr="00AB6BAB">
        <w:rPr>
          <w:rFonts w:cstheme="minorHAnsi"/>
        </w:rPr>
        <w:t xml:space="preserve">patients </w:t>
      </w:r>
      <w:r w:rsidR="008E1507">
        <w:rPr>
          <w:rFonts w:cstheme="minorHAnsi"/>
        </w:rPr>
        <w:t xml:space="preserve">off bDMARDs </w:t>
      </w:r>
      <w:r w:rsidR="00CB1B08" w:rsidRPr="00217EBD">
        <w:rPr>
          <w:rFonts w:cstheme="minorHAnsi"/>
        </w:rPr>
        <w:t>(p</w:t>
      </w:r>
      <w:r w:rsidR="00CB1B08">
        <w:rPr>
          <w:rFonts w:cstheme="minorHAnsi"/>
        </w:rPr>
        <w:t>=0.917 and 0.975, respectively - Mann Whitney-</w:t>
      </w:r>
      <w:r w:rsidR="00CB1B08" w:rsidRPr="00123C4C">
        <w:rPr>
          <w:rFonts w:cstheme="minorHAnsi"/>
          <w:i/>
        </w:rPr>
        <w:t>U</w:t>
      </w:r>
      <w:r w:rsidR="00CB1B08">
        <w:rPr>
          <w:rFonts w:cstheme="minorHAnsi"/>
        </w:rPr>
        <w:t xml:space="preserve"> test</w:t>
      </w:r>
      <w:r w:rsidR="00CB1B08" w:rsidRPr="00217EBD">
        <w:rPr>
          <w:rFonts w:cstheme="minorHAnsi"/>
        </w:rPr>
        <w:t>).</w:t>
      </w:r>
      <w:r w:rsidR="00CB1B08">
        <w:rPr>
          <w:rFonts w:cstheme="minorHAnsi"/>
        </w:rPr>
        <w:t xml:space="preserve"> </w:t>
      </w:r>
      <w:r w:rsidRPr="00217EBD">
        <w:rPr>
          <w:rFonts w:cstheme="minorHAnsi"/>
        </w:rPr>
        <w:t xml:space="preserve">Of note, the pre-bDMARD HAQ </w:t>
      </w:r>
      <w:proofErr w:type="gramStart"/>
      <w:r w:rsidRPr="00217EBD">
        <w:rPr>
          <w:rFonts w:cstheme="minorHAnsi"/>
        </w:rPr>
        <w:t>could only be obtained</w:t>
      </w:r>
      <w:proofErr w:type="gramEnd"/>
      <w:r w:rsidRPr="00217EBD">
        <w:rPr>
          <w:rFonts w:cstheme="minorHAnsi"/>
        </w:rPr>
        <w:t xml:space="preserve"> for 28 of the 77 patients at recall. </w:t>
      </w:r>
    </w:p>
    <w:p w:rsidR="007179FB" w:rsidRDefault="007179FB" w:rsidP="00BB4E82">
      <w:pPr>
        <w:spacing w:line="360" w:lineRule="auto"/>
        <w:jc w:val="both"/>
        <w:rPr>
          <w:rFonts w:cstheme="minorHAnsi"/>
          <w:b/>
          <w:caps/>
        </w:rPr>
      </w:pPr>
    </w:p>
    <w:p w:rsidR="00420FD6" w:rsidRPr="00217EBD" w:rsidRDefault="00420FD6" w:rsidP="00BB4E82">
      <w:pPr>
        <w:spacing w:line="360" w:lineRule="auto"/>
        <w:jc w:val="both"/>
        <w:rPr>
          <w:rFonts w:cstheme="minorHAnsi"/>
          <w:b/>
          <w:caps/>
        </w:rPr>
      </w:pPr>
      <w:r w:rsidRPr="00217EBD">
        <w:rPr>
          <w:rFonts w:cstheme="minorHAnsi"/>
          <w:b/>
          <w:caps/>
        </w:rPr>
        <w:t>Result 3. Recall Patient Cohort: HEALTH RELATED quality of life outcomes</w:t>
      </w:r>
    </w:p>
    <w:p w:rsidR="00420FD6" w:rsidRPr="00217EBD" w:rsidRDefault="00420FD6" w:rsidP="00E0495B">
      <w:pPr>
        <w:spacing w:line="360" w:lineRule="auto"/>
        <w:ind w:firstLine="708"/>
        <w:jc w:val="both"/>
        <w:rPr>
          <w:rFonts w:cstheme="minorHAnsi"/>
        </w:rPr>
      </w:pPr>
      <w:r w:rsidRPr="00217EBD">
        <w:rPr>
          <w:rFonts w:cstheme="minorHAnsi"/>
          <w:lang w:val="en-GB"/>
        </w:rPr>
        <w:t>Lower scores on the SF-36 reflect poorer HR-</w:t>
      </w:r>
      <w:proofErr w:type="spellStart"/>
      <w:r w:rsidRPr="00217EBD">
        <w:rPr>
          <w:rFonts w:cstheme="minorHAnsi"/>
          <w:lang w:val="en-GB"/>
        </w:rPr>
        <w:t>QoL</w:t>
      </w:r>
      <w:proofErr w:type="spellEnd"/>
      <w:r w:rsidRPr="00217EBD">
        <w:rPr>
          <w:rFonts w:cstheme="minorHAnsi"/>
          <w:lang w:val="en-GB"/>
        </w:rPr>
        <w:t>, particularly affecting the physical domains, general health perception and vitality in our patient cohort (Fig</w:t>
      </w:r>
      <w:r w:rsidR="001966DE">
        <w:rPr>
          <w:rFonts w:cstheme="minorHAnsi"/>
          <w:lang w:val="en-GB"/>
        </w:rPr>
        <w:t>.</w:t>
      </w:r>
      <w:r w:rsidRPr="00217EBD">
        <w:rPr>
          <w:rFonts w:cstheme="minorHAnsi"/>
          <w:lang w:val="en-GB"/>
        </w:rPr>
        <w:t xml:space="preserve"> 1). </w:t>
      </w:r>
      <w:r w:rsidR="00E0495B" w:rsidRPr="00123C4C">
        <w:rPr>
          <w:rFonts w:cstheme="minorHAnsi"/>
          <w:lang w:val="en-GB"/>
        </w:rPr>
        <w:lastRenderedPageBreak/>
        <w:t xml:space="preserve">Due to missing values, the SF-36 Physical (PCS) and Mental Component Summaries (PCS) </w:t>
      </w:r>
      <w:proofErr w:type="gramStart"/>
      <w:r w:rsidR="00E0495B" w:rsidRPr="00123C4C">
        <w:rPr>
          <w:rFonts w:cstheme="minorHAnsi"/>
          <w:lang w:val="en-GB"/>
        </w:rPr>
        <w:t>could only be calculated</w:t>
      </w:r>
      <w:proofErr w:type="gramEnd"/>
      <w:r w:rsidR="00E0495B" w:rsidRPr="00123C4C">
        <w:rPr>
          <w:rFonts w:cstheme="minorHAnsi"/>
          <w:lang w:val="en-GB"/>
        </w:rPr>
        <w:t xml:space="preserve"> for 44 subjects with mean values of 37</w:t>
      </w:r>
      <w:r w:rsidR="00347361" w:rsidRPr="00123C4C">
        <w:rPr>
          <w:rFonts w:cstheme="minorHAnsi"/>
          <w:lang w:val="en-GB"/>
        </w:rPr>
        <w:t>.</w:t>
      </w:r>
      <w:r w:rsidR="00E0495B" w:rsidRPr="00123C4C">
        <w:rPr>
          <w:rFonts w:cstheme="minorHAnsi"/>
          <w:lang w:val="en-GB"/>
        </w:rPr>
        <w:t>7 ± 9</w:t>
      </w:r>
      <w:r w:rsidR="00347361" w:rsidRPr="00123C4C">
        <w:rPr>
          <w:rFonts w:cstheme="minorHAnsi"/>
          <w:lang w:val="en-GB"/>
        </w:rPr>
        <w:t>.</w:t>
      </w:r>
      <w:r w:rsidR="00E0495B" w:rsidRPr="00123C4C">
        <w:rPr>
          <w:rFonts w:cstheme="minorHAnsi"/>
          <w:lang w:val="en-GB"/>
        </w:rPr>
        <w:t>5 and 46</w:t>
      </w:r>
      <w:r w:rsidR="00347361" w:rsidRPr="00123C4C">
        <w:rPr>
          <w:rFonts w:cstheme="minorHAnsi"/>
          <w:lang w:val="en-GB"/>
        </w:rPr>
        <w:t>.</w:t>
      </w:r>
      <w:r w:rsidR="00E0495B" w:rsidRPr="00123C4C">
        <w:rPr>
          <w:rFonts w:cstheme="minorHAnsi"/>
          <w:lang w:val="en-GB"/>
        </w:rPr>
        <w:t>5 ± 11</w:t>
      </w:r>
      <w:r w:rsidR="00347361" w:rsidRPr="00123C4C">
        <w:rPr>
          <w:rFonts w:cstheme="minorHAnsi"/>
          <w:lang w:val="en-GB"/>
        </w:rPr>
        <w:t>.</w:t>
      </w:r>
      <w:r w:rsidR="00E0495B" w:rsidRPr="00123C4C">
        <w:rPr>
          <w:rFonts w:cstheme="minorHAnsi"/>
          <w:lang w:val="en-GB"/>
        </w:rPr>
        <w:t xml:space="preserve">6, respectively. </w:t>
      </w:r>
      <w:r w:rsidRPr="00217EBD">
        <w:rPr>
          <w:rFonts w:cstheme="minorHAnsi"/>
        </w:rPr>
        <w:t>Regarding EQ-5D-3L (Table III), the mean calculated score and VAS were 0</w:t>
      </w:r>
      <w:r w:rsidR="00347361" w:rsidRPr="00123C4C">
        <w:rPr>
          <w:rFonts w:cstheme="minorHAnsi"/>
        </w:rPr>
        <w:t>.</w:t>
      </w:r>
      <w:r w:rsidRPr="00217EBD">
        <w:rPr>
          <w:rFonts w:cstheme="minorHAnsi"/>
        </w:rPr>
        <w:t>45 (± 0</w:t>
      </w:r>
      <w:r w:rsidR="00347361" w:rsidRPr="00123C4C">
        <w:rPr>
          <w:rFonts w:cstheme="minorHAnsi"/>
        </w:rPr>
        <w:t>.</w:t>
      </w:r>
      <w:r w:rsidRPr="00217EBD">
        <w:rPr>
          <w:rFonts w:cstheme="minorHAnsi"/>
        </w:rPr>
        <w:t>3) and 60</w:t>
      </w:r>
      <w:r w:rsidR="00347361" w:rsidRPr="00123C4C">
        <w:rPr>
          <w:rFonts w:cstheme="minorHAnsi"/>
        </w:rPr>
        <w:t>.</w:t>
      </w:r>
      <w:r w:rsidRPr="00217EBD">
        <w:rPr>
          <w:rFonts w:cstheme="minorHAnsi"/>
        </w:rPr>
        <w:t>64 (± 22</w:t>
      </w:r>
      <w:r w:rsidR="00347361" w:rsidRPr="00123C4C">
        <w:rPr>
          <w:rFonts w:cstheme="minorHAnsi"/>
        </w:rPr>
        <w:t>.</w:t>
      </w:r>
      <w:r w:rsidRPr="00217EBD">
        <w:rPr>
          <w:rFonts w:cstheme="minorHAnsi"/>
        </w:rPr>
        <w:t xml:space="preserve">1), respectively. </w:t>
      </w:r>
      <w:r w:rsidR="00864483" w:rsidRPr="003F153A">
        <w:rPr>
          <w:rFonts w:cstheme="minorHAnsi"/>
        </w:rPr>
        <w:t xml:space="preserve">There were no significant differences in the EQ-5D-3L domains between men and women (Supplementary Table II). </w:t>
      </w:r>
      <w:r w:rsidR="00E0495B" w:rsidRPr="00123C4C">
        <w:rPr>
          <w:rFonts w:cstheme="minorHAnsi"/>
        </w:rPr>
        <w:t xml:space="preserve">Moderate yet significant correlations </w:t>
      </w:r>
      <w:proofErr w:type="gramStart"/>
      <w:r w:rsidR="00E0495B" w:rsidRPr="00123C4C">
        <w:rPr>
          <w:rFonts w:cstheme="minorHAnsi"/>
        </w:rPr>
        <w:t>were found</w:t>
      </w:r>
      <w:proofErr w:type="gramEnd"/>
      <w:r w:rsidR="00E0495B" w:rsidRPr="00123C4C">
        <w:rPr>
          <w:rFonts w:cstheme="minorHAnsi"/>
        </w:rPr>
        <w:t xml:space="preserve"> between PCS, MCS and EQ-5D-3L mean score and VAS (Supplementary Table III).</w:t>
      </w:r>
    </w:p>
    <w:p w:rsidR="00420FD6" w:rsidRPr="00217EBD" w:rsidRDefault="00C81790" w:rsidP="00420FD6">
      <w:pPr>
        <w:spacing w:line="360" w:lineRule="auto"/>
        <w:ind w:firstLine="708"/>
        <w:jc w:val="both"/>
        <w:rPr>
          <w:rFonts w:cstheme="minorHAnsi"/>
        </w:rPr>
      </w:pPr>
      <w:r w:rsidRPr="00217EBD">
        <w:rPr>
          <w:rFonts w:cstheme="minorHAnsi"/>
        </w:rPr>
        <w:t xml:space="preserve"> </w:t>
      </w:r>
      <w:r w:rsidRPr="004E4E38">
        <w:rPr>
          <w:rFonts w:cstheme="minorHAnsi"/>
        </w:rPr>
        <w:t xml:space="preserve">Full data as regards professional status </w:t>
      </w:r>
      <w:proofErr w:type="gramStart"/>
      <w:r w:rsidR="001966DE" w:rsidRPr="004E4E38">
        <w:rPr>
          <w:rFonts w:cstheme="minorHAnsi"/>
        </w:rPr>
        <w:t>are</w:t>
      </w:r>
      <w:r w:rsidRPr="004E4E38">
        <w:rPr>
          <w:rFonts w:cstheme="minorHAnsi"/>
        </w:rPr>
        <w:t xml:space="preserve"> shown</w:t>
      </w:r>
      <w:proofErr w:type="gramEnd"/>
      <w:r w:rsidRPr="004E4E38">
        <w:rPr>
          <w:rFonts w:cstheme="minorHAnsi"/>
        </w:rPr>
        <w:t xml:space="preserve"> in Supplementary Table </w:t>
      </w:r>
      <w:r w:rsidR="00E0495B" w:rsidRPr="004E4E38">
        <w:rPr>
          <w:rFonts w:cstheme="minorHAnsi"/>
        </w:rPr>
        <w:t>IV</w:t>
      </w:r>
      <w:r w:rsidR="00425974">
        <w:rPr>
          <w:rFonts w:cstheme="minorHAnsi"/>
        </w:rPr>
        <w:t xml:space="preserve">. Unemployed patients </w:t>
      </w:r>
      <w:r w:rsidR="00425974" w:rsidRPr="00950368">
        <w:rPr>
          <w:rFonts w:cstheme="minorHAnsi"/>
          <w:highlight w:val="yellow"/>
        </w:rPr>
        <w:t>(n=7</w:t>
      </w:r>
      <w:r w:rsidRPr="00950368">
        <w:rPr>
          <w:rFonts w:cstheme="minorHAnsi"/>
          <w:highlight w:val="yellow"/>
        </w:rPr>
        <w:t>)</w:t>
      </w:r>
      <w:r w:rsidRPr="004E4E38">
        <w:rPr>
          <w:rFonts w:cstheme="minorHAnsi"/>
        </w:rPr>
        <w:t xml:space="preserve"> had a significantly lower </w:t>
      </w:r>
      <w:r w:rsidR="003A4601" w:rsidRPr="004E4E38">
        <w:rPr>
          <w:rFonts w:cstheme="minorHAnsi"/>
        </w:rPr>
        <w:t>EQ-</w:t>
      </w:r>
      <w:r w:rsidRPr="004E4E38">
        <w:rPr>
          <w:rFonts w:cstheme="minorHAnsi"/>
        </w:rPr>
        <w:t>5D Portuguese tariff when com</w:t>
      </w:r>
      <w:r w:rsidR="00425974">
        <w:rPr>
          <w:rFonts w:cstheme="minorHAnsi"/>
        </w:rPr>
        <w:t xml:space="preserve">pared to employed patients </w:t>
      </w:r>
      <w:r w:rsidR="00425974" w:rsidRPr="00950368">
        <w:rPr>
          <w:rFonts w:cstheme="minorHAnsi"/>
          <w:highlight w:val="yellow"/>
        </w:rPr>
        <w:t>(n=19</w:t>
      </w:r>
      <w:r w:rsidRPr="00950368">
        <w:rPr>
          <w:rFonts w:cstheme="minorHAnsi"/>
          <w:highlight w:val="yellow"/>
        </w:rPr>
        <w:t>)</w:t>
      </w:r>
      <w:r w:rsidRPr="004E4E38">
        <w:rPr>
          <w:rFonts w:cstheme="minorHAnsi"/>
        </w:rPr>
        <w:t xml:space="preserve"> (</w:t>
      </w:r>
      <w:r w:rsidR="004E4E38" w:rsidRPr="004E4E38">
        <w:rPr>
          <w:rFonts w:cstheme="minorHAnsi"/>
        </w:rPr>
        <w:t>p=0.012, T-test)</w:t>
      </w:r>
      <w:r w:rsidR="00805B6C">
        <w:rPr>
          <w:rFonts w:cstheme="minorHAnsi"/>
        </w:rPr>
        <w:t>, with a similar</w:t>
      </w:r>
      <w:r w:rsidR="00864483" w:rsidRPr="004E4E38">
        <w:rPr>
          <w:rFonts w:cstheme="minorHAnsi"/>
        </w:rPr>
        <w:t xml:space="preserve"> age</w:t>
      </w:r>
      <w:r w:rsidR="003A4601" w:rsidRPr="004E4E38">
        <w:rPr>
          <w:rFonts w:cstheme="minorHAnsi"/>
        </w:rPr>
        <w:t>; even though not significantly, unemployed patients had higher DA28, HAQ and number of deformities in comparison to the latter</w:t>
      </w:r>
      <w:r w:rsidRPr="004E4E38">
        <w:rPr>
          <w:rFonts w:cstheme="minorHAnsi"/>
        </w:rPr>
        <w:t>.</w:t>
      </w:r>
      <w:r w:rsidRPr="00217EBD">
        <w:rPr>
          <w:rFonts w:cstheme="minorHAnsi"/>
        </w:rPr>
        <w:t xml:space="preserve"> </w:t>
      </w:r>
    </w:p>
    <w:tbl>
      <w:tblPr>
        <w:tblW w:w="5002" w:type="dxa"/>
        <w:tblInd w:w="-1134" w:type="dxa"/>
        <w:tblCellMar>
          <w:left w:w="70" w:type="dxa"/>
          <w:right w:w="70" w:type="dxa"/>
        </w:tblCellMar>
        <w:tblLook w:val="04A0" w:firstRow="1" w:lastRow="0" w:firstColumn="1" w:lastColumn="0" w:noHBand="0" w:noVBand="1"/>
      </w:tblPr>
      <w:tblGrid>
        <w:gridCol w:w="1061"/>
        <w:gridCol w:w="960"/>
        <w:gridCol w:w="960"/>
        <w:gridCol w:w="960"/>
        <w:gridCol w:w="1061"/>
      </w:tblGrid>
      <w:tr w:rsidR="00420FD6" w:rsidRPr="00217EBD" w:rsidTr="00B82011">
        <w:trPr>
          <w:trHeight w:val="300"/>
        </w:trPr>
        <w:tc>
          <w:tcPr>
            <w:tcW w:w="1061" w:type="dxa"/>
            <w:tcBorders>
              <w:top w:val="nil"/>
              <w:left w:val="nil"/>
              <w:bottom w:val="nil"/>
              <w:right w:val="nil"/>
            </w:tcBorders>
            <w:shd w:val="clear" w:color="auto" w:fill="auto"/>
            <w:noWrap/>
            <w:vAlign w:val="bottom"/>
            <w:hideMark/>
          </w:tcPr>
          <w:p w:rsidR="00420FD6" w:rsidRPr="003F153A" w:rsidRDefault="00420FD6" w:rsidP="00B82011">
            <w:pPr>
              <w:spacing w:line="360" w:lineRule="auto"/>
              <w:jc w:val="center"/>
              <w:rPr>
                <w:rFonts w:eastAsia="Times New Roman" w:cstheme="minorHAnsi"/>
                <w:b/>
                <w:bCs/>
                <w:color w:val="FF0000"/>
                <w:sz w:val="22"/>
                <w:szCs w:val="22"/>
                <w:lang w:val="en-GB" w:eastAsia="pt-PT"/>
              </w:rPr>
            </w:pPr>
          </w:p>
        </w:tc>
        <w:tc>
          <w:tcPr>
            <w:tcW w:w="960" w:type="dxa"/>
            <w:tcBorders>
              <w:top w:val="nil"/>
              <w:left w:val="nil"/>
              <w:bottom w:val="nil"/>
              <w:right w:val="nil"/>
            </w:tcBorders>
            <w:shd w:val="clear" w:color="auto" w:fill="auto"/>
            <w:noWrap/>
            <w:vAlign w:val="bottom"/>
            <w:hideMark/>
          </w:tcPr>
          <w:p w:rsidR="00420FD6" w:rsidRPr="00217EBD" w:rsidRDefault="00420FD6" w:rsidP="00B82011">
            <w:pPr>
              <w:spacing w:line="360" w:lineRule="auto"/>
              <w:rPr>
                <w:rFonts w:eastAsia="Times New Roman" w:cstheme="minorHAnsi"/>
                <w:sz w:val="20"/>
                <w:szCs w:val="20"/>
                <w:lang w:val="en-GB" w:eastAsia="pt-PT"/>
              </w:rPr>
            </w:pPr>
          </w:p>
        </w:tc>
        <w:tc>
          <w:tcPr>
            <w:tcW w:w="960" w:type="dxa"/>
            <w:tcBorders>
              <w:top w:val="nil"/>
              <w:left w:val="nil"/>
              <w:bottom w:val="nil"/>
              <w:right w:val="nil"/>
            </w:tcBorders>
            <w:shd w:val="clear" w:color="auto" w:fill="auto"/>
            <w:noWrap/>
            <w:vAlign w:val="bottom"/>
            <w:hideMark/>
          </w:tcPr>
          <w:p w:rsidR="00420FD6" w:rsidRPr="00217EBD" w:rsidRDefault="00420FD6" w:rsidP="00B82011">
            <w:pPr>
              <w:spacing w:line="360" w:lineRule="auto"/>
              <w:rPr>
                <w:rFonts w:eastAsia="Times New Roman" w:cstheme="minorHAnsi"/>
                <w:sz w:val="20"/>
                <w:szCs w:val="20"/>
                <w:lang w:val="en-GB" w:eastAsia="pt-PT"/>
              </w:rPr>
            </w:pPr>
          </w:p>
        </w:tc>
        <w:tc>
          <w:tcPr>
            <w:tcW w:w="960" w:type="dxa"/>
            <w:tcBorders>
              <w:top w:val="nil"/>
              <w:left w:val="nil"/>
              <w:bottom w:val="nil"/>
              <w:right w:val="nil"/>
            </w:tcBorders>
            <w:shd w:val="clear" w:color="auto" w:fill="auto"/>
            <w:noWrap/>
            <w:vAlign w:val="bottom"/>
            <w:hideMark/>
          </w:tcPr>
          <w:p w:rsidR="00420FD6" w:rsidRPr="00217EBD" w:rsidRDefault="00420FD6" w:rsidP="00B82011">
            <w:pPr>
              <w:spacing w:line="360" w:lineRule="auto"/>
              <w:rPr>
                <w:rFonts w:eastAsia="Times New Roman" w:cstheme="minorHAnsi"/>
                <w:sz w:val="20"/>
                <w:szCs w:val="20"/>
                <w:lang w:val="en-GB" w:eastAsia="pt-PT"/>
              </w:rPr>
            </w:pPr>
          </w:p>
        </w:tc>
        <w:tc>
          <w:tcPr>
            <w:tcW w:w="1061" w:type="dxa"/>
            <w:tcBorders>
              <w:top w:val="nil"/>
              <w:left w:val="nil"/>
              <w:bottom w:val="nil"/>
              <w:right w:val="nil"/>
            </w:tcBorders>
            <w:shd w:val="clear" w:color="auto" w:fill="auto"/>
            <w:noWrap/>
            <w:vAlign w:val="bottom"/>
            <w:hideMark/>
          </w:tcPr>
          <w:p w:rsidR="00420FD6" w:rsidRPr="00217EBD" w:rsidRDefault="00420FD6" w:rsidP="00B82011">
            <w:pPr>
              <w:spacing w:line="360" w:lineRule="auto"/>
              <w:rPr>
                <w:rFonts w:eastAsia="Times New Roman" w:cstheme="minorHAnsi"/>
                <w:sz w:val="20"/>
                <w:szCs w:val="20"/>
                <w:lang w:val="en-GB" w:eastAsia="pt-PT"/>
              </w:rPr>
            </w:pPr>
          </w:p>
        </w:tc>
      </w:tr>
    </w:tbl>
    <w:p w:rsidR="00420FD6" w:rsidRPr="00217EBD" w:rsidRDefault="00420FD6" w:rsidP="00420FD6">
      <w:pPr>
        <w:spacing w:line="360" w:lineRule="auto"/>
        <w:jc w:val="both"/>
        <w:rPr>
          <w:rFonts w:cstheme="minorHAnsi"/>
          <w:b/>
          <w:caps/>
        </w:rPr>
      </w:pPr>
      <w:r w:rsidRPr="00217EBD">
        <w:rPr>
          <w:rFonts w:cstheme="minorHAnsi"/>
          <w:b/>
          <w:caps/>
        </w:rPr>
        <w:t xml:space="preserve">Result 4. Demographic, clinical and therapeutic characterization of patients who died or were lost to follow-up </w:t>
      </w:r>
    </w:p>
    <w:p w:rsidR="00420FD6" w:rsidRPr="00217EBD" w:rsidRDefault="00420FD6" w:rsidP="00420FD6">
      <w:pPr>
        <w:spacing w:line="360" w:lineRule="auto"/>
        <w:ind w:firstLine="708"/>
        <w:jc w:val="both"/>
        <w:rPr>
          <w:rFonts w:cstheme="minorHAnsi"/>
        </w:rPr>
      </w:pPr>
      <w:r w:rsidRPr="00217EBD">
        <w:rPr>
          <w:rFonts w:cstheme="minorHAnsi"/>
        </w:rPr>
        <w:t xml:space="preserve">Patients lost to follow-up were younger than the group as a whole, emigrated or returned to their country of origin or followed their physician to another hospital center (Table IV). </w:t>
      </w:r>
      <w:r w:rsidR="00192C1F" w:rsidRPr="00192C1F">
        <w:rPr>
          <w:rFonts w:cstheme="minorHAnsi"/>
          <w:highlight w:val="yellow"/>
        </w:rPr>
        <w:t>The estimated 10-year survival rate at the time of first biologic therapy was significantly different between the deceased patients and the recall group (p=0,006) with median values of 65 (29 – 77)</w:t>
      </w:r>
      <w:r w:rsidR="00507500">
        <w:rPr>
          <w:rFonts w:cstheme="minorHAnsi"/>
          <w:highlight w:val="yellow"/>
        </w:rPr>
        <w:t xml:space="preserve"> and 90 (77 - 90), respectively</w:t>
      </w:r>
      <w:bookmarkStart w:id="0" w:name="_GoBack"/>
      <w:bookmarkEnd w:id="0"/>
      <w:r w:rsidR="00192C1F" w:rsidRPr="00192C1F">
        <w:rPr>
          <w:rFonts w:cstheme="minorHAnsi"/>
        </w:rPr>
        <w:t xml:space="preserve"> </w:t>
      </w:r>
      <w:r w:rsidRPr="00C4083C">
        <w:rPr>
          <w:rFonts w:cstheme="minorHAnsi"/>
          <w:highlight w:val="yellow"/>
        </w:rPr>
        <w:t>(Supplementary Table V).</w:t>
      </w:r>
      <w:r w:rsidRPr="00217EBD">
        <w:rPr>
          <w:rFonts w:cstheme="minorHAnsi"/>
        </w:rPr>
        <w:t xml:space="preserve"> </w:t>
      </w:r>
    </w:p>
    <w:p w:rsidR="00420FD6" w:rsidRPr="00217EBD" w:rsidRDefault="00420FD6" w:rsidP="00420FD6">
      <w:pPr>
        <w:spacing w:line="360" w:lineRule="auto"/>
        <w:ind w:firstLine="708"/>
        <w:jc w:val="both"/>
        <w:rPr>
          <w:rFonts w:cstheme="minorHAnsi"/>
        </w:rPr>
      </w:pPr>
    </w:p>
    <w:p w:rsidR="00420FD6" w:rsidRPr="00217EBD" w:rsidRDefault="00420FD6" w:rsidP="00420FD6">
      <w:pPr>
        <w:spacing w:line="360" w:lineRule="auto"/>
        <w:jc w:val="both"/>
        <w:rPr>
          <w:rFonts w:cstheme="minorHAnsi"/>
          <w:b/>
        </w:rPr>
      </w:pPr>
      <w:r w:rsidRPr="00217EBD">
        <w:rPr>
          <w:rFonts w:cstheme="minorHAnsi"/>
          <w:b/>
        </w:rPr>
        <w:t>DISCUSSION</w:t>
      </w:r>
    </w:p>
    <w:p w:rsidR="00420FD6" w:rsidRPr="00D20003" w:rsidRDefault="00420FD6" w:rsidP="00420FD6">
      <w:pPr>
        <w:spacing w:line="360" w:lineRule="auto"/>
        <w:ind w:firstLine="708"/>
        <w:jc w:val="both"/>
        <w:rPr>
          <w:rFonts w:cstheme="minorHAnsi"/>
        </w:rPr>
      </w:pPr>
      <w:r w:rsidRPr="00217EBD">
        <w:rPr>
          <w:rFonts w:cstheme="minorHAnsi"/>
        </w:rPr>
        <w:t xml:space="preserve">Our Unit is dedicated to the treatment of patients with systemic autoimmune diseases including RA. We officially started treating RA patients with biological therapy in 2002, our first patient ongoing regular follow-up since treatment onset. </w:t>
      </w:r>
      <w:r w:rsidR="001966DE">
        <w:rPr>
          <w:rFonts w:cstheme="minorHAnsi"/>
        </w:rPr>
        <w:t>W</w:t>
      </w:r>
      <w:r w:rsidR="00303666" w:rsidRPr="00217EBD">
        <w:rPr>
          <w:rFonts w:cstheme="minorHAnsi"/>
        </w:rPr>
        <w:t xml:space="preserve">ith a median age of 50 years, </w:t>
      </w:r>
      <w:r w:rsidR="001966DE">
        <w:rPr>
          <w:rFonts w:cstheme="minorHAnsi"/>
        </w:rPr>
        <w:t>o</w:t>
      </w:r>
      <w:r w:rsidR="001966DE" w:rsidRPr="00217EBD">
        <w:rPr>
          <w:rFonts w:cstheme="minorHAnsi"/>
        </w:rPr>
        <w:t xml:space="preserve">ur patients </w:t>
      </w:r>
      <w:r w:rsidR="00303666" w:rsidRPr="00217EBD">
        <w:rPr>
          <w:rFonts w:cstheme="minorHAnsi"/>
        </w:rPr>
        <w:t xml:space="preserve">presented </w:t>
      </w:r>
      <w:r w:rsidR="001966DE">
        <w:rPr>
          <w:rFonts w:cstheme="minorHAnsi"/>
        </w:rPr>
        <w:t>a</w:t>
      </w:r>
      <w:r w:rsidR="00303666" w:rsidRPr="00217EBD">
        <w:rPr>
          <w:rFonts w:cstheme="minorHAnsi"/>
        </w:rPr>
        <w:t xml:space="preserve"> high disease activity (median DAS28 of 5.30) and a high HAQ disability index (median 2.00)</w:t>
      </w:r>
      <w:r w:rsidRPr="00217EBD">
        <w:rPr>
          <w:rFonts w:cstheme="minorHAnsi"/>
        </w:rPr>
        <w:t xml:space="preserve"> despite </w:t>
      </w:r>
      <w:proofErr w:type="spellStart"/>
      <w:r w:rsidRPr="00217EBD">
        <w:rPr>
          <w:rFonts w:cstheme="minorHAnsi"/>
        </w:rPr>
        <w:t>sDMARD</w:t>
      </w:r>
      <w:proofErr w:type="spellEnd"/>
      <w:r w:rsidRPr="00217EBD">
        <w:rPr>
          <w:rFonts w:cstheme="minorHAnsi"/>
        </w:rPr>
        <w:t xml:space="preserve"> therapy</w:t>
      </w:r>
      <w:r w:rsidR="001966DE">
        <w:rPr>
          <w:rFonts w:cstheme="minorHAnsi"/>
        </w:rPr>
        <w:t>,</w:t>
      </w:r>
      <w:r w:rsidR="00EE52DD">
        <w:rPr>
          <w:rFonts w:cstheme="minorHAnsi"/>
        </w:rPr>
        <w:t xml:space="preserve"> at</w:t>
      </w:r>
      <w:r w:rsidR="00303666" w:rsidRPr="00217EBD">
        <w:rPr>
          <w:rFonts w:cstheme="minorHAnsi"/>
        </w:rPr>
        <w:t xml:space="preserve"> pre-bDMARD onset</w:t>
      </w:r>
      <w:r w:rsidRPr="00217EBD">
        <w:rPr>
          <w:rFonts w:cstheme="minorHAnsi"/>
        </w:rPr>
        <w:t xml:space="preserve">. These indices are </w:t>
      </w:r>
      <w:proofErr w:type="gramStart"/>
      <w:r w:rsidRPr="00217EBD">
        <w:rPr>
          <w:rFonts w:cstheme="minorHAnsi"/>
        </w:rPr>
        <w:t>known to be inter-related</w:t>
      </w:r>
      <w:proofErr w:type="gramEnd"/>
      <w:r w:rsidRPr="00217EBD">
        <w:rPr>
          <w:rFonts w:cstheme="minorHAnsi"/>
        </w:rPr>
        <w:t xml:space="preserve"> and long known to predict irreversible damage, physical and work disability and mortality.</w:t>
      </w:r>
      <w:r w:rsidR="00EE52DD">
        <w:rPr>
          <w:rFonts w:cstheme="minorHAnsi"/>
          <w:b/>
          <w:noProof/>
          <w:vertAlign w:val="superscript"/>
        </w:rPr>
        <w:t>22-23</w:t>
      </w:r>
      <w:r w:rsidRPr="003F153A">
        <w:rPr>
          <w:rFonts w:cstheme="minorHAnsi"/>
        </w:rPr>
        <w:t xml:space="preserve"> </w:t>
      </w:r>
    </w:p>
    <w:p w:rsidR="00420FD6" w:rsidRPr="00217EBD" w:rsidRDefault="00420FD6" w:rsidP="00420FD6">
      <w:pPr>
        <w:spacing w:line="360" w:lineRule="auto"/>
        <w:ind w:firstLine="708"/>
        <w:jc w:val="both"/>
        <w:rPr>
          <w:rFonts w:cstheme="minorHAnsi"/>
        </w:rPr>
      </w:pPr>
      <w:r w:rsidRPr="00217EBD">
        <w:rPr>
          <w:rFonts w:cstheme="minorHAnsi"/>
        </w:rPr>
        <w:t xml:space="preserve">In our cohort, a </w:t>
      </w:r>
      <w:proofErr w:type="gramStart"/>
      <w:r w:rsidRPr="00217EBD">
        <w:rPr>
          <w:rFonts w:cstheme="minorHAnsi"/>
        </w:rPr>
        <w:t>high risk</w:t>
      </w:r>
      <w:proofErr w:type="gramEnd"/>
      <w:r w:rsidRPr="00217EBD">
        <w:rPr>
          <w:rFonts w:cstheme="minorHAnsi"/>
        </w:rPr>
        <w:t xml:space="preserve"> group of patients, with a potentially productive work-life, initiation of bDMARD occurred at a median of four years after RA onset. </w:t>
      </w:r>
      <w:proofErr w:type="gramStart"/>
      <w:r w:rsidRPr="00217EBD">
        <w:rPr>
          <w:rFonts w:cstheme="minorHAnsi"/>
        </w:rPr>
        <w:t xml:space="preserve">A recent </w:t>
      </w:r>
      <w:r w:rsidRPr="00217EBD">
        <w:rPr>
          <w:rFonts w:cstheme="minorHAnsi"/>
        </w:rPr>
        <w:lastRenderedPageBreak/>
        <w:t>meta-analysis of 36 randomized clinical trials comparing the standard doses of the five anti-TNF inhibitors combined with MTX to MTX mono-therapy described trial participants with a mean age varying from 48.4 to 60.7 years and a mean duration of disease from 0.2 to 11 years,</w:t>
      </w:r>
      <w:r w:rsidR="00EE52DD">
        <w:rPr>
          <w:rFonts w:cstheme="minorHAnsi"/>
          <w:b/>
          <w:noProof/>
          <w:vertAlign w:val="superscript"/>
        </w:rPr>
        <w:t>24</w:t>
      </w:r>
      <w:r w:rsidRPr="00217EBD">
        <w:rPr>
          <w:rFonts w:cstheme="minorHAnsi"/>
        </w:rPr>
        <w:t xml:space="preserve"> effectively meaning that the median therapeutic delay of four years, in our patient population, is probably not that prolonged when compared to others.</w:t>
      </w:r>
      <w:proofErr w:type="gramEnd"/>
      <w:r w:rsidRPr="00217EBD">
        <w:rPr>
          <w:rFonts w:cstheme="minorHAnsi"/>
        </w:rPr>
        <w:t xml:space="preserve">  Lack of access to specialist care may significantly contribute to the therapeutic delay.  </w:t>
      </w:r>
      <w:proofErr w:type="gramStart"/>
      <w:r w:rsidRPr="00217EBD">
        <w:rPr>
          <w:rFonts w:cstheme="minorHAnsi"/>
        </w:rPr>
        <w:t>The Portuguese register Reuma.pt provides longitudinal information for over 7000 patients with RA at a national level.</w:t>
      </w:r>
      <w:r w:rsidR="00EE52DD">
        <w:rPr>
          <w:rFonts w:cstheme="minorHAnsi"/>
          <w:b/>
          <w:noProof/>
          <w:vertAlign w:val="superscript"/>
        </w:rPr>
        <w:t>25</w:t>
      </w:r>
      <w:r w:rsidRPr="00217EBD">
        <w:rPr>
          <w:rFonts w:cstheme="minorHAnsi"/>
        </w:rPr>
        <w:t xml:space="preserve"> Patients' access to biologics in RA stood at 7% in 2010 (12 percentage points below the average of European selected countries)</w:t>
      </w:r>
      <w:r w:rsidR="00EE52DD">
        <w:rPr>
          <w:rFonts w:cstheme="minorHAnsi"/>
          <w:b/>
          <w:noProof/>
          <w:vertAlign w:val="superscript"/>
        </w:rPr>
        <w:t>26</w:t>
      </w:r>
      <w:r w:rsidRPr="00217EBD">
        <w:rPr>
          <w:rFonts w:cstheme="minorHAnsi"/>
        </w:rPr>
        <w:t xml:space="preserve"> having tripled from 2007 to 2012.</w:t>
      </w:r>
      <w:r w:rsidRPr="00217EBD">
        <w:rPr>
          <w:rFonts w:cstheme="minorHAnsi"/>
          <w:b/>
          <w:noProof/>
          <w:vertAlign w:val="superscript"/>
        </w:rPr>
        <w:t>2</w:t>
      </w:r>
      <w:r w:rsidR="000B2A0C">
        <w:rPr>
          <w:rFonts w:cstheme="minorHAnsi"/>
          <w:b/>
          <w:noProof/>
          <w:vertAlign w:val="superscript"/>
        </w:rPr>
        <w:t>7</w:t>
      </w:r>
      <w:r w:rsidRPr="00217EBD">
        <w:rPr>
          <w:rFonts w:cstheme="minorHAnsi"/>
        </w:rPr>
        <w:t xml:space="preserve"> Low education, on the other hand, may contribute to poor health literacy (40.8% of our patients only had 4 years of schooling) but of note, the latter has also been found to be relatively common among those with a high level of education.</w:t>
      </w:r>
      <w:r w:rsidRPr="00217EBD">
        <w:rPr>
          <w:rFonts w:cstheme="minorHAnsi"/>
          <w:b/>
          <w:noProof/>
          <w:vertAlign w:val="superscript"/>
        </w:rPr>
        <w:t>2</w:t>
      </w:r>
      <w:r w:rsidR="000B2A0C">
        <w:rPr>
          <w:rFonts w:cstheme="minorHAnsi"/>
          <w:b/>
          <w:noProof/>
          <w:vertAlign w:val="superscript"/>
        </w:rPr>
        <w:t>8</w:t>
      </w:r>
      <w:proofErr w:type="gramEnd"/>
      <w:r w:rsidRPr="00217EBD">
        <w:rPr>
          <w:rFonts w:cstheme="minorHAnsi"/>
        </w:rPr>
        <w:t xml:space="preserve"> </w:t>
      </w:r>
    </w:p>
    <w:p w:rsidR="00420FD6" w:rsidRPr="00217EBD" w:rsidRDefault="00420FD6" w:rsidP="00420FD6">
      <w:pPr>
        <w:spacing w:line="360" w:lineRule="auto"/>
        <w:ind w:firstLine="708"/>
        <w:jc w:val="both"/>
        <w:rPr>
          <w:rFonts w:cstheme="minorHAnsi"/>
        </w:rPr>
      </w:pPr>
      <w:r w:rsidRPr="00217EBD">
        <w:rPr>
          <w:rFonts w:cstheme="minorHAnsi"/>
        </w:rPr>
        <w:t>Due to the retrospective nature of our study we are unable to assess the degree of irreversible joint damage already present at the time bDMARD was started</w:t>
      </w:r>
      <w:r w:rsidR="00BB6738">
        <w:rPr>
          <w:rFonts w:cstheme="minorHAnsi"/>
        </w:rPr>
        <w:t xml:space="preserve"> and which</w:t>
      </w:r>
      <w:r w:rsidR="00BB6738" w:rsidRPr="00BB6738">
        <w:rPr>
          <w:rFonts w:cstheme="minorHAnsi"/>
        </w:rPr>
        <w:t xml:space="preserve"> </w:t>
      </w:r>
      <w:r w:rsidR="00BB6738" w:rsidRPr="00217EBD">
        <w:rPr>
          <w:rFonts w:cstheme="minorHAnsi"/>
        </w:rPr>
        <w:t>might have been prevented through earlier treatment</w:t>
      </w:r>
      <w:r w:rsidRPr="00217EBD">
        <w:rPr>
          <w:rFonts w:cstheme="minorHAnsi"/>
        </w:rPr>
        <w:t xml:space="preserve">. At recall, 22 of 54 patients presented hand deformities but the highest number of deformities per patient was 2.25. Remission or LDA as determined by DAS28 </w:t>
      </w:r>
      <w:proofErr w:type="gramStart"/>
      <w:r w:rsidRPr="00217EBD">
        <w:rPr>
          <w:rFonts w:cstheme="minorHAnsi"/>
        </w:rPr>
        <w:t>was found</w:t>
      </w:r>
      <w:proofErr w:type="gramEnd"/>
      <w:r w:rsidRPr="00217EBD">
        <w:rPr>
          <w:rFonts w:cstheme="minorHAnsi"/>
        </w:rPr>
        <w:t xml:space="preserve"> in 51% of patients. Disappointingly, 37% of patients presented with moderate and 11% with high disease activity. Even though significantly lower, HAQ disability index continued to reveal severe functional disabilities. </w:t>
      </w:r>
    </w:p>
    <w:p w:rsidR="005A2F7A" w:rsidRPr="00217EBD" w:rsidRDefault="008B7B42" w:rsidP="005A2F7A">
      <w:pPr>
        <w:spacing w:line="360" w:lineRule="auto"/>
        <w:ind w:firstLine="708"/>
        <w:jc w:val="both"/>
        <w:rPr>
          <w:rFonts w:cstheme="minorHAnsi"/>
        </w:rPr>
      </w:pPr>
      <w:r w:rsidRPr="00217EBD">
        <w:rPr>
          <w:rFonts w:cstheme="minorHAnsi"/>
        </w:rPr>
        <w:t>A</w:t>
      </w:r>
      <w:r w:rsidR="00420FD6" w:rsidRPr="00217EBD">
        <w:rPr>
          <w:rFonts w:cstheme="minorHAnsi"/>
        </w:rPr>
        <w:t>fter a median duration of 7 years, most patients (79%) remained on bDMARD, retaining the original medication (etanercept). Discontinuation of bDMARD occurred primarily due to infection (38%) followed by treatment failure (26%). Our data contrasts with that of the Rheumatic Diseases Portuguese Register (Reuma.pt) of bDMARD treated patients after 13 years of prospective follow-up</w:t>
      </w:r>
      <w:r w:rsidR="005A2F7A" w:rsidRPr="00217EBD">
        <w:rPr>
          <w:rFonts w:cstheme="minorHAnsi"/>
        </w:rPr>
        <w:t>. In the latter</w:t>
      </w:r>
      <w:r w:rsidR="00D911A9" w:rsidRPr="00217EBD">
        <w:rPr>
          <w:rFonts w:cstheme="minorHAnsi"/>
        </w:rPr>
        <w:t>,</w:t>
      </w:r>
      <w:r w:rsidR="00420FD6" w:rsidRPr="00217EBD">
        <w:rPr>
          <w:rFonts w:cstheme="minorHAnsi"/>
        </w:rPr>
        <w:t xml:space="preserve"> a higher frequency (50%) discontinued their first bDMARD </w:t>
      </w:r>
      <w:r w:rsidR="00E30600" w:rsidRPr="00217EBD">
        <w:rPr>
          <w:rFonts w:cstheme="minorHAnsi"/>
        </w:rPr>
        <w:t>mainly</w:t>
      </w:r>
      <w:r w:rsidR="00420FD6" w:rsidRPr="00217EBD">
        <w:rPr>
          <w:rFonts w:cstheme="minorHAnsi"/>
        </w:rPr>
        <w:t xml:space="preserve"> due to inefficacy (55%) with a much lower frequency of infections (4 %)</w:t>
      </w:r>
      <w:r w:rsidR="00E16320" w:rsidRPr="00217EBD">
        <w:rPr>
          <w:rFonts w:cstheme="minorHAnsi"/>
        </w:rPr>
        <w:t>.</w:t>
      </w:r>
      <w:r w:rsidR="00420FD6" w:rsidRPr="00217EBD">
        <w:rPr>
          <w:rFonts w:cstheme="minorHAnsi"/>
          <w:b/>
          <w:noProof/>
          <w:vertAlign w:val="superscript"/>
        </w:rPr>
        <w:t>2</w:t>
      </w:r>
      <w:r w:rsidR="00A564E7">
        <w:rPr>
          <w:rFonts w:cstheme="minorHAnsi"/>
          <w:b/>
          <w:noProof/>
          <w:vertAlign w:val="superscript"/>
        </w:rPr>
        <w:t>9</w:t>
      </w:r>
      <w:r w:rsidR="00420FD6" w:rsidRPr="00217EBD">
        <w:rPr>
          <w:rFonts w:cstheme="minorHAnsi"/>
        </w:rPr>
        <w:t xml:space="preserve"> </w:t>
      </w:r>
      <w:r w:rsidR="005A2F7A" w:rsidRPr="00217EBD">
        <w:rPr>
          <w:rFonts w:cstheme="minorHAnsi"/>
        </w:rPr>
        <w:t xml:space="preserve">Of note, </w:t>
      </w:r>
      <w:r w:rsidR="00BB6738" w:rsidRPr="00A41096">
        <w:rPr>
          <w:rFonts w:cstheme="minorHAnsi"/>
        </w:rPr>
        <w:t>distinguishing those patients who died</w:t>
      </w:r>
      <w:r w:rsidR="00BB6738">
        <w:rPr>
          <w:rFonts w:cstheme="minorHAnsi"/>
        </w:rPr>
        <w:t xml:space="preserve">, </w:t>
      </w:r>
      <w:r w:rsidR="005A2F7A" w:rsidRPr="00217EBD">
        <w:rPr>
          <w:rFonts w:cstheme="minorHAnsi"/>
        </w:rPr>
        <w:t>t</w:t>
      </w:r>
      <w:r w:rsidR="005A2F7A" w:rsidRPr="00123C4C">
        <w:rPr>
          <w:rFonts w:cstheme="minorHAnsi"/>
        </w:rPr>
        <w:t>he Charlson co-morbidity index was significantly higher at treatment onset and bDMARD was discontinued more freq</w:t>
      </w:r>
      <w:r w:rsidR="00BB6738" w:rsidRPr="001A5ABA">
        <w:rPr>
          <w:rFonts w:cstheme="minorHAnsi"/>
        </w:rPr>
        <w:t>uently than in the recall group.</w:t>
      </w:r>
    </w:p>
    <w:p w:rsidR="00420FD6" w:rsidRPr="00217EBD" w:rsidRDefault="00420FD6" w:rsidP="00420FD6">
      <w:pPr>
        <w:spacing w:line="360" w:lineRule="auto"/>
        <w:ind w:firstLine="708"/>
        <w:jc w:val="both"/>
        <w:rPr>
          <w:rFonts w:cstheme="minorHAnsi"/>
        </w:rPr>
      </w:pPr>
      <w:r w:rsidRPr="00217EBD">
        <w:rPr>
          <w:rFonts w:cstheme="minorHAnsi"/>
        </w:rPr>
        <w:t xml:space="preserve">When compared to the frequencies of employed Portuguese persons (pordata.pt - 2017), the majority of whom have been through more than four years of schooling, our </w:t>
      </w:r>
      <w:r w:rsidRPr="00217EBD">
        <w:rPr>
          <w:rFonts w:cstheme="minorHAnsi"/>
        </w:rPr>
        <w:lastRenderedPageBreak/>
        <w:t>group of patients may have been at a disadvantage. On the other hand</w:t>
      </w:r>
      <w:r w:rsidR="007201B3" w:rsidRPr="00217EBD">
        <w:rPr>
          <w:rFonts w:cstheme="minorHAnsi"/>
        </w:rPr>
        <w:t>,</w:t>
      </w:r>
      <w:r w:rsidRPr="00217EBD">
        <w:rPr>
          <w:rFonts w:cstheme="minorHAnsi"/>
        </w:rPr>
        <w:t xml:space="preserve"> the mean national age for retirement in Portugal in 2018 was 62.6 years, corresponding to the median age of our patients. Not surprisingly, at recall, almost 50% of our patients were pensioners.  The median age of the unemployed patients (57.5 years) was nearing retirement time but it should be noted that despite </w:t>
      </w:r>
      <w:r w:rsidR="003A4601" w:rsidRPr="00217EBD">
        <w:rPr>
          <w:rFonts w:cstheme="minorHAnsi"/>
        </w:rPr>
        <w:t>bDMARD therapy</w:t>
      </w:r>
      <w:r w:rsidRPr="00217EBD">
        <w:rPr>
          <w:rFonts w:cstheme="minorHAnsi"/>
        </w:rPr>
        <w:t>, they had the highest disease activity, functional impairment and the lowest EQ-D5-3L score. This is in line with a recent Portuguese study that recalled a similarly high HAQ value for unemployed albeit younger RA patients.</w:t>
      </w:r>
      <w:r w:rsidR="00A564E7">
        <w:rPr>
          <w:rFonts w:cstheme="minorHAnsi"/>
          <w:b/>
          <w:noProof/>
          <w:vertAlign w:val="superscript"/>
        </w:rPr>
        <w:t>30</w:t>
      </w:r>
      <w:r w:rsidRPr="00217EBD">
        <w:rPr>
          <w:rFonts w:cstheme="minorHAnsi"/>
        </w:rPr>
        <w:t xml:space="preserve"> </w:t>
      </w:r>
    </w:p>
    <w:p w:rsidR="00420FD6" w:rsidRPr="00217EBD" w:rsidRDefault="00420FD6" w:rsidP="00420FD6">
      <w:pPr>
        <w:spacing w:line="360" w:lineRule="auto"/>
        <w:ind w:firstLine="708"/>
        <w:jc w:val="both"/>
        <w:rPr>
          <w:lang w:val="en-GB"/>
        </w:rPr>
      </w:pPr>
      <w:r w:rsidRPr="00217EBD">
        <w:rPr>
          <w:rFonts w:cstheme="minorHAnsi"/>
        </w:rPr>
        <w:t>The mean EQ-5D-3L calculated with the Portuguese tariff was 0</w:t>
      </w:r>
      <w:r w:rsidR="00824628" w:rsidRPr="00217EBD">
        <w:rPr>
          <w:rFonts w:cstheme="minorHAnsi"/>
        </w:rPr>
        <w:t>.</w:t>
      </w:r>
      <w:r w:rsidRPr="00217EBD">
        <w:rPr>
          <w:rFonts w:cstheme="minorHAnsi"/>
        </w:rPr>
        <w:t>45 (± 0.3), effectively placing our RA patients at a low score as regards HR-</w:t>
      </w:r>
      <w:proofErr w:type="spellStart"/>
      <w:r w:rsidRPr="00217EBD">
        <w:rPr>
          <w:rFonts w:cstheme="minorHAnsi"/>
        </w:rPr>
        <w:t>QoL</w:t>
      </w:r>
      <w:proofErr w:type="spellEnd"/>
      <w:r w:rsidRPr="00217EBD">
        <w:rPr>
          <w:rFonts w:cstheme="minorHAnsi"/>
        </w:rPr>
        <w:t>. Interestingly, baseline mean EQ-5D-3L and HAQ values for a Greek population of RA patients were 0.57 and 0.75, (our values being 0.45 and 1.3) respectively</w:t>
      </w:r>
      <w:r w:rsidR="002D40CC" w:rsidRPr="00217EBD">
        <w:rPr>
          <w:rFonts w:cstheme="minorHAnsi"/>
        </w:rPr>
        <w:t xml:space="preserve">. In </w:t>
      </w:r>
      <w:r w:rsidR="00AC12A0" w:rsidRPr="00217EBD">
        <w:rPr>
          <w:rFonts w:cstheme="minorHAnsi"/>
        </w:rPr>
        <w:t>this,</w:t>
      </w:r>
      <w:r w:rsidRPr="00217EBD">
        <w:rPr>
          <w:rFonts w:cstheme="minorHAnsi"/>
        </w:rPr>
        <w:t xml:space="preserve"> higher HR-</w:t>
      </w:r>
      <w:proofErr w:type="spellStart"/>
      <w:r w:rsidRPr="00217EBD">
        <w:rPr>
          <w:rFonts w:cstheme="minorHAnsi"/>
        </w:rPr>
        <w:t>QoL</w:t>
      </w:r>
      <w:proofErr w:type="spellEnd"/>
      <w:r w:rsidRPr="00217EBD">
        <w:rPr>
          <w:rFonts w:cstheme="minorHAnsi"/>
        </w:rPr>
        <w:t xml:space="preserve"> scores clearly correlated with a lower functional impairment as measured by HAQ.</w:t>
      </w:r>
      <w:r w:rsidR="00A564E7">
        <w:rPr>
          <w:rFonts w:cstheme="minorHAnsi"/>
          <w:vertAlign w:val="superscript"/>
        </w:rPr>
        <w:t>31</w:t>
      </w:r>
      <w:r w:rsidR="00E16FF8" w:rsidRPr="00217EBD">
        <w:rPr>
          <w:rFonts w:cstheme="minorHAnsi"/>
        </w:rPr>
        <w:t xml:space="preserve"> </w:t>
      </w:r>
      <w:proofErr w:type="gramStart"/>
      <w:r w:rsidRPr="003F153A">
        <w:rPr>
          <w:rFonts w:cstheme="minorHAnsi"/>
        </w:rPr>
        <w:t>We</w:t>
      </w:r>
      <w:proofErr w:type="gramEnd"/>
      <w:r w:rsidRPr="003F153A">
        <w:rPr>
          <w:rFonts w:cstheme="minorHAnsi"/>
        </w:rPr>
        <w:t xml:space="preserve"> nevertheless believe that our </w:t>
      </w:r>
      <w:r w:rsidRPr="00217EBD">
        <w:rPr>
          <w:rFonts w:cstheme="minorHAnsi"/>
        </w:rPr>
        <w:t xml:space="preserve">therapeutic strategies have provided benefit as evidenced by a decrease in disease activity and improvement in the disability index. </w:t>
      </w:r>
    </w:p>
    <w:p w:rsidR="00420FD6" w:rsidRPr="00217EBD" w:rsidRDefault="00420FD6" w:rsidP="00420FD6">
      <w:pPr>
        <w:spacing w:line="360" w:lineRule="auto"/>
        <w:ind w:firstLine="708"/>
        <w:jc w:val="both"/>
        <w:rPr>
          <w:rFonts w:cstheme="minorHAnsi"/>
        </w:rPr>
      </w:pPr>
      <w:r w:rsidRPr="00217EBD">
        <w:rPr>
          <w:rFonts w:cstheme="minorHAnsi"/>
        </w:rPr>
        <w:t xml:space="preserve">We consider the following limitations. Due to the retrospective nature of the </w:t>
      </w:r>
      <w:proofErr w:type="gramStart"/>
      <w:r w:rsidRPr="00217EBD">
        <w:rPr>
          <w:rFonts w:cstheme="minorHAnsi"/>
        </w:rPr>
        <w:t>study</w:t>
      </w:r>
      <w:proofErr w:type="gramEnd"/>
      <w:r w:rsidRPr="00217EBD">
        <w:rPr>
          <w:rFonts w:cstheme="minorHAnsi"/>
        </w:rPr>
        <w:t xml:space="preserve"> we could not assess H-</w:t>
      </w:r>
      <w:proofErr w:type="spellStart"/>
      <w:r w:rsidRPr="00217EBD">
        <w:rPr>
          <w:rFonts w:cstheme="minorHAnsi"/>
        </w:rPr>
        <w:t>QoL</w:t>
      </w:r>
      <w:proofErr w:type="spellEnd"/>
      <w:r w:rsidRPr="00217EBD">
        <w:rPr>
          <w:rFonts w:cstheme="minorHAnsi"/>
        </w:rPr>
        <w:t xml:space="preserve"> indices from baseline and as such could not </w:t>
      </w:r>
      <w:r w:rsidR="00494796" w:rsidRPr="00217EBD">
        <w:rPr>
          <w:rFonts w:cstheme="minorHAnsi"/>
        </w:rPr>
        <w:t xml:space="preserve">attempt to verify </w:t>
      </w:r>
      <w:r w:rsidR="0073373C">
        <w:rPr>
          <w:rFonts w:cstheme="minorHAnsi"/>
        </w:rPr>
        <w:t xml:space="preserve">both </w:t>
      </w:r>
      <w:r w:rsidRPr="00217EBD">
        <w:rPr>
          <w:rFonts w:cstheme="minorHAnsi"/>
        </w:rPr>
        <w:t>the efficacy of particular drug regimens or compare them</w:t>
      </w:r>
      <w:r w:rsidR="00147857">
        <w:rPr>
          <w:rFonts w:cstheme="minorHAnsi"/>
        </w:rPr>
        <w:t xml:space="preserve"> and</w:t>
      </w:r>
      <w:r w:rsidR="00147857" w:rsidRPr="00147857">
        <w:rPr>
          <w:rFonts w:cstheme="minorHAnsi"/>
        </w:rPr>
        <w:t xml:space="preserve"> </w:t>
      </w:r>
      <w:r w:rsidR="00147857" w:rsidRPr="00217EBD">
        <w:rPr>
          <w:rFonts w:cstheme="minorHAnsi"/>
        </w:rPr>
        <w:t>how many patients became work-disabled due to disease</w:t>
      </w:r>
      <w:r w:rsidRPr="00217EBD">
        <w:rPr>
          <w:rFonts w:cstheme="minorHAnsi"/>
        </w:rPr>
        <w:t xml:space="preserve">. As bDMARD therapy was started late in the course of disease, we cannot assess if those who started early attained added clinical improvement compared with patients with a delayed start of therapy. Moreover, the dynamic nature of RA therapy </w:t>
      </w:r>
      <w:proofErr w:type="gramStart"/>
      <w:r w:rsidRPr="00217EBD">
        <w:rPr>
          <w:rFonts w:cstheme="minorHAnsi"/>
        </w:rPr>
        <w:t>cannot be reflected</w:t>
      </w:r>
      <w:proofErr w:type="gramEnd"/>
      <w:r w:rsidRPr="00217EBD">
        <w:rPr>
          <w:rFonts w:cstheme="minorHAnsi"/>
        </w:rPr>
        <w:t xml:space="preserve"> in this cross-sectional design.</w:t>
      </w:r>
      <w:r w:rsidR="00D65D78">
        <w:rPr>
          <w:rFonts w:cstheme="minorHAnsi"/>
        </w:rPr>
        <w:t xml:space="preserve"> After </w:t>
      </w:r>
      <w:proofErr w:type="gramStart"/>
      <w:r w:rsidR="00D65D78">
        <w:rPr>
          <w:rFonts w:cstheme="minorHAnsi"/>
        </w:rPr>
        <w:t>recall</w:t>
      </w:r>
      <w:proofErr w:type="gramEnd"/>
      <w:r w:rsidR="00D65D78">
        <w:rPr>
          <w:rFonts w:cstheme="minorHAnsi"/>
        </w:rPr>
        <w:t xml:space="preserve"> s</w:t>
      </w:r>
      <w:r w:rsidRPr="00217EBD">
        <w:rPr>
          <w:rFonts w:cstheme="minorHAnsi"/>
        </w:rPr>
        <w:t>ome of the patients who had moderate or high disease activity were switched to alternative therapies that proved effective; other patients that were controlled</w:t>
      </w:r>
      <w:r w:rsidR="007F7C26" w:rsidRPr="00217EBD">
        <w:rPr>
          <w:rFonts w:cstheme="minorHAnsi"/>
        </w:rPr>
        <w:t xml:space="preserve"> subsequently</w:t>
      </w:r>
      <w:r w:rsidRPr="00217EBD">
        <w:rPr>
          <w:rFonts w:cstheme="minorHAnsi"/>
        </w:rPr>
        <w:t xml:space="preserve"> lost response. </w:t>
      </w:r>
    </w:p>
    <w:p w:rsidR="00420FD6" w:rsidRPr="00217EBD" w:rsidRDefault="00420FD6" w:rsidP="00420FD6">
      <w:pPr>
        <w:spacing w:line="360" w:lineRule="auto"/>
        <w:jc w:val="both"/>
        <w:rPr>
          <w:rFonts w:cstheme="minorHAnsi"/>
        </w:rPr>
      </w:pPr>
    </w:p>
    <w:p w:rsidR="00420FD6" w:rsidRPr="00217EBD" w:rsidRDefault="00420FD6" w:rsidP="00420FD6">
      <w:pPr>
        <w:spacing w:line="360" w:lineRule="auto"/>
        <w:jc w:val="both"/>
        <w:rPr>
          <w:rFonts w:cstheme="minorHAnsi"/>
          <w:b/>
        </w:rPr>
      </w:pPr>
      <w:r w:rsidRPr="00217EBD">
        <w:rPr>
          <w:rFonts w:cstheme="minorHAnsi"/>
          <w:b/>
        </w:rPr>
        <w:t>CONCLUSIONS</w:t>
      </w:r>
    </w:p>
    <w:p w:rsidR="00420FD6" w:rsidRPr="00217EBD" w:rsidRDefault="00420FD6" w:rsidP="00420FD6">
      <w:pPr>
        <w:spacing w:line="360" w:lineRule="auto"/>
        <w:ind w:firstLine="708"/>
        <w:jc w:val="both"/>
        <w:rPr>
          <w:rFonts w:cstheme="minorHAnsi"/>
        </w:rPr>
      </w:pPr>
      <w:r w:rsidRPr="00217EBD">
        <w:rPr>
          <w:rFonts w:cstheme="minorHAnsi"/>
        </w:rPr>
        <w:t xml:space="preserve">The use of bDMARD provided therapeutic benefit as reflected by a significant decrease in DAS28, HAQ and steroid use. There were few hand joint deformities per patient. The presence of comorbidities had an impact on mortality. The majority of patients retained the original bDMARD, few switches were required and the major cause for bDMARD interruption was infection. Nevertheless the mean EQ-5D-3L scores were </w:t>
      </w:r>
      <w:r w:rsidRPr="00217EBD">
        <w:rPr>
          <w:rFonts w:cstheme="minorHAnsi"/>
        </w:rPr>
        <w:lastRenderedPageBreak/>
        <w:t>low, indicating a poor HR-</w:t>
      </w:r>
      <w:proofErr w:type="spellStart"/>
      <w:r w:rsidRPr="00217EBD">
        <w:rPr>
          <w:rFonts w:cstheme="minorHAnsi"/>
        </w:rPr>
        <w:t>QoL</w:t>
      </w:r>
      <w:proofErr w:type="spellEnd"/>
      <w:r w:rsidRPr="00217EBD">
        <w:rPr>
          <w:rFonts w:cstheme="minorHAnsi"/>
        </w:rPr>
        <w:t xml:space="preserve">, the smaller impact on the mental component domains of SF-36 possibly invoking less suffering. Earlier onset of therapy may have prevented deformities and residual irreversible functional incapacity. Increased literacy, access to healthcare and new therapeutic choices </w:t>
      </w:r>
      <w:proofErr w:type="gramStart"/>
      <w:r w:rsidRPr="00217EBD">
        <w:rPr>
          <w:rFonts w:cstheme="minorHAnsi"/>
        </w:rPr>
        <w:t>can be expected</w:t>
      </w:r>
      <w:proofErr w:type="gramEnd"/>
      <w:r w:rsidRPr="00217EBD">
        <w:rPr>
          <w:rFonts w:cstheme="minorHAnsi"/>
        </w:rPr>
        <w:t xml:space="preserve"> to contribute to earlier diagnosis and remission and improved overall outcomes in the years to come. </w:t>
      </w:r>
    </w:p>
    <w:p w:rsidR="00420FD6" w:rsidRPr="00217EBD" w:rsidRDefault="00420FD6" w:rsidP="00420FD6">
      <w:pPr>
        <w:spacing w:line="360" w:lineRule="auto"/>
        <w:jc w:val="both"/>
        <w:rPr>
          <w:rFonts w:cstheme="minorHAnsi"/>
          <w:lang w:val="en-GB"/>
        </w:rPr>
      </w:pPr>
    </w:p>
    <w:p w:rsidR="00420FD6" w:rsidRPr="00217EBD" w:rsidRDefault="00420FD6" w:rsidP="00420FD6">
      <w:pPr>
        <w:spacing w:line="360" w:lineRule="auto"/>
        <w:jc w:val="both"/>
        <w:rPr>
          <w:rFonts w:cstheme="minorHAnsi"/>
          <w:b/>
          <w:lang w:val="en-GB"/>
        </w:rPr>
      </w:pPr>
      <w:r w:rsidRPr="00217EBD">
        <w:rPr>
          <w:rFonts w:cstheme="minorHAnsi"/>
          <w:b/>
          <w:lang w:val="en-GB"/>
        </w:rPr>
        <w:t>ACKNOWLEDMENTS AND TASKS:</w:t>
      </w:r>
    </w:p>
    <w:p w:rsidR="00420FD6" w:rsidRPr="00217EBD" w:rsidRDefault="00420FD6" w:rsidP="00420FD6">
      <w:pPr>
        <w:spacing w:line="360" w:lineRule="auto"/>
        <w:jc w:val="both"/>
        <w:rPr>
          <w:rFonts w:cstheme="minorHAnsi"/>
          <w:lang w:val="en-GB"/>
        </w:rPr>
      </w:pPr>
      <w:r w:rsidRPr="00217EBD">
        <w:rPr>
          <w:rFonts w:cstheme="minorHAnsi"/>
          <w:lang w:val="en-GB"/>
        </w:rPr>
        <w:t xml:space="preserve">Secretarial Assistance: Ana Martins </w:t>
      </w:r>
    </w:p>
    <w:p w:rsidR="00420FD6" w:rsidRPr="00217EBD" w:rsidRDefault="00420FD6" w:rsidP="00420FD6">
      <w:pPr>
        <w:spacing w:line="360" w:lineRule="auto"/>
        <w:jc w:val="both"/>
        <w:rPr>
          <w:rFonts w:cstheme="minorHAnsi"/>
          <w:lang w:val="en-GB"/>
        </w:rPr>
      </w:pPr>
      <w:r w:rsidRPr="00217EBD">
        <w:rPr>
          <w:rFonts w:cstheme="minorHAnsi"/>
          <w:lang w:val="en-GB"/>
        </w:rPr>
        <w:t xml:space="preserve">Medical care: </w:t>
      </w:r>
      <w:proofErr w:type="spellStart"/>
      <w:r w:rsidRPr="00217EBD">
        <w:rPr>
          <w:rFonts w:cstheme="minorHAnsi"/>
          <w:lang w:val="en-GB"/>
        </w:rPr>
        <w:t>Nuno</w:t>
      </w:r>
      <w:proofErr w:type="spellEnd"/>
      <w:r w:rsidRPr="00217EBD">
        <w:rPr>
          <w:rFonts w:cstheme="minorHAnsi"/>
          <w:lang w:val="en-GB"/>
        </w:rPr>
        <w:t xml:space="preserve"> </w:t>
      </w:r>
      <w:proofErr w:type="spellStart"/>
      <w:r w:rsidRPr="00217EBD">
        <w:rPr>
          <w:rFonts w:cstheme="minorHAnsi"/>
          <w:lang w:val="en-GB"/>
        </w:rPr>
        <w:t>Riso</w:t>
      </w:r>
      <w:proofErr w:type="spellEnd"/>
      <w:r w:rsidRPr="00217EBD">
        <w:rPr>
          <w:rFonts w:cstheme="minorHAnsi"/>
          <w:lang w:val="en-GB"/>
        </w:rPr>
        <w:t xml:space="preserve"> for prior coordination and longstanding commitment to the Unit. </w:t>
      </w:r>
    </w:p>
    <w:p w:rsidR="00420FD6" w:rsidRPr="00217EBD" w:rsidRDefault="00420FD6" w:rsidP="00420FD6">
      <w:pPr>
        <w:spacing w:line="360" w:lineRule="auto"/>
        <w:jc w:val="both"/>
        <w:rPr>
          <w:rFonts w:cstheme="minorHAnsi"/>
          <w:lang w:val="en-GB"/>
        </w:rPr>
      </w:pPr>
      <w:r w:rsidRPr="00217EBD">
        <w:rPr>
          <w:rFonts w:cstheme="minorHAnsi"/>
          <w:lang w:val="en-GB"/>
        </w:rPr>
        <w:t xml:space="preserve">MF, AF, ALO, ACF, PM, AVT, MV, CR, MJF and AP retrieved patient data, CM, MFMF and CR performed statistical analysis, MF, CM and MFMF wrote the manuscript, MFMF takes overall responsibility for the manuscript. </w:t>
      </w:r>
    </w:p>
    <w:p w:rsidR="00420FD6" w:rsidRPr="00217EBD" w:rsidRDefault="00420FD6" w:rsidP="00420FD6">
      <w:pPr>
        <w:spacing w:line="360" w:lineRule="auto"/>
        <w:rPr>
          <w:rFonts w:cstheme="minorHAnsi"/>
          <w:sz w:val="20"/>
          <w:szCs w:val="20"/>
          <w:lang w:val="en-GB"/>
        </w:rPr>
      </w:pPr>
    </w:p>
    <w:p w:rsidR="00420FD6" w:rsidRPr="00123C4C" w:rsidRDefault="006535F2" w:rsidP="00123C4C">
      <w:pPr>
        <w:spacing w:after="160" w:line="259" w:lineRule="auto"/>
        <w:rPr>
          <w:rFonts w:cstheme="minorHAnsi"/>
          <w:b/>
          <w:lang w:val="pt-PT"/>
        </w:rPr>
      </w:pPr>
      <w:r w:rsidRPr="00507500">
        <w:rPr>
          <w:rFonts w:cstheme="minorHAnsi"/>
          <w:sz w:val="20"/>
          <w:szCs w:val="20"/>
          <w:lang w:val="pt-PT"/>
        </w:rPr>
        <w:br w:type="page"/>
      </w:r>
      <w:r w:rsidR="00420FD6" w:rsidRPr="00123C4C">
        <w:rPr>
          <w:rFonts w:cstheme="minorHAnsi"/>
          <w:b/>
          <w:lang w:val="pt-PT"/>
        </w:rPr>
        <w:lastRenderedPageBreak/>
        <w:t>REFERENCES</w:t>
      </w:r>
    </w:p>
    <w:p w:rsidR="00420FD6" w:rsidRPr="00217EBD" w:rsidRDefault="00420FD6" w:rsidP="00420FD6">
      <w:pPr>
        <w:pStyle w:val="EndNoteBibliography"/>
        <w:ind w:left="720" w:hanging="720"/>
      </w:pPr>
      <w:r w:rsidRPr="00217EBD">
        <w:rPr>
          <w:lang w:val="pt-PT"/>
        </w:rPr>
        <w:t>1.</w:t>
      </w:r>
      <w:r w:rsidRPr="00217EBD">
        <w:rPr>
          <w:lang w:val="pt-PT"/>
        </w:rPr>
        <w:tab/>
      </w:r>
      <w:r w:rsidRPr="003F153A">
        <w:rPr>
          <w:lang w:val="pt-PT"/>
        </w:rPr>
        <w:t xml:space="preserve">Dadoun S, Zeboulon-Ktorza N, Combescure C, Elhai M, Rozenberg S, Gossec L, et al. </w:t>
      </w:r>
      <w:r w:rsidRPr="003F153A">
        <w:t xml:space="preserve">Mortality in rheumatoid arthritis over the last fifty years: systematic review and meta-analysis. </w:t>
      </w:r>
      <w:r w:rsidRPr="00217EBD">
        <w:rPr>
          <w:i/>
        </w:rPr>
        <w:t>Joint Bone Spine.</w:t>
      </w:r>
      <w:r w:rsidRPr="00217EBD">
        <w:t xml:space="preserve"> 2013;80(1):29-33.</w:t>
      </w:r>
    </w:p>
    <w:p w:rsidR="00420FD6" w:rsidRPr="00217EBD" w:rsidRDefault="00420FD6" w:rsidP="00420FD6">
      <w:pPr>
        <w:pStyle w:val="EndNoteBibliography"/>
        <w:ind w:left="720" w:hanging="720"/>
      </w:pPr>
      <w:r w:rsidRPr="00217EBD">
        <w:t>2.</w:t>
      </w:r>
      <w:r w:rsidRPr="00217EBD">
        <w:tab/>
        <w:t xml:space="preserve">Chester Wasko M, Dasgupta A, Ilse Sears G, Fries JF, and Ward MM. Prednisone Use and Risk of Mortality in Patients With Rheumatoid Arthritis: Moderation by Use of Disease-Modifying Antirheumatic Drugs. </w:t>
      </w:r>
      <w:r w:rsidRPr="00217EBD">
        <w:rPr>
          <w:i/>
        </w:rPr>
        <w:t>Arthritis Care Res (Hoboken).</w:t>
      </w:r>
      <w:r w:rsidRPr="00217EBD">
        <w:t xml:space="preserve"> 2016;68(5):706-10.</w:t>
      </w:r>
    </w:p>
    <w:p w:rsidR="00420FD6" w:rsidRPr="00217EBD" w:rsidRDefault="00420FD6" w:rsidP="00420FD6">
      <w:pPr>
        <w:pStyle w:val="EndNoteBibliography"/>
        <w:ind w:left="720" w:hanging="720"/>
      </w:pPr>
      <w:r w:rsidRPr="00217EBD">
        <w:t>3.</w:t>
      </w:r>
      <w:r w:rsidRPr="00217EBD">
        <w:tab/>
        <w:t xml:space="preserve">Gibofsky A. Current therapeutic agents and treatment paradigms for the management of rheumatoid arthritis. </w:t>
      </w:r>
      <w:r w:rsidRPr="00217EBD">
        <w:rPr>
          <w:i/>
        </w:rPr>
        <w:t>Am J Manag Care.</w:t>
      </w:r>
      <w:r w:rsidRPr="00217EBD">
        <w:t xml:space="preserve"> 2014;20(7 Suppl):S136-44.</w:t>
      </w:r>
    </w:p>
    <w:p w:rsidR="00420FD6" w:rsidRPr="00217EBD" w:rsidRDefault="00420FD6" w:rsidP="00420FD6">
      <w:pPr>
        <w:pStyle w:val="EndNoteBibliography"/>
        <w:ind w:left="720" w:hanging="720"/>
      </w:pPr>
      <w:r w:rsidRPr="00217EBD">
        <w:t>4.</w:t>
      </w:r>
      <w:r w:rsidRPr="00217EBD">
        <w:tab/>
        <w:t xml:space="preserve">Curtis JR, and Singh JA. Use of biologics in rheumatoid arthritis: current and emerging paradigms of care. </w:t>
      </w:r>
      <w:r w:rsidRPr="00217EBD">
        <w:rPr>
          <w:i/>
        </w:rPr>
        <w:t>Clin Ther.</w:t>
      </w:r>
      <w:r w:rsidRPr="00217EBD">
        <w:t xml:space="preserve"> 2011;33(6):679-707.</w:t>
      </w:r>
    </w:p>
    <w:p w:rsidR="00420FD6" w:rsidRPr="00217EBD" w:rsidRDefault="00420FD6" w:rsidP="00420FD6">
      <w:pPr>
        <w:pStyle w:val="EndNoteBibliography"/>
        <w:ind w:left="720" w:hanging="720"/>
      </w:pPr>
      <w:r w:rsidRPr="00217EBD">
        <w:t>5.</w:t>
      </w:r>
      <w:r w:rsidRPr="00217EBD">
        <w:tab/>
        <w:t xml:space="preserve">Smolen JS, Landewe R, Breedveld FC, Buch M, Burmester G, Dougados M, et al. EULAR recommendations for the management of rheumatoid arthritis with synthetic and biological disease-modifying antirheumatic drugs: 2013 update. </w:t>
      </w:r>
      <w:r w:rsidRPr="00217EBD">
        <w:rPr>
          <w:i/>
        </w:rPr>
        <w:t>Ann Rheum Dis.</w:t>
      </w:r>
      <w:r w:rsidRPr="00217EBD">
        <w:t xml:space="preserve"> 2014;73(3):492-509.</w:t>
      </w:r>
    </w:p>
    <w:p w:rsidR="00420FD6" w:rsidRPr="00217EBD" w:rsidRDefault="00420FD6" w:rsidP="00420FD6">
      <w:pPr>
        <w:pStyle w:val="EndNoteBibliography"/>
        <w:ind w:left="720" w:hanging="720"/>
      </w:pPr>
      <w:r w:rsidRPr="00217EBD">
        <w:t>6.</w:t>
      </w:r>
      <w:r w:rsidRPr="00217EBD">
        <w:tab/>
        <w:t xml:space="preserve">Rein P, and Mueller RB. Treatment with Biologicals in Rheumatoid Arthritis: An Overview. </w:t>
      </w:r>
      <w:r w:rsidRPr="00217EBD">
        <w:rPr>
          <w:i/>
        </w:rPr>
        <w:t>Rheumatol Ther.</w:t>
      </w:r>
      <w:r w:rsidRPr="00217EBD">
        <w:t xml:space="preserve"> 2017;4(2):247-61.</w:t>
      </w:r>
    </w:p>
    <w:p w:rsidR="00420FD6" w:rsidRPr="00217EBD" w:rsidRDefault="00420FD6" w:rsidP="00420FD6">
      <w:pPr>
        <w:pStyle w:val="EndNoteBibliography"/>
        <w:ind w:left="720" w:hanging="720"/>
      </w:pPr>
      <w:r w:rsidRPr="00217EBD">
        <w:t>7.</w:t>
      </w:r>
      <w:r w:rsidRPr="00217EBD">
        <w:tab/>
        <w:t xml:space="preserve">Kotyla PJ. Are Janus Kinase Inhibitors Superior over Classic Biologic Agents in RA Patients? </w:t>
      </w:r>
      <w:r w:rsidRPr="00217EBD">
        <w:rPr>
          <w:i/>
        </w:rPr>
        <w:t>Biomed Res Int.</w:t>
      </w:r>
      <w:r w:rsidRPr="00217EBD">
        <w:t xml:space="preserve"> 2018;2018:7492904.</w:t>
      </w:r>
    </w:p>
    <w:p w:rsidR="000B2A0C" w:rsidRDefault="00420FD6" w:rsidP="00420FD6">
      <w:pPr>
        <w:pStyle w:val="EndNoteBibliography"/>
        <w:ind w:left="720" w:hanging="720"/>
      </w:pPr>
      <w:r w:rsidRPr="00217EBD">
        <w:t>8.</w:t>
      </w:r>
      <w:r w:rsidRPr="00217EBD">
        <w:tab/>
      </w:r>
      <w:r w:rsidR="000B2A0C" w:rsidRPr="00C84A6F">
        <w:t>Aletaha D, Ward MM, Machold KP, Nell VP, Stamm T, Smolen JS. Remission and active disease in rheumatoid arthritis: defining criteria for disease activity states. Arthritis Rheum 2005;52:2625-36.</w:t>
      </w:r>
    </w:p>
    <w:p w:rsidR="00EE52DD" w:rsidRPr="00217EBD" w:rsidRDefault="000B2A0C" w:rsidP="00420FD6">
      <w:pPr>
        <w:pStyle w:val="EndNoteBibliography"/>
        <w:ind w:left="720" w:hanging="720"/>
      </w:pPr>
      <w:r>
        <w:t>9.</w:t>
      </w:r>
      <w:r>
        <w:tab/>
      </w:r>
      <w:r w:rsidR="00420FD6" w:rsidRPr="00217EBD">
        <w:t xml:space="preserve">Arnett FC, Edworthy SM, Bloch DA, McShane DJ, Fries JF, Cooper NS, et al. The American Rheumatism Association 1987 revised criteria for the classification of rheumatoid arthritis. </w:t>
      </w:r>
      <w:r w:rsidR="00420FD6" w:rsidRPr="00217EBD">
        <w:rPr>
          <w:i/>
        </w:rPr>
        <w:t>Arthritis Rheum.</w:t>
      </w:r>
      <w:r w:rsidR="00420FD6" w:rsidRPr="00217EBD">
        <w:t xml:space="preserve"> 1988;31(3):315-24.</w:t>
      </w:r>
      <w:r w:rsidR="00EE52DD">
        <w:t xml:space="preserve"> </w:t>
      </w:r>
    </w:p>
    <w:p w:rsidR="00420FD6" w:rsidRPr="00217EBD" w:rsidRDefault="00EE52DD" w:rsidP="00420FD6">
      <w:pPr>
        <w:pStyle w:val="EndNoteBibliography"/>
        <w:ind w:left="720" w:hanging="720"/>
      </w:pPr>
      <w:r>
        <w:t>10</w:t>
      </w:r>
      <w:r w:rsidR="00420FD6" w:rsidRPr="00217EBD">
        <w:t>.</w:t>
      </w:r>
      <w:r w:rsidR="00420FD6" w:rsidRPr="00217EBD">
        <w:tab/>
        <w:t xml:space="preserve">Aletaha D, Neogi T, Silman AJ, Funovits J, Felson DT, Bingham CO, 3rd, et al. 2010 rheumatoid arthritis classification criteria: an American College of Rheumatology/European League Against Rheumatism collaborative initiative. </w:t>
      </w:r>
      <w:r w:rsidR="00420FD6" w:rsidRPr="00217EBD">
        <w:rPr>
          <w:i/>
        </w:rPr>
        <w:t>Ann Rheum Dis.</w:t>
      </w:r>
      <w:r w:rsidR="00420FD6" w:rsidRPr="00217EBD">
        <w:t xml:space="preserve"> 2010;69(9):1580-8.</w:t>
      </w:r>
    </w:p>
    <w:p w:rsidR="00420FD6" w:rsidRPr="00217EBD" w:rsidRDefault="00EE52DD" w:rsidP="00420FD6">
      <w:pPr>
        <w:pStyle w:val="EndNoteBibliography"/>
        <w:ind w:left="720" w:hanging="720"/>
      </w:pPr>
      <w:r>
        <w:t>11</w:t>
      </w:r>
      <w:r w:rsidR="00420FD6" w:rsidRPr="00217EBD">
        <w:t>.</w:t>
      </w:r>
      <w:r w:rsidR="00420FD6" w:rsidRPr="00217EBD">
        <w:tab/>
        <w:t xml:space="preserve">Charlson ME, Pompei P, Ales KL, and MacKenzie CR. A new method of classifying prognostic comorbidity in longitudinal studies: development and validation. </w:t>
      </w:r>
      <w:r w:rsidR="00420FD6" w:rsidRPr="00217EBD">
        <w:rPr>
          <w:i/>
        </w:rPr>
        <w:t>J Chronic Dis.</w:t>
      </w:r>
      <w:r w:rsidR="00420FD6" w:rsidRPr="00217EBD">
        <w:t xml:space="preserve"> 1987;40(5):373-83.</w:t>
      </w:r>
    </w:p>
    <w:p w:rsidR="00420FD6" w:rsidRPr="00217EBD" w:rsidRDefault="00EE52DD" w:rsidP="00420FD6">
      <w:pPr>
        <w:pStyle w:val="EndNoteBibliography"/>
        <w:ind w:left="720" w:hanging="720"/>
      </w:pPr>
      <w:r>
        <w:t>12</w:t>
      </w:r>
      <w:r w:rsidR="00420FD6" w:rsidRPr="00217EBD">
        <w:t>.</w:t>
      </w:r>
      <w:r w:rsidR="00420FD6" w:rsidRPr="00217EBD">
        <w:tab/>
        <w:t xml:space="preserve">van Riel PL. The development of the disease activity score (DAS) and the disease activity score using 28 joint counts (DAS28). </w:t>
      </w:r>
      <w:r w:rsidR="00420FD6" w:rsidRPr="00217EBD">
        <w:rPr>
          <w:i/>
        </w:rPr>
        <w:t>Clin Exp Rheumatol.</w:t>
      </w:r>
      <w:r w:rsidR="00420FD6" w:rsidRPr="00217EBD">
        <w:t xml:space="preserve"> 2014;32(5 Suppl 85):S-65-74.</w:t>
      </w:r>
    </w:p>
    <w:p w:rsidR="00420FD6" w:rsidRPr="00217EBD" w:rsidRDefault="00EE52DD" w:rsidP="00420FD6">
      <w:pPr>
        <w:pStyle w:val="EndNoteBibliography"/>
        <w:ind w:left="720" w:hanging="720"/>
      </w:pPr>
      <w:r>
        <w:t>13</w:t>
      </w:r>
      <w:r w:rsidR="00420FD6" w:rsidRPr="00217EBD">
        <w:t>.</w:t>
      </w:r>
      <w:r w:rsidR="00420FD6" w:rsidRPr="00217EBD">
        <w:tab/>
        <w:t xml:space="preserve">Fries JF, Spitz P, Kraines RG, and Holman HR. Measurement of patient outcome in arthritis. </w:t>
      </w:r>
      <w:r w:rsidR="00420FD6" w:rsidRPr="00217EBD">
        <w:rPr>
          <w:i/>
        </w:rPr>
        <w:t>Arthritis Rheum.</w:t>
      </w:r>
      <w:r w:rsidR="00420FD6" w:rsidRPr="00217EBD">
        <w:t xml:space="preserve"> 1980;23(2):137-45.</w:t>
      </w:r>
    </w:p>
    <w:p w:rsidR="00420FD6" w:rsidRPr="00217EBD" w:rsidRDefault="00EE52DD" w:rsidP="00420FD6">
      <w:pPr>
        <w:pStyle w:val="EndNoteBibliography"/>
        <w:ind w:left="720" w:hanging="720"/>
      </w:pPr>
      <w:r>
        <w:t>14</w:t>
      </w:r>
      <w:r w:rsidR="00420FD6" w:rsidRPr="00217EBD">
        <w:t>.</w:t>
      </w:r>
      <w:r w:rsidR="00420FD6" w:rsidRPr="00217EBD">
        <w:tab/>
        <w:t xml:space="preserve">Felson DT, Anderson JJ, Boers M, Bombardier C, Chernoff M, Fried B, et al. The American College of Rheumatology preliminary core set of disease activity measures for rheumatoid arthritis clinical trials. The Committee on Outcome Measures in Rheumatoid Arthritis Clinical Trials. </w:t>
      </w:r>
      <w:r w:rsidR="00420FD6" w:rsidRPr="00217EBD">
        <w:rPr>
          <w:i/>
        </w:rPr>
        <w:t>Arthritis Rheum.</w:t>
      </w:r>
      <w:r w:rsidR="00420FD6" w:rsidRPr="00217EBD">
        <w:t xml:space="preserve"> 1993;36(6):729-40.</w:t>
      </w:r>
    </w:p>
    <w:p w:rsidR="00420FD6" w:rsidRPr="00217EBD" w:rsidRDefault="000B2A0C" w:rsidP="00420FD6">
      <w:pPr>
        <w:pStyle w:val="EndNoteBibliography"/>
        <w:ind w:left="720" w:hanging="720"/>
      </w:pPr>
      <w:r w:rsidRPr="00217EBD">
        <w:t>1</w:t>
      </w:r>
      <w:r>
        <w:t>5</w:t>
      </w:r>
      <w:r w:rsidR="00420FD6" w:rsidRPr="00217EBD">
        <w:t>.</w:t>
      </w:r>
      <w:r w:rsidR="00420FD6" w:rsidRPr="00217EBD">
        <w:tab/>
        <w:t xml:space="preserve">Bruce B, and Fries JF. The Stanford Health Assessment Questionnaire: a review of its history, issues, progress, and documentation. </w:t>
      </w:r>
      <w:r w:rsidR="00420FD6" w:rsidRPr="00217EBD">
        <w:rPr>
          <w:i/>
        </w:rPr>
        <w:t>J Rheumatol.</w:t>
      </w:r>
      <w:r w:rsidR="00420FD6" w:rsidRPr="00217EBD">
        <w:t xml:space="preserve"> 2003;30(1):167-78.</w:t>
      </w:r>
    </w:p>
    <w:p w:rsidR="00420FD6" w:rsidRPr="00217EBD" w:rsidRDefault="00420FD6" w:rsidP="00420FD6">
      <w:pPr>
        <w:pStyle w:val="EndNoteBibliography"/>
        <w:ind w:left="720" w:hanging="720"/>
      </w:pPr>
      <w:r w:rsidRPr="00217EBD">
        <w:lastRenderedPageBreak/>
        <w:t>1</w:t>
      </w:r>
      <w:r w:rsidR="000B2A0C">
        <w:t>6</w:t>
      </w:r>
      <w:r w:rsidRPr="00217EBD">
        <w:t>.</w:t>
      </w:r>
      <w:r w:rsidRPr="00217EBD">
        <w:tab/>
        <w:t xml:space="preserve">Maska L, Anderson J, and Michaud K. Measures of functional status and quality of life in rheumatoid arthritis: Health Assessment Questionnaire Disability Index (HAQ), Modified Health Assessment Questionnaire (MHAQ), Multidimensional Health Assessment Questionnaire (MDHAQ), Health Assessment Questionnaire II (HAQ-II), Improved Health Assessment Questionnaire (Improved HAQ), and Rheumatoid Arthritis Quality of Life (RAQoL). </w:t>
      </w:r>
      <w:r w:rsidRPr="00217EBD">
        <w:rPr>
          <w:i/>
        </w:rPr>
        <w:t>Arthritis Care Res (Hoboken).</w:t>
      </w:r>
      <w:r w:rsidRPr="00217EBD">
        <w:t xml:space="preserve"> 2011;63 Suppl 11:S4-13.</w:t>
      </w:r>
    </w:p>
    <w:p w:rsidR="00420FD6" w:rsidRPr="00217EBD" w:rsidRDefault="000B2A0C" w:rsidP="00420FD6">
      <w:pPr>
        <w:pStyle w:val="EndNoteBibliography"/>
        <w:ind w:left="720" w:hanging="720"/>
      </w:pPr>
      <w:r w:rsidRPr="00217EBD">
        <w:t>1</w:t>
      </w:r>
      <w:r>
        <w:t>7</w:t>
      </w:r>
      <w:r w:rsidR="00420FD6" w:rsidRPr="00217EBD">
        <w:t>.</w:t>
      </w:r>
      <w:r w:rsidR="00420FD6" w:rsidRPr="00217EBD">
        <w:tab/>
        <w:t xml:space="preserve">Borah BJ, Huang X, Zarotsky V, and Globe D. Trends in RA patients' adherence to subcutaneous anti-TNF therapies and costs. </w:t>
      </w:r>
      <w:r w:rsidR="00420FD6" w:rsidRPr="00217EBD">
        <w:rPr>
          <w:i/>
        </w:rPr>
        <w:t>Curr Med Res Opin.</w:t>
      </w:r>
      <w:r w:rsidR="00420FD6" w:rsidRPr="00217EBD">
        <w:t xml:space="preserve"> 2009;25(6):1365-77.</w:t>
      </w:r>
    </w:p>
    <w:p w:rsidR="00420FD6" w:rsidRPr="00217EBD" w:rsidRDefault="000B2A0C" w:rsidP="00420FD6">
      <w:pPr>
        <w:pStyle w:val="EndNoteBibliography"/>
        <w:ind w:left="720" w:hanging="720"/>
      </w:pPr>
      <w:r w:rsidRPr="00217EBD">
        <w:t>1</w:t>
      </w:r>
      <w:r>
        <w:t>8</w:t>
      </w:r>
      <w:r w:rsidR="00420FD6" w:rsidRPr="00217EBD">
        <w:t>.</w:t>
      </w:r>
      <w:r w:rsidR="00420FD6" w:rsidRPr="00217EBD">
        <w:tab/>
        <w:t xml:space="preserve">Ferreira PL. [Development of the Portuguese version of MOS SF-36. Part I. Cultural and linguistic adaptation]. </w:t>
      </w:r>
      <w:r w:rsidR="00420FD6" w:rsidRPr="00217EBD">
        <w:rPr>
          <w:i/>
        </w:rPr>
        <w:t>Acta Med Port.</w:t>
      </w:r>
      <w:r w:rsidR="00420FD6" w:rsidRPr="00217EBD">
        <w:t xml:space="preserve"> 2000;13(1-2):55-66.</w:t>
      </w:r>
    </w:p>
    <w:p w:rsidR="00420FD6" w:rsidRPr="00217EBD" w:rsidRDefault="000B2A0C" w:rsidP="00420FD6">
      <w:pPr>
        <w:pStyle w:val="EndNoteBibliography"/>
        <w:ind w:left="720" w:hanging="720"/>
      </w:pPr>
      <w:r w:rsidRPr="00217EBD">
        <w:t>1</w:t>
      </w:r>
      <w:r>
        <w:t>9</w:t>
      </w:r>
      <w:r w:rsidR="00420FD6" w:rsidRPr="00217EBD">
        <w:t>.</w:t>
      </w:r>
      <w:r w:rsidR="00420FD6" w:rsidRPr="00217EBD">
        <w:tab/>
        <w:t xml:space="preserve">Ferreira PL. [Development of the Portuguese version of MOS SF-36. Part II --Validation tests]. </w:t>
      </w:r>
      <w:r w:rsidR="00420FD6" w:rsidRPr="00217EBD">
        <w:rPr>
          <w:i/>
        </w:rPr>
        <w:t>Acta Med Port.</w:t>
      </w:r>
      <w:r w:rsidR="00420FD6" w:rsidRPr="00217EBD">
        <w:t xml:space="preserve"> 2000;13(3):119-27.</w:t>
      </w:r>
    </w:p>
    <w:p w:rsidR="00420FD6" w:rsidRPr="00217EBD" w:rsidRDefault="000B2A0C" w:rsidP="00420FD6">
      <w:pPr>
        <w:pStyle w:val="EndNoteBibliography"/>
        <w:ind w:left="720" w:hanging="720"/>
        <w:rPr>
          <w:lang w:val="pt-PT"/>
        </w:rPr>
      </w:pPr>
      <w:r>
        <w:t>20</w:t>
      </w:r>
      <w:r w:rsidR="00420FD6" w:rsidRPr="00217EBD">
        <w:t>.</w:t>
      </w:r>
      <w:r w:rsidR="00420FD6" w:rsidRPr="00217EBD">
        <w:tab/>
        <w:t xml:space="preserve">Ferreira LN, Ferreira PL, Pereira LN, and Oppe M. The valuation of the EQ-5D in Portugal. </w:t>
      </w:r>
      <w:r w:rsidR="00420FD6" w:rsidRPr="00217EBD">
        <w:rPr>
          <w:i/>
          <w:lang w:val="pt-PT"/>
        </w:rPr>
        <w:t>Qual Life Res.</w:t>
      </w:r>
      <w:r w:rsidR="00420FD6" w:rsidRPr="00217EBD">
        <w:rPr>
          <w:lang w:val="pt-PT"/>
        </w:rPr>
        <w:t xml:space="preserve"> 2014;23(2):413-23.</w:t>
      </w:r>
    </w:p>
    <w:p w:rsidR="00420FD6" w:rsidRPr="00217EBD" w:rsidRDefault="000B2A0C" w:rsidP="00420FD6">
      <w:pPr>
        <w:pStyle w:val="EndNoteBibliography"/>
        <w:ind w:left="720" w:hanging="720"/>
      </w:pPr>
      <w:r>
        <w:rPr>
          <w:lang w:val="pt-PT"/>
        </w:rPr>
        <w:t>21</w:t>
      </w:r>
      <w:r w:rsidR="00420FD6" w:rsidRPr="00217EBD">
        <w:rPr>
          <w:lang w:val="pt-PT"/>
        </w:rPr>
        <w:t>.</w:t>
      </w:r>
      <w:r w:rsidR="00420FD6" w:rsidRPr="00217EBD">
        <w:rPr>
          <w:lang w:val="pt-PT"/>
        </w:rPr>
        <w:tab/>
        <w:t xml:space="preserve">Ferreira LN, Ferreira PL, Pereira LN, and Oppe M. EQ-5D Portuguese population norms. </w:t>
      </w:r>
      <w:r w:rsidR="00420FD6" w:rsidRPr="00217EBD">
        <w:rPr>
          <w:i/>
        </w:rPr>
        <w:t>Qual Life Res.</w:t>
      </w:r>
      <w:r w:rsidR="00420FD6" w:rsidRPr="00217EBD">
        <w:t xml:space="preserve"> 2014;23(2):425-30.</w:t>
      </w:r>
    </w:p>
    <w:p w:rsidR="00420FD6" w:rsidRPr="00217EBD" w:rsidRDefault="000B2A0C" w:rsidP="00420FD6">
      <w:pPr>
        <w:pStyle w:val="EndNoteBibliography"/>
        <w:ind w:left="720" w:hanging="720"/>
      </w:pPr>
      <w:r>
        <w:t>22</w:t>
      </w:r>
      <w:r w:rsidR="00420FD6" w:rsidRPr="00217EBD">
        <w:t>.</w:t>
      </w:r>
      <w:r w:rsidR="00420FD6" w:rsidRPr="00217EBD">
        <w:tab/>
        <w:t xml:space="preserve">Pincus T, Callahan LF, Sale WG, Brooks AL, Payne LE, and Vaughn WK. Severe functional declines, work disability, and increased mortality in seventy-five rheumatoid arthritis patients studied over nine years. </w:t>
      </w:r>
      <w:r w:rsidR="00420FD6" w:rsidRPr="00217EBD">
        <w:rPr>
          <w:i/>
        </w:rPr>
        <w:t>Arthritis Rheum.</w:t>
      </w:r>
      <w:r w:rsidR="00420FD6" w:rsidRPr="00217EBD">
        <w:t xml:space="preserve"> 1984;27(8):864-72.</w:t>
      </w:r>
    </w:p>
    <w:p w:rsidR="00420FD6" w:rsidRPr="00217EBD" w:rsidRDefault="000B2A0C" w:rsidP="00420FD6">
      <w:pPr>
        <w:pStyle w:val="EndNoteBibliography"/>
        <w:ind w:left="720" w:hanging="720"/>
      </w:pPr>
      <w:r>
        <w:t>23</w:t>
      </w:r>
      <w:r w:rsidR="00420FD6" w:rsidRPr="00217EBD">
        <w:t>.</w:t>
      </w:r>
      <w:r w:rsidR="00420FD6" w:rsidRPr="00217EBD">
        <w:tab/>
        <w:t xml:space="preserve">Wolfe F, Michaud K, Gefeller O, and Choi HK. Predicting mortality in patients with rheumatoid arthritis. </w:t>
      </w:r>
      <w:r w:rsidR="00420FD6" w:rsidRPr="00217EBD">
        <w:rPr>
          <w:i/>
        </w:rPr>
        <w:t>Arthritis Rheum.</w:t>
      </w:r>
      <w:r w:rsidR="00420FD6" w:rsidRPr="00217EBD">
        <w:t xml:space="preserve"> 2003;48(6):1530-42.</w:t>
      </w:r>
    </w:p>
    <w:p w:rsidR="00420FD6" w:rsidRPr="00217EBD" w:rsidRDefault="00E16FF8" w:rsidP="00420FD6">
      <w:pPr>
        <w:pStyle w:val="EndNoteBibliography"/>
        <w:ind w:left="720" w:hanging="720"/>
      </w:pPr>
      <w:r w:rsidRPr="00217EBD">
        <w:t>2</w:t>
      </w:r>
      <w:r w:rsidR="000B2A0C">
        <w:t>4</w:t>
      </w:r>
      <w:r w:rsidR="00420FD6" w:rsidRPr="00217EBD">
        <w:t>.</w:t>
      </w:r>
      <w:r w:rsidR="00420FD6" w:rsidRPr="00217EBD">
        <w:tab/>
        <w:t xml:space="preserve">Graudal N, Kaas-Hansen BS, Guski L, Hubeck-Graudal T, Welton NJ, and Jurgens G. Different Original and Biosimilar TNF Inhibitors Similarly Reduce Joint Destruction in Rheumatoid Arthritis-A Network Meta-Analysis of 36 Randomized Controlled Trials. </w:t>
      </w:r>
      <w:r w:rsidR="00420FD6" w:rsidRPr="00217EBD">
        <w:rPr>
          <w:i/>
        </w:rPr>
        <w:t>Int J Mol Sci.</w:t>
      </w:r>
      <w:r w:rsidR="00420FD6" w:rsidRPr="00217EBD">
        <w:t xml:space="preserve"> 2019;20(18).</w:t>
      </w:r>
    </w:p>
    <w:p w:rsidR="00420FD6" w:rsidRPr="00217EBD" w:rsidRDefault="00E16FF8" w:rsidP="00420FD6">
      <w:pPr>
        <w:pStyle w:val="EndNoteBibliography"/>
        <w:ind w:left="720" w:hanging="720"/>
      </w:pPr>
      <w:r w:rsidRPr="00217EBD">
        <w:t>2</w:t>
      </w:r>
      <w:r w:rsidR="000B2A0C">
        <w:t>5</w:t>
      </w:r>
      <w:r w:rsidR="00420FD6" w:rsidRPr="00217EBD">
        <w:t>.</w:t>
      </w:r>
      <w:r w:rsidR="00420FD6" w:rsidRPr="00217EBD">
        <w:tab/>
        <w:t>. http://reuma.pt/pt_PT/docs/ONDOR_reumapt.pdf. 2018.</w:t>
      </w:r>
    </w:p>
    <w:p w:rsidR="00420FD6" w:rsidRPr="00217EBD" w:rsidRDefault="00E16FF8" w:rsidP="00420FD6">
      <w:pPr>
        <w:pStyle w:val="EndNoteBibliography"/>
        <w:ind w:left="720" w:hanging="720"/>
      </w:pPr>
      <w:r w:rsidRPr="00217EBD">
        <w:rPr>
          <w:lang w:val="pt-PT"/>
        </w:rPr>
        <w:t>2</w:t>
      </w:r>
      <w:r w:rsidR="000B2A0C">
        <w:rPr>
          <w:lang w:val="pt-PT"/>
        </w:rPr>
        <w:t>6</w:t>
      </w:r>
      <w:r w:rsidR="00420FD6" w:rsidRPr="00217EBD">
        <w:rPr>
          <w:lang w:val="pt-PT"/>
        </w:rPr>
        <w:t>.</w:t>
      </w:r>
      <w:r w:rsidR="00420FD6" w:rsidRPr="00217EBD">
        <w:rPr>
          <w:lang w:val="pt-PT"/>
        </w:rPr>
        <w:tab/>
        <w:t xml:space="preserve">Laires PA, Exposto F, Mesquita R, Martins AP, Cunha-Miranda L, and Fonseca JE. </w:t>
      </w:r>
      <w:r w:rsidR="00420FD6" w:rsidRPr="00217EBD">
        <w:t xml:space="preserve">Patients' access to biologics in rheumatoid arthritis: a comparison between Portugal and other European countries. </w:t>
      </w:r>
      <w:r w:rsidR="00420FD6" w:rsidRPr="00217EBD">
        <w:rPr>
          <w:i/>
        </w:rPr>
        <w:t>Eur J Health Econ.</w:t>
      </w:r>
      <w:r w:rsidR="00420FD6" w:rsidRPr="00217EBD">
        <w:t xml:space="preserve"> 2013;14(6):875-85.</w:t>
      </w:r>
    </w:p>
    <w:p w:rsidR="00420FD6" w:rsidRPr="00217EBD" w:rsidRDefault="00E16FF8" w:rsidP="00420FD6">
      <w:pPr>
        <w:pStyle w:val="EndNoteBibliography"/>
        <w:ind w:left="720" w:hanging="720"/>
      </w:pPr>
      <w:r w:rsidRPr="00217EBD">
        <w:t>2</w:t>
      </w:r>
      <w:r w:rsidR="000B2A0C">
        <w:t>7</w:t>
      </w:r>
      <w:r w:rsidR="00420FD6" w:rsidRPr="00217EBD">
        <w:t>.</w:t>
      </w:r>
      <w:r w:rsidR="00420FD6" w:rsidRPr="00217EBD">
        <w:tab/>
        <w:t xml:space="preserve">Hoebert JM, Mantel-Teeuwisse AK, van Dijk L, Bijlsma JW, and Leufkens HG. Do rheumatoid arthritis patients have equal access to treatment with new medicines?: tumour necrosis factor-alpha inhibitors use in four European countries. </w:t>
      </w:r>
      <w:r w:rsidR="00420FD6" w:rsidRPr="00217EBD">
        <w:rPr>
          <w:i/>
        </w:rPr>
        <w:t>Health Policy.</w:t>
      </w:r>
      <w:r w:rsidR="00420FD6" w:rsidRPr="00217EBD">
        <w:t xml:space="preserve"> 2012;104(1):76-83.</w:t>
      </w:r>
    </w:p>
    <w:p w:rsidR="00420FD6" w:rsidRPr="00217EBD" w:rsidRDefault="00420FD6" w:rsidP="00420FD6">
      <w:pPr>
        <w:pStyle w:val="EndNoteBibliography"/>
        <w:ind w:left="720" w:hanging="720"/>
        <w:rPr>
          <w:lang w:val="pt-PT"/>
        </w:rPr>
      </w:pPr>
      <w:r w:rsidRPr="00217EBD">
        <w:t>2</w:t>
      </w:r>
      <w:r w:rsidR="000B2A0C">
        <w:t>8</w:t>
      </w:r>
      <w:r w:rsidRPr="00217EBD">
        <w:t>.</w:t>
      </w:r>
      <w:r w:rsidRPr="00217EBD">
        <w:tab/>
        <w:t xml:space="preserve">van der Heide I, Wang J, Droomers M, Spreeuwenberg P, Rademakers J, and Uiters E. The relationship between health, education, and health literacy: results from the Dutch Adult Literacy and Life Skills Survey. </w:t>
      </w:r>
      <w:r w:rsidRPr="00217EBD">
        <w:rPr>
          <w:i/>
          <w:lang w:val="pt-PT"/>
        </w:rPr>
        <w:t>J Health Commun.</w:t>
      </w:r>
      <w:r w:rsidRPr="00217EBD">
        <w:rPr>
          <w:lang w:val="pt-PT"/>
        </w:rPr>
        <w:t xml:space="preserve"> 2013;18 Suppl 1:172-84.</w:t>
      </w:r>
    </w:p>
    <w:p w:rsidR="00420FD6" w:rsidRPr="00217EBD" w:rsidRDefault="00420FD6" w:rsidP="00420FD6">
      <w:pPr>
        <w:pStyle w:val="EndNoteBibliography"/>
        <w:ind w:left="720" w:hanging="720"/>
      </w:pPr>
      <w:r w:rsidRPr="00217EBD">
        <w:rPr>
          <w:lang w:val="pt-PT"/>
        </w:rPr>
        <w:t>2</w:t>
      </w:r>
      <w:r w:rsidR="000B2A0C">
        <w:rPr>
          <w:lang w:val="pt-PT"/>
        </w:rPr>
        <w:t>9</w:t>
      </w:r>
      <w:r w:rsidRPr="00217EBD">
        <w:rPr>
          <w:lang w:val="pt-PT"/>
        </w:rPr>
        <w:t>.</w:t>
      </w:r>
      <w:r w:rsidRPr="00217EBD">
        <w:rPr>
          <w:lang w:val="pt-PT"/>
        </w:rPr>
        <w:tab/>
        <w:t xml:space="preserve">Gomes JL, Sepriano A, Eusebio M, Serra S, Fonseca JE, Saavedra MJ, et al. </w:t>
      </w:r>
      <w:r w:rsidRPr="00217EBD">
        <w:t xml:space="preserve">Predictors and causes of first-line biologic agent discontinuation in rheumatoid arthritis: data from Reuma.pt. </w:t>
      </w:r>
      <w:r w:rsidRPr="00217EBD">
        <w:rPr>
          <w:i/>
        </w:rPr>
        <w:t>Acta Reumatol Port.</w:t>
      </w:r>
      <w:r w:rsidRPr="00217EBD">
        <w:t xml:space="preserve"> 2019;44(1):57-64.</w:t>
      </w:r>
    </w:p>
    <w:p w:rsidR="00E16FF8" w:rsidRPr="00123C4C" w:rsidRDefault="000B2A0C" w:rsidP="00123C4C">
      <w:pPr>
        <w:pStyle w:val="EndNoteBibliography"/>
        <w:ind w:left="720" w:hanging="720"/>
        <w:rPr>
          <w:lang w:val="pt-PT"/>
        </w:rPr>
      </w:pPr>
      <w:r>
        <w:rPr>
          <w:lang w:val="pt-PT"/>
        </w:rPr>
        <w:t>30</w:t>
      </w:r>
      <w:r w:rsidR="00420FD6" w:rsidRPr="00217EBD">
        <w:rPr>
          <w:lang w:val="pt-PT"/>
        </w:rPr>
        <w:t>.</w:t>
      </w:r>
      <w:r w:rsidR="00420FD6" w:rsidRPr="00217EBD">
        <w:rPr>
          <w:lang w:val="pt-PT"/>
        </w:rPr>
        <w:tab/>
        <w:t xml:space="preserve">Guerra MG, Vieria R, Ganhao S, Rodrigues J, Fonseca D, Videira T, et al. </w:t>
      </w:r>
      <w:r w:rsidR="00420FD6" w:rsidRPr="00217EBD">
        <w:t xml:space="preserve">First steps to understand productivity loss in Portuguese patients with rheumatoid arthritis. </w:t>
      </w:r>
      <w:r w:rsidR="00420FD6" w:rsidRPr="00123C4C">
        <w:rPr>
          <w:i/>
          <w:lang w:val="pt-PT"/>
        </w:rPr>
        <w:t>Acta Reumatol Port.</w:t>
      </w:r>
      <w:r w:rsidR="00420FD6" w:rsidRPr="00123C4C">
        <w:rPr>
          <w:lang w:val="pt-PT"/>
        </w:rPr>
        <w:t xml:space="preserve"> 2019.</w:t>
      </w:r>
    </w:p>
    <w:p w:rsidR="00E16FF8" w:rsidRPr="00217EBD" w:rsidRDefault="000B2A0C" w:rsidP="00123C4C">
      <w:pPr>
        <w:pStyle w:val="EndNoteBibliography"/>
        <w:ind w:left="720" w:hanging="720"/>
      </w:pPr>
      <w:r w:rsidRPr="00A564E7">
        <w:rPr>
          <w:lang w:val="pt-PT"/>
        </w:rPr>
        <w:lastRenderedPageBreak/>
        <w:t>31</w:t>
      </w:r>
      <w:r w:rsidR="00E16FF8" w:rsidRPr="00123C4C">
        <w:rPr>
          <w:lang w:val="pt-PT"/>
        </w:rPr>
        <w:t>.</w:t>
      </w:r>
      <w:r w:rsidR="00E16FF8" w:rsidRPr="00217EBD">
        <w:rPr>
          <w:lang w:val="pt-PT"/>
        </w:rPr>
        <w:tab/>
      </w:r>
      <w:r w:rsidR="00E16FF8" w:rsidRPr="00123C4C">
        <w:rPr>
          <w:lang w:val="pt-PT"/>
        </w:rPr>
        <w:t xml:space="preserve">Boumpas DT, Sidiropoulos P, Settas L, Szczypa P, Tsekouras V, Hernandez Daly AC. </w:t>
      </w:r>
      <w:r w:rsidR="00E16FF8" w:rsidRPr="00217EBD">
        <w:t xml:space="preserve">Health outcomes and unmet needs in patients with long-standing rheumatoid arthritis attending tertiary care in Greece: a cohort study. Health Qual Life Outcomes 2019;17:73. </w:t>
      </w:r>
    </w:p>
    <w:p w:rsidR="00420FD6" w:rsidRPr="00217EBD" w:rsidRDefault="00420FD6" w:rsidP="00420FD6">
      <w:pPr>
        <w:pStyle w:val="EndNoteBibliography"/>
        <w:ind w:left="720" w:hanging="720"/>
        <w:rPr>
          <w:rFonts w:cstheme="minorHAnsi"/>
          <w:i/>
          <w:sz w:val="20"/>
          <w:szCs w:val="20"/>
          <w:lang w:val="en-GB"/>
        </w:rPr>
      </w:pPr>
    </w:p>
    <w:p w:rsidR="002103BC" w:rsidRPr="00217EBD" w:rsidRDefault="002103BC" w:rsidP="002103BC">
      <w:pPr>
        <w:rPr>
          <w:rFonts w:cstheme="minorHAnsi"/>
          <w:sz w:val="16"/>
          <w:szCs w:val="16"/>
          <w:lang w:val="en-GB"/>
        </w:rPr>
      </w:pPr>
    </w:p>
    <w:p w:rsidR="006535F2" w:rsidRPr="00217EBD" w:rsidRDefault="006535F2"/>
    <w:p w:rsidR="006535F2" w:rsidRPr="00217EBD" w:rsidRDefault="006535F2"/>
    <w:p w:rsidR="000B1999" w:rsidRPr="00217EBD" w:rsidRDefault="000B1999"/>
    <w:p w:rsidR="000B1999" w:rsidRPr="00217EBD" w:rsidRDefault="000B1999">
      <w:pPr>
        <w:spacing w:after="160" w:line="259" w:lineRule="auto"/>
      </w:pPr>
      <w:r w:rsidRPr="00217EBD">
        <w:br w:type="page"/>
      </w:r>
    </w:p>
    <w:p w:rsidR="000B1999" w:rsidRPr="00217EBD" w:rsidRDefault="000B1999" w:rsidP="000B1999">
      <w:pPr>
        <w:spacing w:line="360" w:lineRule="auto"/>
        <w:jc w:val="both"/>
        <w:rPr>
          <w:rFonts w:cstheme="minorHAnsi"/>
          <w:sz w:val="16"/>
          <w:szCs w:val="16"/>
        </w:rPr>
      </w:pPr>
      <w:r w:rsidRPr="00217EBD">
        <w:rPr>
          <w:rFonts w:cstheme="minorHAnsi"/>
          <w:sz w:val="16"/>
          <w:szCs w:val="16"/>
        </w:rPr>
        <w:lastRenderedPageBreak/>
        <w:t>TABLES</w:t>
      </w:r>
    </w:p>
    <w:p w:rsidR="000B1999" w:rsidRPr="00217EBD" w:rsidRDefault="000B1999" w:rsidP="000B1999">
      <w:pPr>
        <w:spacing w:line="360" w:lineRule="auto"/>
        <w:jc w:val="both"/>
        <w:rPr>
          <w:rFonts w:cstheme="minorHAnsi"/>
          <w:b/>
          <w:sz w:val="16"/>
          <w:szCs w:val="16"/>
          <w:lang w:val="en-GB"/>
        </w:rPr>
      </w:pPr>
      <w:r w:rsidRPr="00217EBD">
        <w:rPr>
          <w:rFonts w:cstheme="minorHAnsi"/>
          <w:b/>
          <w:sz w:val="16"/>
          <w:szCs w:val="16"/>
          <w:lang w:val="en-GB"/>
        </w:rPr>
        <w:t xml:space="preserve">Table I. Baseline demographic and clinical characteristics </w:t>
      </w:r>
    </w:p>
    <w:tbl>
      <w:tblPr>
        <w:tblW w:w="878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962"/>
        <w:gridCol w:w="1540"/>
        <w:gridCol w:w="2280"/>
      </w:tblGrid>
      <w:tr w:rsidR="000B1999" w:rsidRPr="00217EBD" w:rsidTr="006A47CA">
        <w:trPr>
          <w:trHeight w:val="225"/>
        </w:trPr>
        <w:tc>
          <w:tcPr>
            <w:tcW w:w="4962" w:type="dxa"/>
            <w:tcBorders>
              <w:top w:val="single" w:sz="4" w:space="0" w:color="auto"/>
              <w:bottom w:val="single" w:sz="4" w:space="0" w:color="auto"/>
            </w:tcBorders>
            <w:shd w:val="clear" w:color="auto" w:fill="auto"/>
            <w:noWrap/>
            <w:vAlign w:val="bottom"/>
            <w:hideMark/>
          </w:tcPr>
          <w:p w:rsidR="000B1999" w:rsidRPr="00217EBD" w:rsidRDefault="000B1999" w:rsidP="006A47CA">
            <w:pPr>
              <w:rPr>
                <w:rFonts w:ascii="Times New Roman" w:eastAsia="Times New Roman" w:hAnsi="Times New Roman" w:cs="Times New Roman"/>
                <w:sz w:val="20"/>
                <w:szCs w:val="20"/>
                <w:lang w:val="en-GB" w:eastAsia="pt-PT"/>
              </w:rPr>
            </w:pPr>
          </w:p>
        </w:tc>
        <w:tc>
          <w:tcPr>
            <w:tcW w:w="1540" w:type="dxa"/>
            <w:tcBorders>
              <w:top w:val="single" w:sz="4" w:space="0" w:color="auto"/>
              <w:bottom w:val="single" w:sz="4" w:space="0" w:color="auto"/>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Original cohort</w:t>
            </w:r>
          </w:p>
        </w:tc>
        <w:tc>
          <w:tcPr>
            <w:tcW w:w="2280" w:type="dxa"/>
            <w:tcBorders>
              <w:top w:val="single" w:sz="4" w:space="0" w:color="auto"/>
              <w:bottom w:val="single" w:sz="4" w:space="0" w:color="auto"/>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Recall cohort</w:t>
            </w:r>
          </w:p>
        </w:tc>
      </w:tr>
      <w:tr w:rsidR="000B1999" w:rsidRPr="00217EBD" w:rsidTr="006A47CA">
        <w:trPr>
          <w:trHeight w:val="225"/>
        </w:trPr>
        <w:tc>
          <w:tcPr>
            <w:tcW w:w="4962" w:type="dxa"/>
            <w:tcBorders>
              <w:top w:val="single" w:sz="4" w:space="0" w:color="auto"/>
            </w:tcBorders>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Number of Patients</w:t>
            </w:r>
          </w:p>
        </w:tc>
        <w:tc>
          <w:tcPr>
            <w:tcW w:w="1540" w:type="dxa"/>
            <w:tcBorders>
              <w:top w:val="single" w:sz="4" w:space="0" w:color="auto"/>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94</w:t>
            </w:r>
          </w:p>
        </w:tc>
        <w:tc>
          <w:tcPr>
            <w:tcW w:w="2280" w:type="dxa"/>
            <w:tcBorders>
              <w:top w:val="single" w:sz="4" w:space="0" w:color="auto"/>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77</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Male:Female</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19:75</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14:63</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Caucasian,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86 (91)</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71 (92)</w:t>
            </w:r>
          </w:p>
        </w:tc>
      </w:tr>
      <w:tr w:rsidR="000B1999" w:rsidRPr="00217EBD" w:rsidTr="006A47CA">
        <w:trPr>
          <w:trHeight w:val="225"/>
        </w:trPr>
        <w:tc>
          <w:tcPr>
            <w:tcW w:w="4962"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Age (y), median (IQR)</w:t>
            </w:r>
          </w:p>
        </w:tc>
        <w:tc>
          <w:tcPr>
            <w:tcW w:w="154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50 (42 - 57)*</w:t>
            </w:r>
          </w:p>
        </w:tc>
        <w:tc>
          <w:tcPr>
            <w:tcW w:w="228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63 (55 – 71)</w:t>
            </w:r>
          </w:p>
        </w:tc>
      </w:tr>
      <w:tr w:rsidR="000B1999" w:rsidRPr="00217EBD" w:rsidTr="006A47CA">
        <w:trPr>
          <w:trHeight w:val="225"/>
        </w:trPr>
        <w:tc>
          <w:tcPr>
            <w:tcW w:w="4962"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Age (y) bDMARD started, median (IQR)</w:t>
            </w:r>
          </w:p>
        </w:tc>
        <w:tc>
          <w:tcPr>
            <w:tcW w:w="154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56 (47 – 62)</w:t>
            </w:r>
          </w:p>
        </w:tc>
        <w:tc>
          <w:tcPr>
            <w:tcW w:w="228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56 (49 – 61)</w:t>
            </w:r>
          </w:p>
        </w:tc>
      </w:tr>
      <w:tr w:rsidR="000B1999" w:rsidRPr="00217EBD" w:rsidTr="006A47CA">
        <w:trPr>
          <w:trHeight w:val="450"/>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Disease duration (y) from time of diagnosis to first bDMARD, median (IQR)</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4 (1 - 9)</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4 (1 – 9)</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Either or anti-CCP/RF positive,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76 (81)</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61 (79)</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Anti-CCP/RF negative,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18 (19)</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16 (21)</w:t>
            </w:r>
          </w:p>
        </w:tc>
      </w:tr>
      <w:tr w:rsidR="000B1999" w:rsidRPr="00217EBD" w:rsidTr="006A47CA">
        <w:trPr>
          <w:trHeight w:val="225"/>
        </w:trPr>
        <w:tc>
          <w:tcPr>
            <w:tcW w:w="8782" w:type="dxa"/>
            <w:gridSpan w:val="3"/>
            <w:shd w:val="clear" w:color="auto" w:fill="auto"/>
            <w:vAlign w:val="center"/>
            <w:hideMark/>
          </w:tcPr>
          <w:p w:rsidR="000B1999" w:rsidRPr="00217EBD" w:rsidRDefault="000B1999" w:rsidP="006A47CA">
            <w:pPr>
              <w:rPr>
                <w:rFonts w:ascii="Calibri" w:eastAsia="Times New Roman" w:hAnsi="Calibri" w:cs="Calibri"/>
                <w:b/>
                <w:bCs/>
                <w:color w:val="000000"/>
                <w:sz w:val="16"/>
                <w:szCs w:val="16"/>
                <w:u w:val="single"/>
                <w:lang w:val="pt-PT" w:eastAsia="pt-PT"/>
              </w:rPr>
            </w:pPr>
            <w:r w:rsidRPr="00217EBD">
              <w:rPr>
                <w:rFonts w:ascii="Calibri" w:eastAsia="Times New Roman" w:hAnsi="Calibri" w:cs="Calibri"/>
                <w:b/>
                <w:bCs/>
                <w:color w:val="000000"/>
                <w:sz w:val="16"/>
                <w:szCs w:val="16"/>
                <w:u w:val="single"/>
                <w:lang w:val="pt-PT" w:eastAsia="pt-PT"/>
              </w:rPr>
              <w:t>Prior to bDMARD:</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Prednisolone,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62 (66)</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57 (74)</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Prednisolone equivalent mg/day, median (IQR)</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10 (5 – 12)</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10 (5 – 10)**</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Methotrexate,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82 (87)</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73 (95)</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Methotrexate mg/day, median (IQR)</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20 (15 – 20)</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20 (13 – 20)</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 xml:space="preserve">Pre-bDMARD DAS 28 – ESR, median (IQR) </w:t>
            </w:r>
          </w:p>
        </w:tc>
        <w:tc>
          <w:tcPr>
            <w:tcW w:w="1540" w:type="dxa"/>
            <w:shd w:val="clear" w:color="auto" w:fill="auto"/>
            <w:noWrap/>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5,31 (4.51 – 6,29)</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5.060 (4.500 -5.998)</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Number of Patients for which DAS available</w:t>
            </w:r>
          </w:p>
        </w:tc>
        <w:tc>
          <w:tcPr>
            <w:tcW w:w="1540" w:type="dxa"/>
            <w:shd w:val="clear" w:color="auto" w:fill="auto"/>
            <w:noWrap/>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75</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62</w:t>
            </w:r>
          </w:p>
        </w:tc>
      </w:tr>
      <w:tr w:rsidR="000B1999" w:rsidRPr="00217EBD" w:rsidTr="006A47CA">
        <w:trPr>
          <w:trHeight w:val="225"/>
        </w:trPr>
        <w:tc>
          <w:tcPr>
            <w:tcW w:w="4962"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eastAsia="pt-PT"/>
              </w:rPr>
              <w:t xml:space="preserve">- </w:t>
            </w:r>
            <w:proofErr w:type="gramStart"/>
            <w:r w:rsidRPr="00217EBD">
              <w:rPr>
                <w:rFonts w:ascii="Calibri" w:eastAsia="Times New Roman" w:hAnsi="Calibri" w:cs="Calibri"/>
                <w:color w:val="000000"/>
                <w:sz w:val="16"/>
                <w:szCs w:val="16"/>
                <w:lang w:eastAsia="pt-PT"/>
              </w:rPr>
              <w:t>high</w:t>
            </w:r>
            <w:proofErr w:type="gramEnd"/>
            <w:r w:rsidRPr="00217EBD">
              <w:rPr>
                <w:rFonts w:ascii="Calibri" w:eastAsia="Times New Roman" w:hAnsi="Calibri" w:cs="Calibri"/>
                <w:color w:val="000000"/>
                <w:sz w:val="16"/>
                <w:szCs w:val="16"/>
                <w:lang w:eastAsia="pt-PT"/>
              </w:rPr>
              <w:t xml:space="preserve"> disease activity (HDA) &gt; 5.1, n (%)</w:t>
            </w:r>
          </w:p>
        </w:tc>
        <w:tc>
          <w:tcPr>
            <w:tcW w:w="1540" w:type="dxa"/>
            <w:shd w:val="clear" w:color="auto" w:fill="auto"/>
            <w:noWrap/>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52 (46)</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31 (50)</w:t>
            </w:r>
          </w:p>
        </w:tc>
      </w:tr>
      <w:tr w:rsidR="000B1999" w:rsidRPr="00217EBD" w:rsidTr="006A47CA">
        <w:trPr>
          <w:trHeight w:val="225"/>
        </w:trPr>
        <w:tc>
          <w:tcPr>
            <w:tcW w:w="4962"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 xml:space="preserve">- </w:t>
            </w:r>
            <w:proofErr w:type="gramStart"/>
            <w:r w:rsidRPr="00217EBD">
              <w:rPr>
                <w:rFonts w:ascii="Calibri" w:eastAsia="Times New Roman" w:hAnsi="Calibri" w:cs="Calibri"/>
                <w:color w:val="000000"/>
                <w:sz w:val="16"/>
                <w:szCs w:val="16"/>
                <w:lang w:val="en-GB" w:eastAsia="pt-PT"/>
              </w:rPr>
              <w:t>moderate</w:t>
            </w:r>
            <w:proofErr w:type="gramEnd"/>
            <w:r w:rsidRPr="00217EBD">
              <w:rPr>
                <w:rFonts w:ascii="Calibri" w:eastAsia="Times New Roman" w:hAnsi="Calibri" w:cs="Calibri"/>
                <w:color w:val="000000"/>
                <w:sz w:val="16"/>
                <w:szCs w:val="16"/>
                <w:lang w:val="en-GB" w:eastAsia="pt-PT"/>
              </w:rPr>
              <w:t xml:space="preserve"> disease activity (MDA) ≥ 3.2 and ≤5.1, n (%)</w:t>
            </w:r>
          </w:p>
        </w:tc>
        <w:tc>
          <w:tcPr>
            <w:tcW w:w="1540" w:type="dxa"/>
            <w:shd w:val="clear" w:color="auto" w:fill="auto"/>
            <w:noWrap/>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30 (40)</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28 (45)</w:t>
            </w:r>
          </w:p>
        </w:tc>
      </w:tr>
      <w:tr w:rsidR="000B1999" w:rsidRPr="00217EBD" w:rsidTr="006A47CA">
        <w:trPr>
          <w:trHeight w:val="225"/>
        </w:trPr>
        <w:tc>
          <w:tcPr>
            <w:tcW w:w="4962"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 xml:space="preserve">- </w:t>
            </w:r>
            <w:proofErr w:type="gramStart"/>
            <w:r w:rsidRPr="00217EBD">
              <w:rPr>
                <w:rFonts w:ascii="Calibri" w:eastAsia="Times New Roman" w:hAnsi="Calibri" w:cs="Calibri"/>
                <w:color w:val="000000"/>
                <w:sz w:val="16"/>
                <w:szCs w:val="16"/>
                <w:lang w:val="en-GB" w:eastAsia="pt-PT"/>
              </w:rPr>
              <w:t>low</w:t>
            </w:r>
            <w:proofErr w:type="gramEnd"/>
            <w:r w:rsidRPr="00217EBD">
              <w:rPr>
                <w:rFonts w:ascii="Calibri" w:eastAsia="Times New Roman" w:hAnsi="Calibri" w:cs="Calibri"/>
                <w:color w:val="000000"/>
                <w:sz w:val="16"/>
                <w:szCs w:val="16"/>
                <w:lang w:val="en-GB" w:eastAsia="pt-PT"/>
              </w:rPr>
              <w:t xml:space="preserve"> disease activity (LDA) ≥ 2.6 and &lt; 3.2, n (%)</w:t>
            </w:r>
          </w:p>
        </w:tc>
        <w:tc>
          <w:tcPr>
            <w:tcW w:w="1540" w:type="dxa"/>
            <w:shd w:val="clear" w:color="auto" w:fill="auto"/>
            <w:noWrap/>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0</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0</w:t>
            </w:r>
          </w:p>
        </w:tc>
      </w:tr>
      <w:tr w:rsidR="000B1999" w:rsidRPr="00217EBD" w:rsidTr="006A47CA">
        <w:trPr>
          <w:trHeight w:val="225"/>
        </w:trPr>
        <w:tc>
          <w:tcPr>
            <w:tcW w:w="4962"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 remission &lt; 2.6, n (%)</w:t>
            </w:r>
          </w:p>
        </w:tc>
        <w:tc>
          <w:tcPr>
            <w:tcW w:w="1540" w:type="dxa"/>
            <w:shd w:val="clear" w:color="auto" w:fill="auto"/>
            <w:noWrap/>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 (4)</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 (5)</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Pre-bDMARD HAQ, median (IQR) initial n=33; recall n=27</w:t>
            </w:r>
          </w:p>
        </w:tc>
        <w:tc>
          <w:tcPr>
            <w:tcW w:w="1540" w:type="dxa"/>
            <w:shd w:val="clear" w:color="auto" w:fill="auto"/>
            <w:noWrap/>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2.00 (1.47 – 2.53)</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2.00 (1.44 – 2.49)</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On bDMARD,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94 (100)</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61 (79)</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b/>
                <w:bCs/>
                <w:color w:val="000000"/>
                <w:sz w:val="16"/>
                <w:szCs w:val="16"/>
                <w:u w:val="single"/>
                <w:lang w:val="pt-PT" w:eastAsia="pt-PT"/>
              </w:rPr>
            </w:pPr>
            <w:r w:rsidRPr="00217EBD">
              <w:rPr>
                <w:rFonts w:ascii="Calibri" w:eastAsia="Times New Roman" w:hAnsi="Calibri" w:cs="Calibri"/>
                <w:b/>
                <w:bCs/>
                <w:color w:val="000000"/>
                <w:sz w:val="16"/>
                <w:szCs w:val="16"/>
                <w:u w:val="single"/>
                <w:lang w:val="pt-PT" w:eastAsia="pt-PT"/>
              </w:rPr>
              <w:t>bDMARD:</w:t>
            </w:r>
          </w:p>
        </w:tc>
        <w:tc>
          <w:tcPr>
            <w:tcW w:w="1540" w:type="dxa"/>
            <w:shd w:val="clear" w:color="auto" w:fill="auto"/>
            <w:vAlign w:val="center"/>
            <w:hideMark/>
          </w:tcPr>
          <w:p w:rsidR="000B1999" w:rsidRPr="00217EBD" w:rsidRDefault="000B1999" w:rsidP="006A47CA">
            <w:pPr>
              <w:rPr>
                <w:rFonts w:ascii="Calibri" w:eastAsia="Times New Roman" w:hAnsi="Calibri" w:cs="Calibri"/>
                <w:b/>
                <w:bCs/>
                <w:color w:val="000000"/>
                <w:sz w:val="16"/>
                <w:szCs w:val="16"/>
                <w:u w:val="single"/>
                <w:lang w:val="pt-PT" w:eastAsia="pt-PT"/>
              </w:rPr>
            </w:pPr>
          </w:p>
        </w:tc>
        <w:tc>
          <w:tcPr>
            <w:tcW w:w="2280" w:type="dxa"/>
            <w:shd w:val="clear" w:color="auto" w:fill="auto"/>
            <w:vAlign w:val="center"/>
            <w:hideMark/>
          </w:tcPr>
          <w:p w:rsidR="000B1999" w:rsidRPr="00217EBD" w:rsidRDefault="000B1999" w:rsidP="006A47CA">
            <w:pPr>
              <w:jc w:val="center"/>
              <w:rPr>
                <w:rFonts w:ascii="Times New Roman" w:eastAsia="Times New Roman" w:hAnsi="Times New Roman" w:cs="Times New Roman"/>
                <w:sz w:val="20"/>
                <w:szCs w:val="20"/>
                <w:lang w:val="pt-PT" w:eastAsia="pt-PT"/>
              </w:rPr>
            </w:pP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Infliximab,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 (3)</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 (1,5)</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Etanercept,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55 (59)</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31 (51)</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Adalimumab,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14 (15)</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 (8)</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Golimumab,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 (2)</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 (3)</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Rituximab,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 (6)</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 (10)</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Tocilizumab,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14 (15)</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15 (25)</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Abatacept,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0</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 (1.5)</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b/>
                <w:bCs/>
                <w:color w:val="000000"/>
                <w:sz w:val="16"/>
                <w:szCs w:val="16"/>
                <w:u w:val="single"/>
                <w:lang w:val="pt-PT" w:eastAsia="pt-PT"/>
              </w:rPr>
            </w:pPr>
            <w:r w:rsidRPr="00217EBD">
              <w:rPr>
                <w:rFonts w:ascii="Calibri" w:eastAsia="Times New Roman" w:hAnsi="Calibri" w:cs="Calibri"/>
                <w:b/>
                <w:bCs/>
                <w:color w:val="000000"/>
                <w:sz w:val="16"/>
                <w:szCs w:val="16"/>
                <w:u w:val="single"/>
                <w:lang w:val="pt-PT" w:eastAsia="pt-PT"/>
              </w:rPr>
              <w:t xml:space="preserve">Comorbidities: </w:t>
            </w:r>
          </w:p>
        </w:tc>
        <w:tc>
          <w:tcPr>
            <w:tcW w:w="1540" w:type="dxa"/>
            <w:shd w:val="clear" w:color="auto" w:fill="auto"/>
            <w:vAlign w:val="center"/>
            <w:hideMark/>
          </w:tcPr>
          <w:p w:rsidR="000B1999" w:rsidRPr="00217EBD" w:rsidRDefault="000B1999" w:rsidP="006A47CA">
            <w:pPr>
              <w:rPr>
                <w:rFonts w:ascii="Calibri" w:eastAsia="Times New Roman" w:hAnsi="Calibri" w:cs="Calibri"/>
                <w:b/>
                <w:bCs/>
                <w:color w:val="000000"/>
                <w:sz w:val="16"/>
                <w:szCs w:val="16"/>
                <w:u w:val="single"/>
                <w:lang w:val="pt-PT" w:eastAsia="pt-PT"/>
              </w:rPr>
            </w:pPr>
          </w:p>
        </w:tc>
        <w:tc>
          <w:tcPr>
            <w:tcW w:w="2280" w:type="dxa"/>
            <w:shd w:val="clear" w:color="auto" w:fill="auto"/>
            <w:noWrap/>
            <w:vAlign w:val="bottom"/>
            <w:hideMark/>
          </w:tcPr>
          <w:p w:rsidR="000B1999" w:rsidRPr="00217EBD" w:rsidRDefault="000B1999" w:rsidP="006A47CA">
            <w:pPr>
              <w:jc w:val="center"/>
              <w:rPr>
                <w:rFonts w:ascii="Times New Roman" w:eastAsia="Times New Roman" w:hAnsi="Times New Roman" w:cs="Times New Roman"/>
                <w:sz w:val="20"/>
                <w:szCs w:val="20"/>
                <w:lang w:val="pt-PT" w:eastAsia="pt-PT"/>
              </w:rPr>
            </w:pP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Benign Tumors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 (1)</w:t>
            </w:r>
          </w:p>
        </w:tc>
        <w:tc>
          <w:tcPr>
            <w:tcW w:w="2280" w:type="dxa"/>
            <w:shd w:val="clear" w:color="auto" w:fill="auto"/>
            <w:noWrap/>
            <w:vAlign w:val="bottom"/>
            <w:hideMark/>
          </w:tcPr>
          <w:p w:rsidR="000B1999" w:rsidRPr="00217EBD" w:rsidRDefault="000B1999" w:rsidP="006A47CA">
            <w:pPr>
              <w:jc w:val="center"/>
              <w:rPr>
                <w:rFonts w:ascii="Calibri" w:eastAsia="Times New Roman" w:hAnsi="Calibri" w:cs="Calibri"/>
                <w:sz w:val="16"/>
                <w:szCs w:val="16"/>
                <w:lang w:val="pt-PT" w:eastAsia="pt-PT"/>
              </w:rPr>
            </w:pPr>
            <w:r w:rsidRPr="00217EBD">
              <w:rPr>
                <w:rFonts w:ascii="Calibri" w:eastAsia="Times New Roman" w:hAnsi="Calibri" w:cs="Calibri"/>
                <w:sz w:val="16"/>
                <w:szCs w:val="16"/>
                <w:lang w:val="pt-PT" w:eastAsia="pt-PT"/>
              </w:rPr>
              <w:t>0</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Malignancy</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 (6)</w:t>
            </w:r>
          </w:p>
        </w:tc>
        <w:tc>
          <w:tcPr>
            <w:tcW w:w="2280" w:type="dxa"/>
            <w:shd w:val="clear" w:color="auto" w:fill="auto"/>
            <w:noWrap/>
            <w:vAlign w:val="bottom"/>
            <w:hideMark/>
          </w:tcPr>
          <w:p w:rsidR="000B1999" w:rsidRPr="00217EBD" w:rsidRDefault="000B1999" w:rsidP="006A47CA">
            <w:pPr>
              <w:jc w:val="center"/>
              <w:rPr>
                <w:rFonts w:ascii="Calibri" w:eastAsia="Times New Roman" w:hAnsi="Calibri" w:cs="Calibri"/>
                <w:sz w:val="16"/>
                <w:szCs w:val="16"/>
                <w:lang w:val="pt-PT" w:eastAsia="pt-PT"/>
              </w:rPr>
            </w:pPr>
            <w:r w:rsidRPr="00217EBD">
              <w:rPr>
                <w:rFonts w:ascii="Calibri" w:eastAsia="Times New Roman" w:hAnsi="Calibri" w:cs="Calibri"/>
                <w:sz w:val="16"/>
                <w:szCs w:val="16"/>
                <w:lang w:val="pt-PT" w:eastAsia="pt-PT"/>
              </w:rPr>
              <w:t>2 (2)</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Active smoking,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12 (16)</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11 (14)</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Dyslipidemia,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48 (51)</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41 (53)</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Arterial hypertension,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39 (41)</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33 (43)</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Obesity,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9 (10)</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8 (10)</w:t>
            </w:r>
          </w:p>
        </w:tc>
      </w:tr>
      <w:tr w:rsidR="000B1999" w:rsidRPr="00217EBD" w:rsidTr="006A47CA">
        <w:trPr>
          <w:trHeight w:val="225"/>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Chronic anxiety/depression disorder, n (%)</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18 (19)</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14 (18)</w:t>
            </w:r>
          </w:p>
        </w:tc>
      </w:tr>
      <w:tr w:rsidR="000B1999" w:rsidRPr="00217EBD" w:rsidTr="006A47CA">
        <w:trPr>
          <w:trHeight w:val="450"/>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Charlson Comorbidity Index at time bDMARD started, median (IQR)</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 (2 -3)</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 (2 -3)</w:t>
            </w:r>
          </w:p>
        </w:tc>
      </w:tr>
      <w:tr w:rsidR="000B1999" w:rsidRPr="00217EBD" w:rsidTr="006A47CA">
        <w:trPr>
          <w:trHeight w:val="450"/>
        </w:trPr>
        <w:tc>
          <w:tcPr>
            <w:tcW w:w="4962"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Estimated 10-year survival at the time bDMARD started, median (IQR)</w:t>
            </w:r>
          </w:p>
        </w:tc>
        <w:tc>
          <w:tcPr>
            <w:tcW w:w="154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90 (77 – 90)</w:t>
            </w:r>
          </w:p>
        </w:tc>
        <w:tc>
          <w:tcPr>
            <w:tcW w:w="2280" w:type="dxa"/>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90 (77 – 90)</w:t>
            </w:r>
          </w:p>
        </w:tc>
      </w:tr>
    </w:tbl>
    <w:p w:rsidR="000B1999" w:rsidRPr="00217EBD" w:rsidRDefault="000B1999" w:rsidP="000B1999">
      <w:pPr>
        <w:jc w:val="both"/>
        <w:rPr>
          <w:rFonts w:cstheme="minorHAnsi"/>
          <w:sz w:val="16"/>
          <w:szCs w:val="16"/>
          <w:lang w:val="en-GB"/>
        </w:rPr>
      </w:pPr>
      <w:r w:rsidRPr="00217EBD">
        <w:rPr>
          <w:rFonts w:cstheme="minorHAnsi"/>
          <w:sz w:val="16"/>
          <w:szCs w:val="16"/>
          <w:lang w:val="en-GB"/>
        </w:rPr>
        <w:t>*age at diagnosis</w:t>
      </w:r>
    </w:p>
    <w:p w:rsidR="000B1999" w:rsidRPr="00217EBD" w:rsidRDefault="000B1999" w:rsidP="000B1999">
      <w:pPr>
        <w:jc w:val="both"/>
        <w:rPr>
          <w:rFonts w:cstheme="minorHAnsi"/>
          <w:sz w:val="16"/>
          <w:szCs w:val="16"/>
          <w:lang w:val="en-GB"/>
        </w:rPr>
      </w:pPr>
      <w:r w:rsidRPr="00217EBD">
        <w:rPr>
          <w:rFonts w:cstheme="minorHAnsi"/>
          <w:sz w:val="16"/>
          <w:szCs w:val="16"/>
          <w:lang w:val="en-GB"/>
        </w:rPr>
        <w:t>**dose not known in 6 females and 2 males</w:t>
      </w:r>
    </w:p>
    <w:p w:rsidR="000B1999" w:rsidRPr="00217EBD" w:rsidRDefault="000B1999" w:rsidP="000B1999">
      <w:pPr>
        <w:rPr>
          <w:rFonts w:cstheme="minorHAnsi"/>
          <w:sz w:val="16"/>
          <w:szCs w:val="16"/>
          <w:lang w:val="en-GB"/>
        </w:rPr>
      </w:pPr>
      <w:r w:rsidRPr="00217EBD">
        <w:rPr>
          <w:rFonts w:cstheme="minorHAnsi"/>
          <w:sz w:val="16"/>
          <w:szCs w:val="16"/>
          <w:lang w:val="en-GB"/>
        </w:rPr>
        <w:br w:type="page"/>
      </w:r>
    </w:p>
    <w:p w:rsidR="000B1999" w:rsidRPr="00217EBD" w:rsidRDefault="000B1999" w:rsidP="000B1999">
      <w:pPr>
        <w:spacing w:line="360" w:lineRule="auto"/>
        <w:jc w:val="both"/>
        <w:rPr>
          <w:rFonts w:cstheme="minorHAnsi"/>
          <w:b/>
          <w:sz w:val="16"/>
          <w:szCs w:val="16"/>
          <w:lang w:val="en-GB"/>
        </w:rPr>
      </w:pPr>
      <w:r w:rsidRPr="00217EBD">
        <w:rPr>
          <w:rFonts w:cstheme="minorHAnsi"/>
          <w:b/>
          <w:sz w:val="16"/>
          <w:szCs w:val="16"/>
          <w:lang w:val="en-GB"/>
        </w:rPr>
        <w:lastRenderedPageBreak/>
        <w:t>Table II. Age distribution, professional situation, schooling, marital status and socio-economic status at recall*</w:t>
      </w:r>
    </w:p>
    <w:tbl>
      <w:tblPr>
        <w:tblW w:w="414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80"/>
        <w:gridCol w:w="960"/>
      </w:tblGrid>
      <w:tr w:rsidR="000B1999" w:rsidRPr="00217EBD" w:rsidTr="006A47CA">
        <w:trPr>
          <w:trHeight w:val="255"/>
        </w:trPr>
        <w:tc>
          <w:tcPr>
            <w:tcW w:w="3180" w:type="dxa"/>
            <w:tcBorders>
              <w:top w:val="single" w:sz="4" w:space="0" w:color="auto"/>
              <w:bottom w:val="single" w:sz="4" w:space="0" w:color="auto"/>
            </w:tcBorders>
            <w:shd w:val="clear" w:color="auto" w:fill="auto"/>
            <w:vAlign w:val="center"/>
            <w:hideMark/>
          </w:tcPr>
          <w:p w:rsidR="000B1999" w:rsidRPr="00217EBD" w:rsidRDefault="000B1999" w:rsidP="006A47CA">
            <w:pPr>
              <w:jc w:val="both"/>
              <w:rPr>
                <w:rFonts w:eastAsia="Times New Roman" w:cstheme="minorHAnsi"/>
                <w:b/>
                <w:bCs/>
                <w:color w:val="000000"/>
                <w:sz w:val="16"/>
                <w:szCs w:val="16"/>
                <w:lang w:val="pt-PT" w:eastAsia="pt-PT"/>
              </w:rPr>
            </w:pPr>
            <w:r w:rsidRPr="00217EBD">
              <w:rPr>
                <w:rFonts w:eastAsia="Times New Roman" w:cstheme="minorHAnsi"/>
                <w:b/>
                <w:bCs/>
                <w:color w:val="000000"/>
                <w:sz w:val="16"/>
                <w:szCs w:val="16"/>
                <w:lang w:val="pt-PT" w:eastAsia="pt-PT"/>
              </w:rPr>
              <w:t>Age range (y) (n=77)</w:t>
            </w:r>
          </w:p>
        </w:tc>
        <w:tc>
          <w:tcPr>
            <w:tcW w:w="960" w:type="dxa"/>
            <w:tcBorders>
              <w:top w:val="single" w:sz="4" w:space="0" w:color="auto"/>
              <w:bottom w:val="single" w:sz="4" w:space="0" w:color="auto"/>
            </w:tcBorders>
            <w:shd w:val="clear" w:color="auto" w:fill="auto"/>
            <w:vAlign w:val="center"/>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N (%)</w:t>
            </w:r>
          </w:p>
        </w:tc>
      </w:tr>
      <w:tr w:rsidR="000B1999" w:rsidRPr="00217EBD" w:rsidTr="006A47CA">
        <w:trPr>
          <w:trHeight w:val="255"/>
        </w:trPr>
        <w:tc>
          <w:tcPr>
            <w:tcW w:w="3180" w:type="dxa"/>
            <w:tcBorders>
              <w:top w:val="single" w:sz="4" w:space="0" w:color="auto"/>
            </w:tcBorders>
            <w:shd w:val="clear" w:color="auto" w:fill="auto"/>
            <w:vAlign w:val="center"/>
            <w:hideMark/>
          </w:tcPr>
          <w:p w:rsidR="000B1999" w:rsidRPr="00217EBD" w:rsidRDefault="000B1999" w:rsidP="006A47CA">
            <w:pPr>
              <w:jc w:val="both"/>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27 -  36 y</w:t>
            </w:r>
          </w:p>
        </w:tc>
        <w:tc>
          <w:tcPr>
            <w:tcW w:w="960" w:type="dxa"/>
            <w:tcBorders>
              <w:top w:val="single" w:sz="4" w:space="0" w:color="auto"/>
            </w:tcBorders>
            <w:shd w:val="clear" w:color="auto" w:fill="auto"/>
            <w:vAlign w:val="center"/>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1 (13)</w:t>
            </w:r>
          </w:p>
        </w:tc>
      </w:tr>
      <w:tr w:rsidR="000B1999" w:rsidRPr="00217EBD" w:rsidTr="006A47CA">
        <w:trPr>
          <w:trHeight w:val="255"/>
        </w:trPr>
        <w:tc>
          <w:tcPr>
            <w:tcW w:w="3180" w:type="dxa"/>
            <w:shd w:val="clear" w:color="auto" w:fill="auto"/>
            <w:vAlign w:val="center"/>
            <w:hideMark/>
          </w:tcPr>
          <w:p w:rsidR="000B1999" w:rsidRPr="00217EBD" w:rsidRDefault="000B1999" w:rsidP="006A47CA">
            <w:pPr>
              <w:jc w:val="both"/>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37 – 46 y</w:t>
            </w:r>
          </w:p>
        </w:tc>
        <w:tc>
          <w:tcPr>
            <w:tcW w:w="960" w:type="dxa"/>
            <w:shd w:val="clear" w:color="auto" w:fill="auto"/>
            <w:vAlign w:val="center"/>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5 (6.5)</w:t>
            </w:r>
          </w:p>
        </w:tc>
      </w:tr>
      <w:tr w:rsidR="000B1999" w:rsidRPr="00217EBD" w:rsidTr="006A47CA">
        <w:trPr>
          <w:trHeight w:val="255"/>
        </w:trPr>
        <w:tc>
          <w:tcPr>
            <w:tcW w:w="3180" w:type="dxa"/>
            <w:shd w:val="clear" w:color="auto" w:fill="auto"/>
            <w:vAlign w:val="center"/>
            <w:hideMark/>
          </w:tcPr>
          <w:p w:rsidR="000B1999" w:rsidRPr="00217EBD" w:rsidRDefault="000B1999" w:rsidP="006A47CA">
            <w:pPr>
              <w:jc w:val="both"/>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47 – 56 y</w:t>
            </w:r>
          </w:p>
        </w:tc>
        <w:tc>
          <w:tcPr>
            <w:tcW w:w="960" w:type="dxa"/>
            <w:shd w:val="clear" w:color="auto" w:fill="auto"/>
            <w:vAlign w:val="center"/>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17 (22.1)</w:t>
            </w:r>
          </w:p>
        </w:tc>
      </w:tr>
      <w:tr w:rsidR="000B1999" w:rsidRPr="00217EBD" w:rsidTr="006A47CA">
        <w:trPr>
          <w:trHeight w:val="255"/>
        </w:trPr>
        <w:tc>
          <w:tcPr>
            <w:tcW w:w="3180" w:type="dxa"/>
            <w:shd w:val="clear" w:color="auto" w:fill="auto"/>
            <w:vAlign w:val="center"/>
            <w:hideMark/>
          </w:tcPr>
          <w:p w:rsidR="000B1999" w:rsidRPr="00217EBD" w:rsidRDefault="000B1999" w:rsidP="006A47CA">
            <w:pPr>
              <w:jc w:val="both"/>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57 – 66 y</w:t>
            </w:r>
          </w:p>
        </w:tc>
        <w:tc>
          <w:tcPr>
            <w:tcW w:w="960" w:type="dxa"/>
            <w:shd w:val="clear" w:color="auto" w:fill="auto"/>
            <w:vAlign w:val="center"/>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26 (33.8)</w:t>
            </w:r>
          </w:p>
        </w:tc>
      </w:tr>
      <w:tr w:rsidR="000B1999" w:rsidRPr="00217EBD" w:rsidTr="006A47CA">
        <w:trPr>
          <w:trHeight w:val="255"/>
        </w:trPr>
        <w:tc>
          <w:tcPr>
            <w:tcW w:w="3180" w:type="dxa"/>
            <w:tcBorders>
              <w:bottom w:val="single" w:sz="4" w:space="0" w:color="auto"/>
            </w:tcBorders>
            <w:shd w:val="clear" w:color="auto" w:fill="auto"/>
            <w:vAlign w:val="center"/>
            <w:hideMark/>
          </w:tcPr>
          <w:p w:rsidR="000B1999" w:rsidRPr="00217EBD" w:rsidRDefault="000B1999" w:rsidP="006A47CA">
            <w:pPr>
              <w:jc w:val="both"/>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 67 y</w:t>
            </w:r>
          </w:p>
        </w:tc>
        <w:tc>
          <w:tcPr>
            <w:tcW w:w="960" w:type="dxa"/>
            <w:tcBorders>
              <w:bottom w:val="single" w:sz="4" w:space="0" w:color="auto"/>
            </w:tcBorders>
            <w:shd w:val="clear" w:color="auto" w:fill="auto"/>
            <w:vAlign w:val="center"/>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28 (36.3)</w:t>
            </w:r>
          </w:p>
        </w:tc>
      </w:tr>
      <w:tr w:rsidR="000B1999" w:rsidRPr="00217EBD" w:rsidTr="006A47CA">
        <w:trPr>
          <w:trHeight w:val="255"/>
        </w:trPr>
        <w:tc>
          <w:tcPr>
            <w:tcW w:w="3180" w:type="dxa"/>
            <w:tcBorders>
              <w:top w:val="single" w:sz="4" w:space="0" w:color="auto"/>
              <w:bottom w:val="single" w:sz="4" w:space="0" w:color="auto"/>
            </w:tcBorders>
            <w:shd w:val="clear" w:color="auto" w:fill="auto"/>
            <w:noWrap/>
            <w:vAlign w:val="bottom"/>
            <w:hideMark/>
          </w:tcPr>
          <w:p w:rsidR="000B1999" w:rsidRPr="00217EBD" w:rsidRDefault="000B1999" w:rsidP="006A47CA">
            <w:pPr>
              <w:rPr>
                <w:rFonts w:eastAsia="Times New Roman" w:cstheme="minorHAnsi"/>
                <w:b/>
                <w:bCs/>
                <w:color w:val="000000"/>
                <w:sz w:val="16"/>
                <w:szCs w:val="16"/>
                <w:lang w:val="pt-PT" w:eastAsia="pt-PT"/>
              </w:rPr>
            </w:pPr>
            <w:r w:rsidRPr="00217EBD">
              <w:rPr>
                <w:rFonts w:eastAsia="Times New Roman" w:cstheme="minorHAnsi"/>
                <w:b/>
                <w:bCs/>
                <w:color w:val="000000"/>
                <w:sz w:val="16"/>
                <w:szCs w:val="16"/>
                <w:lang w:val="pt-PT" w:eastAsia="pt-PT"/>
              </w:rPr>
              <w:t>Professional Situation*</w:t>
            </w:r>
          </w:p>
        </w:tc>
        <w:tc>
          <w:tcPr>
            <w:tcW w:w="960" w:type="dxa"/>
            <w:tcBorders>
              <w:top w:val="single" w:sz="4" w:space="0" w:color="auto"/>
              <w:bottom w:val="single" w:sz="4" w:space="0" w:color="auto"/>
            </w:tcBorders>
            <w:shd w:val="clear" w:color="auto" w:fill="auto"/>
            <w:noWrap/>
            <w:vAlign w:val="bottom"/>
            <w:hideMark/>
          </w:tcPr>
          <w:p w:rsidR="000B1999" w:rsidRPr="00217EBD" w:rsidRDefault="000B1999" w:rsidP="006A47CA">
            <w:pPr>
              <w:rPr>
                <w:rFonts w:eastAsia="Times New Roman" w:cstheme="minorHAnsi"/>
                <w:b/>
                <w:bCs/>
                <w:color w:val="000000"/>
                <w:sz w:val="16"/>
                <w:szCs w:val="16"/>
                <w:lang w:val="pt-PT" w:eastAsia="pt-PT"/>
              </w:rPr>
            </w:pPr>
          </w:p>
        </w:tc>
      </w:tr>
      <w:tr w:rsidR="000B1999" w:rsidRPr="00217EBD" w:rsidTr="006A47CA">
        <w:trPr>
          <w:trHeight w:val="285"/>
        </w:trPr>
        <w:tc>
          <w:tcPr>
            <w:tcW w:w="3180" w:type="dxa"/>
            <w:tcBorders>
              <w:top w:val="single" w:sz="4" w:space="0" w:color="auto"/>
            </w:tcBorders>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Employed</w:t>
            </w:r>
          </w:p>
        </w:tc>
        <w:tc>
          <w:tcPr>
            <w:tcW w:w="960" w:type="dxa"/>
            <w:tcBorders>
              <w:top w:val="single" w:sz="4" w:space="0" w:color="auto"/>
            </w:tcBorders>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21 (27.6)</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Unemployed</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8 (10.5)</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Retired</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37 (48.7)</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Student</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2 (2.6)</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Homemaker</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6 (7.9)</w:t>
            </w:r>
          </w:p>
        </w:tc>
      </w:tr>
      <w:tr w:rsidR="000B1999" w:rsidRPr="00217EBD" w:rsidTr="006A47CA">
        <w:trPr>
          <w:trHeight w:val="255"/>
        </w:trPr>
        <w:tc>
          <w:tcPr>
            <w:tcW w:w="3180" w:type="dxa"/>
            <w:tcBorders>
              <w:bottom w:val="single" w:sz="4" w:space="0" w:color="auto"/>
            </w:tcBorders>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Other</w:t>
            </w:r>
          </w:p>
        </w:tc>
        <w:tc>
          <w:tcPr>
            <w:tcW w:w="960" w:type="dxa"/>
            <w:tcBorders>
              <w:bottom w:val="single" w:sz="4" w:space="0" w:color="auto"/>
            </w:tcBorders>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2 (2.6)</w:t>
            </w:r>
          </w:p>
        </w:tc>
      </w:tr>
      <w:tr w:rsidR="000B1999" w:rsidRPr="00217EBD" w:rsidTr="006A47CA">
        <w:trPr>
          <w:trHeight w:val="255"/>
        </w:trPr>
        <w:tc>
          <w:tcPr>
            <w:tcW w:w="3180" w:type="dxa"/>
            <w:tcBorders>
              <w:top w:val="single" w:sz="4" w:space="0" w:color="auto"/>
              <w:bottom w:val="single" w:sz="4" w:space="0" w:color="auto"/>
            </w:tcBorders>
            <w:shd w:val="clear" w:color="auto" w:fill="auto"/>
            <w:noWrap/>
            <w:vAlign w:val="bottom"/>
            <w:hideMark/>
          </w:tcPr>
          <w:p w:rsidR="000B1999" w:rsidRPr="00217EBD" w:rsidRDefault="000B1999" w:rsidP="006A47CA">
            <w:pPr>
              <w:rPr>
                <w:rFonts w:eastAsia="Times New Roman" w:cstheme="minorHAnsi"/>
                <w:b/>
                <w:bCs/>
                <w:color w:val="000000"/>
                <w:sz w:val="16"/>
                <w:szCs w:val="16"/>
                <w:lang w:val="pt-PT" w:eastAsia="pt-PT"/>
              </w:rPr>
            </w:pPr>
            <w:r w:rsidRPr="00217EBD">
              <w:rPr>
                <w:rFonts w:eastAsia="Times New Roman" w:cstheme="minorHAnsi"/>
                <w:b/>
                <w:bCs/>
                <w:color w:val="000000"/>
                <w:sz w:val="16"/>
                <w:szCs w:val="16"/>
                <w:lang w:val="pt-PT" w:eastAsia="pt-PT"/>
              </w:rPr>
              <w:t>Schooling*</w:t>
            </w:r>
          </w:p>
        </w:tc>
        <w:tc>
          <w:tcPr>
            <w:tcW w:w="960" w:type="dxa"/>
            <w:tcBorders>
              <w:top w:val="single" w:sz="4" w:space="0" w:color="auto"/>
              <w:bottom w:val="single" w:sz="4" w:space="0" w:color="auto"/>
            </w:tcBorders>
            <w:shd w:val="clear" w:color="auto" w:fill="auto"/>
            <w:noWrap/>
            <w:vAlign w:val="bottom"/>
            <w:hideMark/>
          </w:tcPr>
          <w:p w:rsidR="000B1999" w:rsidRPr="00217EBD" w:rsidRDefault="000B1999" w:rsidP="006A47CA">
            <w:pPr>
              <w:rPr>
                <w:rFonts w:eastAsia="Times New Roman" w:cstheme="minorHAnsi"/>
                <w:b/>
                <w:bCs/>
                <w:color w:val="000000"/>
                <w:sz w:val="16"/>
                <w:szCs w:val="16"/>
                <w:lang w:val="pt-PT" w:eastAsia="pt-PT"/>
              </w:rPr>
            </w:pPr>
          </w:p>
        </w:tc>
      </w:tr>
      <w:tr w:rsidR="000B1999" w:rsidRPr="00217EBD" w:rsidTr="006A47CA">
        <w:trPr>
          <w:trHeight w:val="255"/>
        </w:trPr>
        <w:tc>
          <w:tcPr>
            <w:tcW w:w="3180" w:type="dxa"/>
            <w:tcBorders>
              <w:top w:val="single" w:sz="4" w:space="0" w:color="auto"/>
            </w:tcBorders>
            <w:shd w:val="clear" w:color="auto" w:fill="auto"/>
            <w:noWrap/>
            <w:vAlign w:val="bottom"/>
            <w:hideMark/>
          </w:tcPr>
          <w:p w:rsidR="000B1999" w:rsidRPr="00217EBD" w:rsidRDefault="000B1999" w:rsidP="006A47CA">
            <w:pPr>
              <w:rPr>
                <w:rFonts w:eastAsia="Times New Roman" w:cstheme="minorHAnsi"/>
                <w:color w:val="000000"/>
                <w:sz w:val="16"/>
                <w:szCs w:val="16"/>
                <w:lang w:val="en-GB" w:eastAsia="pt-PT"/>
              </w:rPr>
            </w:pPr>
            <w:r w:rsidRPr="00217EBD">
              <w:rPr>
                <w:rFonts w:eastAsia="Times New Roman" w:cstheme="minorHAnsi"/>
                <w:color w:val="000000"/>
                <w:sz w:val="16"/>
                <w:szCs w:val="16"/>
                <w:lang w:val="en-GB" w:eastAsia="pt-PT"/>
              </w:rPr>
              <w:t>Cannot read or write</w:t>
            </w:r>
          </w:p>
        </w:tc>
        <w:tc>
          <w:tcPr>
            <w:tcW w:w="960" w:type="dxa"/>
            <w:tcBorders>
              <w:top w:val="single" w:sz="4" w:space="0" w:color="auto"/>
            </w:tcBorders>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1 (1.3)</w:t>
            </w:r>
          </w:p>
        </w:tc>
      </w:tr>
      <w:tr w:rsidR="000B1999" w:rsidRPr="00217EBD" w:rsidTr="006A47CA">
        <w:trPr>
          <w:trHeight w:val="255"/>
        </w:trPr>
        <w:tc>
          <w:tcPr>
            <w:tcW w:w="3180" w:type="dxa"/>
            <w:shd w:val="clear" w:color="auto" w:fill="auto"/>
            <w:vAlign w:val="center"/>
            <w:hideMark/>
          </w:tcPr>
          <w:p w:rsidR="000B1999" w:rsidRPr="00217EBD" w:rsidRDefault="000B1999" w:rsidP="006A47CA">
            <w:pPr>
              <w:rPr>
                <w:rFonts w:eastAsia="Times New Roman" w:cstheme="minorHAnsi"/>
                <w:color w:val="000000"/>
                <w:sz w:val="16"/>
                <w:szCs w:val="16"/>
                <w:lang w:val="en-GB" w:eastAsia="pt-PT"/>
              </w:rPr>
            </w:pPr>
            <w:r w:rsidRPr="00217EBD">
              <w:rPr>
                <w:rFonts w:eastAsia="Times New Roman" w:cstheme="minorHAnsi"/>
                <w:color w:val="000000"/>
                <w:sz w:val="16"/>
                <w:szCs w:val="16"/>
                <w:lang w:val="en-GB" w:eastAsia="pt-PT"/>
              </w:rPr>
              <w:t>Can read and write but no schooling</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3 (3.9)</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First 4 years</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31 (40.8)</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First 6 years</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4 (5.3)</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First 9 years</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15 (19.7)</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Completed schooling (12 years)</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9 (11.8)</w:t>
            </w:r>
          </w:p>
        </w:tc>
      </w:tr>
      <w:tr w:rsidR="000B1999" w:rsidRPr="00217EBD" w:rsidTr="006A47CA">
        <w:trPr>
          <w:trHeight w:val="255"/>
        </w:trPr>
        <w:tc>
          <w:tcPr>
            <w:tcW w:w="3180" w:type="dxa"/>
            <w:shd w:val="clear" w:color="auto" w:fill="auto"/>
            <w:noWrap/>
            <w:vAlign w:val="bottom"/>
            <w:hideMark/>
          </w:tcPr>
          <w:p w:rsidR="000B1999" w:rsidRPr="00217EBD" w:rsidRDefault="00DB4E2D" w:rsidP="006A47CA">
            <w:pPr>
              <w:rPr>
                <w:rFonts w:eastAsia="Times New Roman" w:cstheme="minorHAnsi"/>
                <w:color w:val="000000"/>
                <w:sz w:val="16"/>
                <w:szCs w:val="16"/>
                <w:lang w:val="pt-PT" w:eastAsia="pt-PT"/>
              </w:rPr>
            </w:pPr>
            <w:r>
              <w:rPr>
                <w:rFonts w:eastAsia="Times New Roman" w:cstheme="minorHAnsi"/>
                <w:color w:val="000000"/>
                <w:sz w:val="16"/>
                <w:szCs w:val="16"/>
                <w:lang w:val="pt-PT" w:eastAsia="pt-PT"/>
              </w:rPr>
              <w:t>University degree</w:t>
            </w:r>
          </w:p>
        </w:tc>
        <w:tc>
          <w:tcPr>
            <w:tcW w:w="960" w:type="dxa"/>
            <w:shd w:val="clear" w:color="auto" w:fill="auto"/>
            <w:noWrap/>
            <w:vAlign w:val="bottom"/>
            <w:hideMark/>
          </w:tcPr>
          <w:p w:rsidR="000B1999" w:rsidRPr="00217EBD" w:rsidRDefault="00DB4E2D" w:rsidP="006A47CA">
            <w:pPr>
              <w:jc w:val="center"/>
              <w:rPr>
                <w:rFonts w:eastAsia="Times New Roman" w:cstheme="minorHAnsi"/>
                <w:color w:val="000000"/>
                <w:sz w:val="16"/>
                <w:szCs w:val="16"/>
                <w:lang w:val="pt-PT" w:eastAsia="pt-PT"/>
              </w:rPr>
            </w:pPr>
            <w:r>
              <w:rPr>
                <w:rFonts w:eastAsia="Times New Roman" w:cstheme="minorHAnsi"/>
                <w:color w:val="000000"/>
                <w:sz w:val="16"/>
                <w:szCs w:val="16"/>
                <w:lang w:val="pt-PT" w:eastAsia="pt-PT"/>
              </w:rPr>
              <w:t>13 (17)</w:t>
            </w:r>
          </w:p>
        </w:tc>
      </w:tr>
      <w:tr w:rsidR="000B1999" w:rsidRPr="00217EBD" w:rsidTr="006A47CA">
        <w:trPr>
          <w:trHeight w:val="255"/>
        </w:trPr>
        <w:tc>
          <w:tcPr>
            <w:tcW w:w="3180" w:type="dxa"/>
            <w:tcBorders>
              <w:top w:val="single" w:sz="4" w:space="0" w:color="auto"/>
              <w:bottom w:val="single" w:sz="4" w:space="0" w:color="auto"/>
            </w:tcBorders>
            <w:shd w:val="clear" w:color="auto" w:fill="auto"/>
            <w:noWrap/>
            <w:vAlign w:val="bottom"/>
            <w:hideMark/>
          </w:tcPr>
          <w:p w:rsidR="000B1999" w:rsidRPr="00217EBD" w:rsidRDefault="000B1999" w:rsidP="006A47CA">
            <w:pPr>
              <w:rPr>
                <w:rFonts w:eastAsia="Times New Roman" w:cstheme="minorHAnsi"/>
                <w:b/>
                <w:bCs/>
                <w:color w:val="000000"/>
                <w:sz w:val="16"/>
                <w:szCs w:val="16"/>
                <w:lang w:val="pt-PT" w:eastAsia="pt-PT"/>
              </w:rPr>
            </w:pPr>
            <w:r w:rsidRPr="00217EBD">
              <w:rPr>
                <w:rFonts w:eastAsia="Times New Roman" w:cstheme="minorHAnsi"/>
                <w:b/>
                <w:bCs/>
                <w:color w:val="000000"/>
                <w:sz w:val="16"/>
                <w:szCs w:val="16"/>
                <w:lang w:val="pt-PT" w:eastAsia="pt-PT"/>
              </w:rPr>
              <w:t>Marital status*</w:t>
            </w:r>
          </w:p>
        </w:tc>
        <w:tc>
          <w:tcPr>
            <w:tcW w:w="960" w:type="dxa"/>
            <w:tcBorders>
              <w:top w:val="single" w:sz="4" w:space="0" w:color="auto"/>
              <w:bottom w:val="single" w:sz="4" w:space="0" w:color="auto"/>
            </w:tcBorders>
            <w:shd w:val="clear" w:color="auto" w:fill="auto"/>
            <w:noWrap/>
            <w:vAlign w:val="bottom"/>
            <w:hideMark/>
          </w:tcPr>
          <w:p w:rsidR="000B1999" w:rsidRPr="00217EBD" w:rsidRDefault="000B1999" w:rsidP="006A47CA">
            <w:pPr>
              <w:rPr>
                <w:rFonts w:eastAsia="Times New Roman" w:cstheme="minorHAnsi"/>
                <w:b/>
                <w:bCs/>
                <w:color w:val="000000"/>
                <w:sz w:val="16"/>
                <w:szCs w:val="16"/>
                <w:lang w:val="pt-PT" w:eastAsia="pt-PT"/>
              </w:rPr>
            </w:pPr>
          </w:p>
        </w:tc>
      </w:tr>
      <w:tr w:rsidR="000B1999" w:rsidRPr="00217EBD" w:rsidTr="006A47CA">
        <w:trPr>
          <w:trHeight w:val="255"/>
        </w:trPr>
        <w:tc>
          <w:tcPr>
            <w:tcW w:w="3180" w:type="dxa"/>
            <w:tcBorders>
              <w:top w:val="single" w:sz="4" w:space="0" w:color="auto"/>
            </w:tcBorders>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Single</w:t>
            </w:r>
          </w:p>
        </w:tc>
        <w:tc>
          <w:tcPr>
            <w:tcW w:w="960" w:type="dxa"/>
            <w:tcBorders>
              <w:top w:val="single" w:sz="4" w:space="0" w:color="auto"/>
            </w:tcBorders>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13 (17.1)</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Married</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43 (56.6)</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Divorced</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11 (14.5)</w:t>
            </w:r>
          </w:p>
        </w:tc>
      </w:tr>
      <w:tr w:rsidR="000B1999" w:rsidRPr="00217EBD" w:rsidTr="006A47CA">
        <w:trPr>
          <w:trHeight w:val="255"/>
        </w:trPr>
        <w:tc>
          <w:tcPr>
            <w:tcW w:w="3180" w:type="dxa"/>
            <w:shd w:val="clear" w:color="auto" w:fill="auto"/>
            <w:noWrap/>
            <w:vAlign w:val="bottom"/>
            <w:hideMark/>
          </w:tcPr>
          <w:p w:rsidR="000B1999" w:rsidRPr="00217EBD" w:rsidRDefault="000B1999" w:rsidP="006A47CA">
            <w:pP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Widow</w:t>
            </w:r>
          </w:p>
        </w:tc>
        <w:tc>
          <w:tcPr>
            <w:tcW w:w="960" w:type="dxa"/>
            <w:shd w:val="clear" w:color="auto" w:fill="auto"/>
            <w:noWrap/>
            <w:vAlign w:val="bottom"/>
            <w:hideMark/>
          </w:tcPr>
          <w:p w:rsidR="000B1999" w:rsidRPr="00217EBD" w:rsidRDefault="000B1999" w:rsidP="006A47CA">
            <w:pPr>
              <w:jc w:val="center"/>
              <w:rPr>
                <w:rFonts w:eastAsia="Times New Roman" w:cstheme="minorHAnsi"/>
                <w:color w:val="000000"/>
                <w:sz w:val="16"/>
                <w:szCs w:val="16"/>
                <w:lang w:val="pt-PT" w:eastAsia="pt-PT"/>
              </w:rPr>
            </w:pPr>
            <w:r w:rsidRPr="00217EBD">
              <w:rPr>
                <w:rFonts w:eastAsia="Times New Roman" w:cstheme="minorHAnsi"/>
                <w:color w:val="000000"/>
                <w:sz w:val="16"/>
                <w:szCs w:val="16"/>
                <w:lang w:val="pt-PT" w:eastAsia="pt-PT"/>
              </w:rPr>
              <w:t>9 (11.8)</w:t>
            </w:r>
          </w:p>
        </w:tc>
      </w:tr>
    </w:tbl>
    <w:p w:rsidR="000B1999" w:rsidRPr="00217EBD" w:rsidRDefault="000B1999" w:rsidP="000B1999">
      <w:pPr>
        <w:spacing w:line="360" w:lineRule="auto"/>
        <w:jc w:val="both"/>
        <w:rPr>
          <w:rFonts w:cstheme="minorHAnsi"/>
          <w:sz w:val="16"/>
          <w:szCs w:val="16"/>
          <w:lang w:val="en-GB"/>
        </w:rPr>
      </w:pPr>
      <w:r w:rsidRPr="00217EBD">
        <w:rPr>
          <w:rFonts w:cstheme="minorHAnsi"/>
          <w:sz w:val="16"/>
          <w:szCs w:val="16"/>
          <w:lang w:val="en-GB"/>
        </w:rPr>
        <w:t>*missing information in one patient</w:t>
      </w:r>
    </w:p>
    <w:p w:rsidR="000B1999" w:rsidRPr="00217EBD" w:rsidRDefault="000B1999" w:rsidP="000B1999">
      <w:pPr>
        <w:spacing w:line="360" w:lineRule="auto"/>
        <w:jc w:val="both"/>
        <w:rPr>
          <w:rFonts w:cstheme="minorHAnsi"/>
          <w:sz w:val="16"/>
          <w:szCs w:val="16"/>
          <w:lang w:val="en-GB"/>
        </w:rPr>
      </w:pPr>
    </w:p>
    <w:p w:rsidR="000B1999" w:rsidRPr="00217EBD" w:rsidRDefault="000B1999" w:rsidP="000B1999">
      <w:pPr>
        <w:spacing w:line="360" w:lineRule="auto"/>
        <w:jc w:val="both"/>
        <w:rPr>
          <w:rFonts w:cstheme="minorHAnsi"/>
          <w:sz w:val="16"/>
          <w:szCs w:val="16"/>
          <w:lang w:val="en-GB"/>
        </w:rPr>
      </w:pPr>
    </w:p>
    <w:p w:rsidR="000B1999" w:rsidRPr="00217EBD" w:rsidRDefault="000B1999" w:rsidP="000B1999">
      <w:pPr>
        <w:spacing w:after="160" w:line="259" w:lineRule="auto"/>
        <w:rPr>
          <w:rFonts w:cstheme="minorHAnsi"/>
          <w:b/>
          <w:sz w:val="16"/>
          <w:szCs w:val="16"/>
          <w:lang w:val="en-GB"/>
        </w:rPr>
      </w:pPr>
      <w:r w:rsidRPr="00217EBD">
        <w:rPr>
          <w:rFonts w:cstheme="minorHAnsi"/>
          <w:sz w:val="16"/>
          <w:szCs w:val="16"/>
          <w:lang w:val="en-GB"/>
        </w:rPr>
        <w:br w:type="page"/>
      </w:r>
      <w:r w:rsidRPr="00217EBD">
        <w:rPr>
          <w:rFonts w:cstheme="minorHAnsi"/>
          <w:b/>
          <w:sz w:val="16"/>
          <w:szCs w:val="16"/>
          <w:lang w:val="en-GB"/>
        </w:rPr>
        <w:lastRenderedPageBreak/>
        <w:t>Table III. Disease duration, therapy, disease activity, functional status and EQ-5D-3L at recall</w:t>
      </w:r>
    </w:p>
    <w:tbl>
      <w:tblPr>
        <w:tblW w:w="836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400"/>
        <w:gridCol w:w="1960"/>
      </w:tblGrid>
      <w:tr w:rsidR="000B1999" w:rsidRPr="00217EBD" w:rsidTr="006A47CA">
        <w:trPr>
          <w:trHeight w:val="255"/>
        </w:trPr>
        <w:tc>
          <w:tcPr>
            <w:tcW w:w="6400" w:type="dxa"/>
            <w:shd w:val="clear" w:color="auto" w:fill="auto"/>
            <w:vAlign w:val="center"/>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Number of patients</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77</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Disease duration (y) from diagnosis to recall, median (IQR)</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12 (7 – 18)</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Duration of follow-up from onset of bDMARD to recall, median (IQR)</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7 (4 – 9)</w:t>
            </w:r>
          </w:p>
        </w:tc>
      </w:tr>
      <w:tr w:rsidR="000B1999" w:rsidRPr="00217EBD" w:rsidTr="006A47CA">
        <w:trPr>
          <w:trHeight w:val="22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Continued bDMARD by recall, n (% of 77)</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61 (79)</w:t>
            </w:r>
          </w:p>
        </w:tc>
      </w:tr>
      <w:tr w:rsidR="000B1999" w:rsidRPr="00217EBD" w:rsidTr="006A47CA">
        <w:trPr>
          <w:trHeight w:val="225"/>
        </w:trPr>
        <w:tc>
          <w:tcPr>
            <w:tcW w:w="6400" w:type="dxa"/>
            <w:shd w:val="clear" w:color="auto" w:fill="auto"/>
            <w:noWrap/>
            <w:vAlign w:val="bottom"/>
          </w:tcPr>
          <w:p w:rsidR="000B1999" w:rsidRPr="00217EBD" w:rsidRDefault="000B1999" w:rsidP="006A47CA">
            <w:pP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Last bDMARD:</w:t>
            </w:r>
          </w:p>
        </w:tc>
        <w:tc>
          <w:tcPr>
            <w:tcW w:w="1960" w:type="dxa"/>
            <w:shd w:val="clear" w:color="auto" w:fill="auto"/>
            <w:noWrap/>
            <w:vAlign w:val="bottom"/>
          </w:tcPr>
          <w:p w:rsidR="000B1999" w:rsidRPr="00217EBD" w:rsidRDefault="000B1999" w:rsidP="006A47CA">
            <w:pPr>
              <w:jc w:val="center"/>
              <w:rPr>
                <w:rFonts w:ascii="Calibri" w:eastAsia="Times New Roman" w:hAnsi="Calibri" w:cs="Calibri"/>
                <w:color w:val="000000"/>
                <w:sz w:val="16"/>
                <w:szCs w:val="16"/>
                <w:lang w:val="pt-PT" w:eastAsia="pt-PT"/>
              </w:rPr>
            </w:pPr>
          </w:p>
        </w:tc>
      </w:tr>
      <w:tr w:rsidR="000B1999" w:rsidRPr="00217EBD" w:rsidTr="006A47CA">
        <w:trPr>
          <w:trHeight w:val="225"/>
        </w:trPr>
        <w:tc>
          <w:tcPr>
            <w:tcW w:w="6400" w:type="dxa"/>
            <w:shd w:val="clear" w:color="auto" w:fill="auto"/>
            <w:noWrap/>
            <w:vAlign w:val="center"/>
          </w:tcPr>
          <w:p w:rsidR="000B1999" w:rsidRPr="00217EBD" w:rsidRDefault="000B1999" w:rsidP="006A47CA">
            <w:pP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 xml:space="preserve">   Etanercept, n (%)</w:t>
            </w:r>
          </w:p>
        </w:tc>
        <w:tc>
          <w:tcPr>
            <w:tcW w:w="1960" w:type="dxa"/>
            <w:shd w:val="clear" w:color="auto" w:fill="auto"/>
            <w:noWrap/>
            <w:vAlign w:val="center"/>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eastAsia="Times New Roman" w:cstheme="minorHAnsi"/>
                <w:color w:val="000000"/>
                <w:sz w:val="16"/>
                <w:szCs w:val="16"/>
                <w:lang w:eastAsia="pt-PT"/>
              </w:rPr>
              <w:t>31 (51)</w:t>
            </w:r>
          </w:p>
        </w:tc>
      </w:tr>
      <w:tr w:rsidR="000B1999" w:rsidRPr="00217EBD" w:rsidTr="006A47CA">
        <w:trPr>
          <w:trHeight w:val="225"/>
        </w:trPr>
        <w:tc>
          <w:tcPr>
            <w:tcW w:w="6400" w:type="dxa"/>
            <w:shd w:val="clear" w:color="auto" w:fill="auto"/>
            <w:noWrap/>
            <w:vAlign w:val="center"/>
          </w:tcPr>
          <w:p w:rsidR="000B1999" w:rsidRPr="00217EBD" w:rsidRDefault="000B1999" w:rsidP="006A47CA">
            <w:pP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 xml:space="preserve">   Adalimumab, n (%)</w:t>
            </w:r>
          </w:p>
        </w:tc>
        <w:tc>
          <w:tcPr>
            <w:tcW w:w="1960" w:type="dxa"/>
            <w:shd w:val="clear" w:color="auto" w:fill="auto"/>
            <w:noWrap/>
            <w:vAlign w:val="center"/>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eastAsia="Times New Roman" w:cstheme="minorHAnsi"/>
                <w:color w:val="000000"/>
                <w:sz w:val="16"/>
                <w:szCs w:val="16"/>
                <w:lang w:eastAsia="pt-PT"/>
              </w:rPr>
              <w:t>5 (8)</w:t>
            </w:r>
          </w:p>
        </w:tc>
      </w:tr>
      <w:tr w:rsidR="000B1999" w:rsidRPr="00217EBD" w:rsidTr="006A47CA">
        <w:trPr>
          <w:trHeight w:val="225"/>
        </w:trPr>
        <w:tc>
          <w:tcPr>
            <w:tcW w:w="6400" w:type="dxa"/>
            <w:shd w:val="clear" w:color="auto" w:fill="auto"/>
            <w:noWrap/>
            <w:vAlign w:val="center"/>
          </w:tcPr>
          <w:p w:rsidR="000B1999" w:rsidRPr="00217EBD" w:rsidRDefault="000B1999" w:rsidP="006A47CA">
            <w:pP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 xml:space="preserve">   Tocilizumab, n (%)</w:t>
            </w:r>
          </w:p>
        </w:tc>
        <w:tc>
          <w:tcPr>
            <w:tcW w:w="1960" w:type="dxa"/>
            <w:shd w:val="clear" w:color="auto" w:fill="auto"/>
            <w:noWrap/>
            <w:vAlign w:val="center"/>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eastAsia="Times New Roman" w:cstheme="minorHAnsi"/>
                <w:color w:val="000000"/>
                <w:sz w:val="16"/>
                <w:szCs w:val="16"/>
                <w:lang w:eastAsia="pt-PT"/>
              </w:rPr>
              <w:t>15 (25)</w:t>
            </w:r>
          </w:p>
        </w:tc>
      </w:tr>
      <w:tr w:rsidR="000B1999" w:rsidRPr="00217EBD" w:rsidTr="006A47CA">
        <w:trPr>
          <w:trHeight w:val="225"/>
        </w:trPr>
        <w:tc>
          <w:tcPr>
            <w:tcW w:w="6400" w:type="dxa"/>
            <w:shd w:val="clear" w:color="auto" w:fill="auto"/>
            <w:noWrap/>
            <w:vAlign w:val="center"/>
          </w:tcPr>
          <w:p w:rsidR="000B1999" w:rsidRPr="00217EBD" w:rsidRDefault="000B1999" w:rsidP="006A47CA">
            <w:pP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 xml:space="preserve">   Infliximab, n (%)</w:t>
            </w:r>
          </w:p>
        </w:tc>
        <w:tc>
          <w:tcPr>
            <w:tcW w:w="1960" w:type="dxa"/>
            <w:shd w:val="clear" w:color="auto" w:fill="auto"/>
            <w:noWrap/>
            <w:vAlign w:val="center"/>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eastAsia="Times New Roman" w:cstheme="minorHAnsi"/>
                <w:color w:val="000000"/>
                <w:sz w:val="16"/>
                <w:szCs w:val="16"/>
                <w:lang w:eastAsia="pt-PT"/>
              </w:rPr>
              <w:t>1 (1,5)</w:t>
            </w:r>
          </w:p>
        </w:tc>
      </w:tr>
      <w:tr w:rsidR="000B1999" w:rsidRPr="00217EBD" w:rsidTr="006A47CA">
        <w:trPr>
          <w:trHeight w:val="225"/>
        </w:trPr>
        <w:tc>
          <w:tcPr>
            <w:tcW w:w="6400" w:type="dxa"/>
            <w:shd w:val="clear" w:color="auto" w:fill="auto"/>
            <w:noWrap/>
            <w:vAlign w:val="center"/>
          </w:tcPr>
          <w:p w:rsidR="000B1999" w:rsidRPr="00217EBD" w:rsidRDefault="000B1999" w:rsidP="006A47CA">
            <w:pP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 xml:space="preserve">   Rituximab, n (%)</w:t>
            </w:r>
          </w:p>
        </w:tc>
        <w:tc>
          <w:tcPr>
            <w:tcW w:w="1960" w:type="dxa"/>
            <w:shd w:val="clear" w:color="auto" w:fill="auto"/>
            <w:noWrap/>
            <w:vAlign w:val="center"/>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eastAsia="Times New Roman" w:cstheme="minorHAnsi"/>
                <w:color w:val="000000"/>
                <w:sz w:val="16"/>
                <w:szCs w:val="16"/>
                <w:lang w:eastAsia="pt-PT"/>
              </w:rPr>
              <w:t>6 (10)</w:t>
            </w:r>
          </w:p>
        </w:tc>
      </w:tr>
      <w:tr w:rsidR="000B1999" w:rsidRPr="00217EBD" w:rsidTr="006A47CA">
        <w:trPr>
          <w:trHeight w:val="225"/>
        </w:trPr>
        <w:tc>
          <w:tcPr>
            <w:tcW w:w="6400" w:type="dxa"/>
            <w:shd w:val="clear" w:color="auto" w:fill="auto"/>
            <w:noWrap/>
            <w:vAlign w:val="center"/>
          </w:tcPr>
          <w:p w:rsidR="000B1999" w:rsidRPr="00217EBD" w:rsidRDefault="000B1999" w:rsidP="006A47CA">
            <w:pP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 xml:space="preserve">   </w:t>
            </w:r>
            <w:proofErr w:type="spellStart"/>
            <w:r w:rsidRPr="00217EBD">
              <w:rPr>
                <w:rFonts w:eastAsia="Times New Roman" w:cstheme="minorHAnsi"/>
                <w:color w:val="000000"/>
                <w:sz w:val="16"/>
                <w:szCs w:val="16"/>
                <w:lang w:eastAsia="pt-PT"/>
              </w:rPr>
              <w:t>Golimumab</w:t>
            </w:r>
            <w:proofErr w:type="spellEnd"/>
            <w:r w:rsidRPr="00217EBD">
              <w:rPr>
                <w:rFonts w:eastAsia="Times New Roman" w:cstheme="minorHAnsi"/>
                <w:color w:val="000000"/>
                <w:sz w:val="16"/>
                <w:szCs w:val="16"/>
                <w:lang w:eastAsia="pt-PT"/>
              </w:rPr>
              <w:t>, n (%)</w:t>
            </w:r>
          </w:p>
        </w:tc>
        <w:tc>
          <w:tcPr>
            <w:tcW w:w="1960" w:type="dxa"/>
            <w:shd w:val="clear" w:color="auto" w:fill="auto"/>
            <w:noWrap/>
            <w:vAlign w:val="center"/>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eastAsia="Times New Roman" w:cstheme="minorHAnsi"/>
                <w:color w:val="000000"/>
                <w:sz w:val="16"/>
                <w:szCs w:val="16"/>
                <w:lang w:eastAsia="pt-PT"/>
              </w:rPr>
              <w:t>2 (3)</w:t>
            </w:r>
          </w:p>
        </w:tc>
      </w:tr>
      <w:tr w:rsidR="000B1999" w:rsidRPr="00217EBD" w:rsidTr="006A47CA">
        <w:trPr>
          <w:trHeight w:val="225"/>
        </w:trPr>
        <w:tc>
          <w:tcPr>
            <w:tcW w:w="6400" w:type="dxa"/>
            <w:shd w:val="clear" w:color="auto" w:fill="auto"/>
            <w:noWrap/>
            <w:vAlign w:val="center"/>
          </w:tcPr>
          <w:p w:rsidR="000B1999" w:rsidRPr="00217EBD" w:rsidRDefault="000B1999" w:rsidP="006A47CA">
            <w:pP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 xml:space="preserve">   </w:t>
            </w:r>
            <w:proofErr w:type="spellStart"/>
            <w:r w:rsidRPr="00217EBD">
              <w:rPr>
                <w:rFonts w:eastAsia="Times New Roman" w:cstheme="minorHAnsi"/>
                <w:color w:val="000000"/>
                <w:sz w:val="16"/>
                <w:szCs w:val="16"/>
                <w:lang w:eastAsia="pt-PT"/>
              </w:rPr>
              <w:t>Abatacept</w:t>
            </w:r>
            <w:proofErr w:type="spellEnd"/>
            <w:r w:rsidRPr="00217EBD">
              <w:rPr>
                <w:rFonts w:eastAsia="Times New Roman" w:cstheme="minorHAnsi"/>
                <w:color w:val="000000"/>
                <w:sz w:val="16"/>
                <w:szCs w:val="16"/>
                <w:lang w:eastAsia="pt-PT"/>
              </w:rPr>
              <w:t>, n (%)</w:t>
            </w:r>
          </w:p>
        </w:tc>
        <w:tc>
          <w:tcPr>
            <w:tcW w:w="1960" w:type="dxa"/>
            <w:shd w:val="clear" w:color="auto" w:fill="auto"/>
            <w:noWrap/>
            <w:vAlign w:val="center"/>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eastAsia="Times New Roman" w:cstheme="minorHAnsi"/>
                <w:color w:val="000000"/>
                <w:sz w:val="16"/>
                <w:szCs w:val="16"/>
                <w:lang w:eastAsia="pt-PT"/>
              </w:rPr>
              <w:t>1 (1.5)</w:t>
            </w:r>
          </w:p>
        </w:tc>
      </w:tr>
      <w:tr w:rsidR="000B1999" w:rsidRPr="00217EBD" w:rsidTr="006A47CA">
        <w:trPr>
          <w:trHeight w:val="225"/>
        </w:trPr>
        <w:tc>
          <w:tcPr>
            <w:tcW w:w="6400" w:type="dxa"/>
            <w:shd w:val="clear" w:color="auto" w:fill="auto"/>
            <w:noWrap/>
            <w:vAlign w:val="center"/>
          </w:tcPr>
          <w:p w:rsidR="000B1999" w:rsidRPr="00217EBD" w:rsidRDefault="000B1999" w:rsidP="006A47CA">
            <w:pP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Retained original bDMARD, n (%)</w:t>
            </w:r>
          </w:p>
        </w:tc>
        <w:tc>
          <w:tcPr>
            <w:tcW w:w="1960" w:type="dxa"/>
            <w:shd w:val="clear" w:color="auto" w:fill="auto"/>
            <w:noWrap/>
            <w:vAlign w:val="center"/>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eastAsia="Times New Roman" w:cstheme="minorHAnsi"/>
                <w:color w:val="000000"/>
                <w:sz w:val="16"/>
                <w:szCs w:val="16"/>
                <w:lang w:eastAsia="pt-PT"/>
              </w:rPr>
              <w:t>46 (75)</w:t>
            </w:r>
          </w:p>
        </w:tc>
      </w:tr>
      <w:tr w:rsidR="000B1999" w:rsidRPr="00217EBD" w:rsidTr="006A47CA">
        <w:trPr>
          <w:trHeight w:val="225"/>
        </w:trPr>
        <w:tc>
          <w:tcPr>
            <w:tcW w:w="6400" w:type="dxa"/>
            <w:shd w:val="clear" w:color="auto" w:fill="auto"/>
            <w:noWrap/>
            <w:vAlign w:val="center"/>
          </w:tcPr>
          <w:p w:rsidR="000B1999" w:rsidRPr="00217EBD" w:rsidRDefault="000B1999" w:rsidP="006A47CA">
            <w:pP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Compliance with bDMARD over the past year (n=56)</w:t>
            </w:r>
          </w:p>
        </w:tc>
        <w:tc>
          <w:tcPr>
            <w:tcW w:w="1960" w:type="dxa"/>
            <w:shd w:val="clear" w:color="auto" w:fill="auto"/>
            <w:noWrap/>
            <w:vAlign w:val="center"/>
          </w:tcPr>
          <w:p w:rsidR="000B1999" w:rsidRPr="00217EBD" w:rsidRDefault="000B1999" w:rsidP="006A47CA">
            <w:pPr>
              <w:jc w:val="center"/>
              <w:rPr>
                <w:rFonts w:ascii="Calibri" w:eastAsia="Times New Roman" w:hAnsi="Calibri" w:cs="Calibri"/>
                <w:color w:val="000000"/>
                <w:sz w:val="16"/>
                <w:szCs w:val="16"/>
                <w:lang w:val="en-GB" w:eastAsia="pt-PT"/>
              </w:rPr>
            </w:pPr>
            <w:r w:rsidRPr="00217EBD">
              <w:rPr>
                <w:rFonts w:eastAsia="Times New Roman" w:cstheme="minorHAnsi"/>
                <w:color w:val="000000"/>
                <w:sz w:val="16"/>
                <w:szCs w:val="16"/>
                <w:lang w:eastAsia="pt-PT"/>
              </w:rPr>
              <w:t>45 (80)</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Had discontinued bDMARD by recall, n (% of 77)</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16 (21)</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Reason for discontinuation:</w:t>
            </w:r>
          </w:p>
        </w:tc>
        <w:tc>
          <w:tcPr>
            <w:tcW w:w="196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1.     Primary failure to bDMARD, n (%16)</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 (13)</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2.     Secondary failure to bDMARD, n (%16)</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 (13)</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     Infection, n (% 16)</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 (38)</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4.     Neoplastic disease, n (% 16)</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 (6)</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     Remission, n (% 16)</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 (19)</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     Other, n (% 16)</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 (13)</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Retained original bDMARD, n (% of 61)</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46 (75)</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 xml:space="preserve">Switched bDMARD, n (% of 61)* </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22 (36)</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    Once, n (% 22)</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14 (64)</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    Twice, n (% 22)</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6 (27)</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    Thrice, n (% 22)</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 (5)</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4.    Fourth, n (% 22)</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 (5)</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*5 patients switched and then stopped</w:t>
            </w:r>
          </w:p>
        </w:tc>
        <w:tc>
          <w:tcPr>
            <w:tcW w:w="196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Compliance with bDMARD over the past year (n=56)</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45 (80)</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Methotrexate, n (% of 77)</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17 (22)</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Met</w:t>
            </w:r>
            <w:r w:rsidR="00A92F61" w:rsidRPr="00217EBD">
              <w:rPr>
                <w:rFonts w:ascii="Calibri" w:eastAsia="Times New Roman" w:hAnsi="Calibri" w:cs="Calibri"/>
                <w:color w:val="000000"/>
                <w:sz w:val="16"/>
                <w:szCs w:val="16"/>
                <w:lang w:val="en-GB" w:eastAsia="pt-PT"/>
              </w:rPr>
              <w:t>h</w:t>
            </w:r>
            <w:r w:rsidRPr="00217EBD">
              <w:rPr>
                <w:rFonts w:ascii="Calibri" w:eastAsia="Times New Roman" w:hAnsi="Calibri" w:cs="Calibri"/>
                <w:color w:val="000000"/>
                <w:sz w:val="16"/>
                <w:szCs w:val="16"/>
                <w:lang w:val="en-GB" w:eastAsia="pt-PT"/>
              </w:rPr>
              <w:t>otrexate dose mg/week, median (IQR)</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15 (10 – 20)</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Steroids, n (% of 77)</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23 (30)</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Prednisolone equivalent mg/day, median (IQR)</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5 (5 – 10)</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Steroids plus bDMARD, n (% of 61)</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16 (26)</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Steroids having discontinued bDMARD, n (% of 16)</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7 (43)</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Deformities, n (%) – 54  patients evaluated</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22 (41)</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 xml:space="preserve">Deformities/patient, median (IQR)** </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0.5 (0 – 2.25)</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Recall HAQ, median (IQR) n=77</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1.310 (0.500 – 1.810)</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Recall DAS 28 – ESR, median (IQR) n=72</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3.200 (2.390 – 3.950)</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eastAsia="pt-PT"/>
              </w:rPr>
              <w:t xml:space="preserve">- </w:t>
            </w:r>
            <w:proofErr w:type="gramStart"/>
            <w:r w:rsidRPr="00217EBD">
              <w:rPr>
                <w:rFonts w:ascii="Calibri" w:eastAsia="Times New Roman" w:hAnsi="Calibri" w:cs="Calibri"/>
                <w:color w:val="000000"/>
                <w:sz w:val="16"/>
                <w:szCs w:val="16"/>
                <w:lang w:eastAsia="pt-PT"/>
              </w:rPr>
              <w:t>high</w:t>
            </w:r>
            <w:proofErr w:type="gramEnd"/>
            <w:r w:rsidRPr="00217EBD">
              <w:rPr>
                <w:rFonts w:ascii="Calibri" w:eastAsia="Times New Roman" w:hAnsi="Calibri" w:cs="Calibri"/>
                <w:color w:val="000000"/>
                <w:sz w:val="16"/>
                <w:szCs w:val="16"/>
                <w:lang w:eastAsia="pt-PT"/>
              </w:rPr>
              <w:t xml:space="preserve"> disease activity (HDA) &gt; 5.1, n (%)</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8 (11)</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 xml:space="preserve">- </w:t>
            </w:r>
            <w:proofErr w:type="gramStart"/>
            <w:r w:rsidRPr="00217EBD">
              <w:rPr>
                <w:rFonts w:ascii="Calibri" w:eastAsia="Times New Roman" w:hAnsi="Calibri" w:cs="Calibri"/>
                <w:color w:val="000000"/>
                <w:sz w:val="16"/>
                <w:szCs w:val="16"/>
                <w:lang w:val="en-GB" w:eastAsia="pt-PT"/>
              </w:rPr>
              <w:t>moderate</w:t>
            </w:r>
            <w:proofErr w:type="gramEnd"/>
            <w:r w:rsidRPr="00217EBD">
              <w:rPr>
                <w:rFonts w:ascii="Calibri" w:eastAsia="Times New Roman" w:hAnsi="Calibri" w:cs="Calibri"/>
                <w:color w:val="000000"/>
                <w:sz w:val="16"/>
                <w:szCs w:val="16"/>
                <w:lang w:val="en-GB" w:eastAsia="pt-PT"/>
              </w:rPr>
              <w:t xml:space="preserve"> disease activity (MDA) ≥ 3.2 and ≤5.1, n (%)</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27 (37)</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t xml:space="preserve">- </w:t>
            </w:r>
            <w:proofErr w:type="gramStart"/>
            <w:r w:rsidRPr="00217EBD">
              <w:rPr>
                <w:rFonts w:ascii="Calibri" w:eastAsia="Times New Roman" w:hAnsi="Calibri" w:cs="Calibri"/>
                <w:color w:val="000000"/>
                <w:sz w:val="16"/>
                <w:szCs w:val="16"/>
                <w:lang w:val="en-GB" w:eastAsia="pt-PT"/>
              </w:rPr>
              <w:t>low</w:t>
            </w:r>
            <w:proofErr w:type="gramEnd"/>
            <w:r w:rsidRPr="00217EBD">
              <w:rPr>
                <w:rFonts w:ascii="Calibri" w:eastAsia="Times New Roman" w:hAnsi="Calibri" w:cs="Calibri"/>
                <w:color w:val="000000"/>
                <w:sz w:val="16"/>
                <w:szCs w:val="16"/>
                <w:lang w:val="en-GB" w:eastAsia="pt-PT"/>
              </w:rPr>
              <w:t xml:space="preserve"> disease activity (LDA) ≥ 2.6 and &lt; 3.2, n (%)</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18 (25)</w:t>
            </w:r>
          </w:p>
        </w:tc>
      </w:tr>
      <w:tr w:rsidR="000B1999" w:rsidRPr="00217EBD" w:rsidTr="006A47CA">
        <w:trPr>
          <w:trHeight w:val="255"/>
        </w:trPr>
        <w:tc>
          <w:tcPr>
            <w:tcW w:w="6400" w:type="dxa"/>
            <w:shd w:val="clear" w:color="auto" w:fill="auto"/>
            <w:noWrap/>
            <w:vAlign w:val="bottom"/>
            <w:hideMark/>
          </w:tcPr>
          <w:p w:rsidR="000B1999" w:rsidRPr="00217EBD" w:rsidRDefault="000B1999" w:rsidP="006A47CA">
            <w:pP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 remission &lt; 2.6, n (%)</w:t>
            </w:r>
          </w:p>
        </w:tc>
        <w:tc>
          <w:tcPr>
            <w:tcW w:w="1960" w:type="dxa"/>
            <w:shd w:val="clear" w:color="auto" w:fill="auto"/>
            <w:noWrap/>
            <w:vAlign w:val="bottom"/>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Calibri"/>
                <w:color w:val="000000"/>
                <w:sz w:val="16"/>
                <w:szCs w:val="16"/>
                <w:lang w:val="pt-PT" w:eastAsia="pt-PT"/>
              </w:rPr>
              <w:t>19 (26)</w:t>
            </w:r>
          </w:p>
        </w:tc>
      </w:tr>
      <w:tr w:rsidR="000B1999" w:rsidRPr="00A84761" w:rsidTr="006A47CA">
        <w:trPr>
          <w:trHeight w:val="255"/>
        </w:trPr>
        <w:tc>
          <w:tcPr>
            <w:tcW w:w="6400" w:type="dxa"/>
            <w:shd w:val="clear" w:color="auto" w:fill="auto"/>
            <w:noWrap/>
            <w:vAlign w:val="center"/>
          </w:tcPr>
          <w:p w:rsidR="000B1999" w:rsidRPr="00A84761" w:rsidRDefault="000B1999" w:rsidP="006A47CA">
            <w:pPr>
              <w:rPr>
                <w:rFonts w:ascii="Calibri" w:eastAsia="Times New Roman" w:hAnsi="Calibri" w:cs="Calibri"/>
                <w:b/>
                <w:color w:val="000000"/>
                <w:sz w:val="16"/>
                <w:szCs w:val="16"/>
                <w:lang w:val="en-GB" w:eastAsia="pt-PT"/>
              </w:rPr>
            </w:pPr>
            <w:r w:rsidRPr="00A84761">
              <w:rPr>
                <w:rFonts w:ascii="Calibri" w:eastAsia="Times New Roman" w:hAnsi="Calibri" w:cs="Calibri"/>
                <w:b/>
                <w:sz w:val="16"/>
                <w:szCs w:val="16"/>
                <w:lang w:val="en-GB" w:eastAsia="pt-PT"/>
              </w:rPr>
              <w:t>EQ-5D 3L (n=76)</w:t>
            </w:r>
          </w:p>
        </w:tc>
        <w:tc>
          <w:tcPr>
            <w:tcW w:w="1960" w:type="dxa"/>
            <w:shd w:val="clear" w:color="auto" w:fill="auto"/>
            <w:noWrap/>
            <w:vAlign w:val="center"/>
          </w:tcPr>
          <w:p w:rsidR="000B1999" w:rsidRPr="00A84761" w:rsidRDefault="000B1999" w:rsidP="006A47CA">
            <w:pPr>
              <w:rPr>
                <w:rFonts w:ascii="Calibri" w:eastAsia="Times New Roman" w:hAnsi="Calibri" w:cs="Calibri"/>
                <w:color w:val="000000"/>
                <w:sz w:val="16"/>
                <w:szCs w:val="16"/>
                <w:lang w:val="en-GB" w:eastAsia="pt-PT"/>
              </w:rPr>
            </w:pPr>
          </w:p>
        </w:tc>
      </w:tr>
      <w:tr w:rsidR="000B1999" w:rsidRPr="00A84761" w:rsidTr="006A47CA">
        <w:trPr>
          <w:trHeight w:val="255"/>
        </w:trPr>
        <w:tc>
          <w:tcPr>
            <w:tcW w:w="6400" w:type="dxa"/>
            <w:shd w:val="clear" w:color="auto" w:fill="auto"/>
            <w:noWrap/>
            <w:vAlign w:val="center"/>
          </w:tcPr>
          <w:p w:rsidR="000B1999" w:rsidRPr="00A84761" w:rsidRDefault="000B1999" w:rsidP="006A47CA">
            <w:pPr>
              <w:rPr>
                <w:rFonts w:ascii="Calibri" w:eastAsia="Times New Roman" w:hAnsi="Calibri" w:cs="Calibri"/>
                <w:color w:val="000000"/>
                <w:sz w:val="16"/>
                <w:szCs w:val="16"/>
                <w:lang w:val="pt-PT" w:eastAsia="pt-PT"/>
              </w:rPr>
            </w:pPr>
            <w:r w:rsidRPr="00A84761">
              <w:rPr>
                <w:rFonts w:ascii="Calibri" w:eastAsia="Times New Roman" w:hAnsi="Calibri" w:cs="Calibri"/>
                <w:sz w:val="16"/>
                <w:szCs w:val="16"/>
                <w:lang w:val="en-GB" w:eastAsia="pt-PT"/>
              </w:rPr>
              <w:t>Mobility, mean (</w:t>
            </w:r>
            <w:r w:rsidRPr="00A84761">
              <w:rPr>
                <w:rFonts w:ascii="Calibri" w:eastAsia="Times New Roman" w:hAnsi="Calibri" w:cs="Calibri"/>
                <w:sz w:val="16"/>
                <w:szCs w:val="16"/>
                <w:lang w:val="pt-PT" w:eastAsia="pt-PT"/>
              </w:rPr>
              <w:t>SD)</w:t>
            </w:r>
          </w:p>
        </w:tc>
        <w:tc>
          <w:tcPr>
            <w:tcW w:w="1960" w:type="dxa"/>
            <w:shd w:val="clear" w:color="auto" w:fill="auto"/>
            <w:noWrap/>
            <w:vAlign w:val="center"/>
          </w:tcPr>
          <w:p w:rsidR="000B1999" w:rsidRPr="00A84761" w:rsidRDefault="000B1999" w:rsidP="006A47CA">
            <w:pPr>
              <w:jc w:val="center"/>
              <w:rPr>
                <w:rFonts w:ascii="Calibri" w:eastAsia="Times New Roman" w:hAnsi="Calibri" w:cs="Calibri"/>
                <w:color w:val="000000"/>
                <w:sz w:val="16"/>
                <w:szCs w:val="16"/>
                <w:lang w:val="pt-PT" w:eastAsia="pt-PT"/>
              </w:rPr>
            </w:pPr>
            <w:r w:rsidRPr="00A84761">
              <w:rPr>
                <w:rFonts w:ascii="Calibri" w:eastAsia="Times New Roman" w:hAnsi="Calibri" w:cs="Calibri"/>
                <w:sz w:val="16"/>
                <w:szCs w:val="16"/>
                <w:lang w:val="pt-PT" w:eastAsia="pt-PT"/>
              </w:rPr>
              <w:t>1,72 (0.51)</w:t>
            </w:r>
          </w:p>
        </w:tc>
      </w:tr>
      <w:tr w:rsidR="000B1999" w:rsidRPr="00A84761" w:rsidTr="006A47CA">
        <w:trPr>
          <w:trHeight w:val="255"/>
        </w:trPr>
        <w:tc>
          <w:tcPr>
            <w:tcW w:w="6400" w:type="dxa"/>
            <w:shd w:val="clear" w:color="auto" w:fill="auto"/>
            <w:noWrap/>
            <w:vAlign w:val="center"/>
          </w:tcPr>
          <w:p w:rsidR="000B1999" w:rsidRPr="00A84761" w:rsidRDefault="000B1999" w:rsidP="006A47CA">
            <w:pPr>
              <w:rPr>
                <w:rFonts w:ascii="Calibri" w:eastAsia="Times New Roman" w:hAnsi="Calibri" w:cs="Calibri"/>
                <w:color w:val="000000"/>
                <w:sz w:val="16"/>
                <w:szCs w:val="16"/>
                <w:lang w:val="pt-PT" w:eastAsia="pt-PT"/>
              </w:rPr>
            </w:pPr>
            <w:r w:rsidRPr="00A84761">
              <w:rPr>
                <w:rFonts w:ascii="Calibri" w:eastAsia="Times New Roman" w:hAnsi="Calibri" w:cs="Calibri"/>
                <w:sz w:val="16"/>
                <w:szCs w:val="16"/>
                <w:lang w:val="pt-PT" w:eastAsia="pt-PT"/>
              </w:rPr>
              <w:t>Personal Care, mean (SD)</w:t>
            </w:r>
          </w:p>
        </w:tc>
        <w:tc>
          <w:tcPr>
            <w:tcW w:w="1960" w:type="dxa"/>
            <w:shd w:val="clear" w:color="auto" w:fill="auto"/>
            <w:noWrap/>
            <w:vAlign w:val="center"/>
          </w:tcPr>
          <w:p w:rsidR="000B1999" w:rsidRPr="00A84761" w:rsidRDefault="000B1999" w:rsidP="006A47CA">
            <w:pPr>
              <w:jc w:val="center"/>
              <w:rPr>
                <w:rFonts w:ascii="Calibri" w:eastAsia="Times New Roman" w:hAnsi="Calibri" w:cs="Calibri"/>
                <w:color w:val="000000"/>
                <w:sz w:val="16"/>
                <w:szCs w:val="16"/>
                <w:lang w:val="pt-PT" w:eastAsia="pt-PT"/>
              </w:rPr>
            </w:pPr>
            <w:r w:rsidRPr="00A84761">
              <w:rPr>
                <w:rFonts w:ascii="Calibri" w:eastAsia="Times New Roman" w:hAnsi="Calibri" w:cs="Calibri"/>
                <w:sz w:val="16"/>
                <w:szCs w:val="16"/>
                <w:lang w:val="pt-PT" w:eastAsia="pt-PT"/>
              </w:rPr>
              <w:t>1,65 (0.58)</w:t>
            </w:r>
          </w:p>
        </w:tc>
      </w:tr>
      <w:tr w:rsidR="000B1999" w:rsidRPr="00A84761" w:rsidTr="006A47CA">
        <w:trPr>
          <w:trHeight w:val="255"/>
        </w:trPr>
        <w:tc>
          <w:tcPr>
            <w:tcW w:w="6400" w:type="dxa"/>
            <w:shd w:val="clear" w:color="auto" w:fill="auto"/>
            <w:noWrap/>
            <w:vAlign w:val="center"/>
          </w:tcPr>
          <w:p w:rsidR="000B1999" w:rsidRPr="00A84761" w:rsidRDefault="000B1999" w:rsidP="006A47CA">
            <w:pPr>
              <w:rPr>
                <w:rFonts w:ascii="Calibri" w:eastAsia="Times New Roman" w:hAnsi="Calibri" w:cs="Calibri"/>
                <w:color w:val="000000"/>
                <w:sz w:val="16"/>
                <w:szCs w:val="16"/>
                <w:lang w:val="pt-PT" w:eastAsia="pt-PT"/>
              </w:rPr>
            </w:pPr>
            <w:r w:rsidRPr="00A84761">
              <w:rPr>
                <w:rFonts w:ascii="Calibri" w:eastAsia="Times New Roman" w:hAnsi="Calibri" w:cs="Calibri"/>
                <w:sz w:val="16"/>
                <w:szCs w:val="16"/>
                <w:lang w:val="pt-PT" w:eastAsia="pt-PT"/>
              </w:rPr>
              <w:t>Usual Activities, mean (SD)</w:t>
            </w:r>
          </w:p>
        </w:tc>
        <w:tc>
          <w:tcPr>
            <w:tcW w:w="1960" w:type="dxa"/>
            <w:shd w:val="clear" w:color="auto" w:fill="auto"/>
            <w:noWrap/>
            <w:vAlign w:val="center"/>
          </w:tcPr>
          <w:p w:rsidR="000B1999" w:rsidRPr="00A84761" w:rsidRDefault="000B1999" w:rsidP="006A47CA">
            <w:pPr>
              <w:jc w:val="center"/>
              <w:rPr>
                <w:rFonts w:ascii="Calibri" w:eastAsia="Times New Roman" w:hAnsi="Calibri" w:cs="Calibri"/>
                <w:color w:val="000000"/>
                <w:sz w:val="16"/>
                <w:szCs w:val="16"/>
                <w:lang w:val="pt-PT" w:eastAsia="pt-PT"/>
              </w:rPr>
            </w:pPr>
            <w:r w:rsidRPr="00A84761">
              <w:rPr>
                <w:rFonts w:ascii="Calibri" w:eastAsia="Times New Roman" w:hAnsi="Calibri" w:cs="Calibri"/>
                <w:sz w:val="16"/>
                <w:szCs w:val="16"/>
                <w:lang w:val="pt-PT" w:eastAsia="pt-PT"/>
              </w:rPr>
              <w:t>1,76 (0.59)</w:t>
            </w:r>
          </w:p>
        </w:tc>
      </w:tr>
      <w:tr w:rsidR="000B1999" w:rsidRPr="00A84761" w:rsidTr="006A47CA">
        <w:trPr>
          <w:trHeight w:val="255"/>
        </w:trPr>
        <w:tc>
          <w:tcPr>
            <w:tcW w:w="6400" w:type="dxa"/>
            <w:shd w:val="clear" w:color="auto" w:fill="auto"/>
            <w:noWrap/>
            <w:vAlign w:val="center"/>
          </w:tcPr>
          <w:p w:rsidR="000B1999" w:rsidRPr="00A84761" w:rsidRDefault="000B1999" w:rsidP="006A47CA">
            <w:pPr>
              <w:rPr>
                <w:rFonts w:ascii="Calibri" w:eastAsia="Times New Roman" w:hAnsi="Calibri" w:cs="Calibri"/>
                <w:color w:val="000000"/>
                <w:sz w:val="16"/>
                <w:szCs w:val="16"/>
                <w:lang w:val="en-GB" w:eastAsia="pt-PT"/>
              </w:rPr>
            </w:pPr>
            <w:r w:rsidRPr="00A84761">
              <w:rPr>
                <w:rFonts w:ascii="Calibri" w:eastAsia="Times New Roman" w:hAnsi="Calibri" w:cs="Calibri"/>
                <w:sz w:val="16"/>
                <w:szCs w:val="16"/>
                <w:lang w:val="en-GB" w:eastAsia="pt-PT"/>
              </w:rPr>
              <w:t>Pain and Unwell, mean (SD)</w:t>
            </w:r>
          </w:p>
        </w:tc>
        <w:tc>
          <w:tcPr>
            <w:tcW w:w="1960" w:type="dxa"/>
            <w:shd w:val="clear" w:color="auto" w:fill="auto"/>
            <w:noWrap/>
            <w:vAlign w:val="center"/>
          </w:tcPr>
          <w:p w:rsidR="000B1999" w:rsidRPr="00A84761" w:rsidRDefault="000B1999" w:rsidP="006A47CA">
            <w:pPr>
              <w:jc w:val="center"/>
              <w:rPr>
                <w:rFonts w:ascii="Calibri" w:eastAsia="Times New Roman" w:hAnsi="Calibri" w:cs="Calibri"/>
                <w:color w:val="000000"/>
                <w:sz w:val="16"/>
                <w:szCs w:val="16"/>
                <w:lang w:val="en-GB" w:eastAsia="pt-PT"/>
              </w:rPr>
            </w:pPr>
            <w:r w:rsidRPr="00A84761">
              <w:rPr>
                <w:rFonts w:ascii="Calibri" w:eastAsia="Times New Roman" w:hAnsi="Calibri" w:cs="Calibri"/>
                <w:sz w:val="16"/>
                <w:szCs w:val="16"/>
                <w:lang w:val="pt-PT" w:eastAsia="pt-PT"/>
              </w:rPr>
              <w:t>1,97 (0.57)</w:t>
            </w:r>
          </w:p>
        </w:tc>
      </w:tr>
      <w:tr w:rsidR="000B1999" w:rsidRPr="00A84761" w:rsidTr="006A47CA">
        <w:trPr>
          <w:trHeight w:val="255"/>
        </w:trPr>
        <w:tc>
          <w:tcPr>
            <w:tcW w:w="6400" w:type="dxa"/>
            <w:shd w:val="clear" w:color="auto" w:fill="auto"/>
            <w:noWrap/>
            <w:vAlign w:val="center"/>
          </w:tcPr>
          <w:p w:rsidR="000B1999" w:rsidRPr="00A84761" w:rsidRDefault="000B1999" w:rsidP="006A47CA">
            <w:pPr>
              <w:rPr>
                <w:rFonts w:ascii="Calibri" w:eastAsia="Times New Roman" w:hAnsi="Calibri" w:cs="Calibri"/>
                <w:color w:val="000000"/>
                <w:sz w:val="16"/>
                <w:szCs w:val="16"/>
                <w:lang w:val="en-GB" w:eastAsia="pt-PT"/>
              </w:rPr>
            </w:pPr>
            <w:r w:rsidRPr="00A84761">
              <w:rPr>
                <w:rFonts w:ascii="Calibri" w:eastAsia="Times New Roman" w:hAnsi="Calibri" w:cs="Calibri"/>
                <w:sz w:val="16"/>
                <w:szCs w:val="16"/>
                <w:lang w:val="en-GB" w:eastAsia="pt-PT"/>
              </w:rPr>
              <w:t xml:space="preserve">Anxiety and Depression, mean (SD) </w:t>
            </w:r>
          </w:p>
        </w:tc>
        <w:tc>
          <w:tcPr>
            <w:tcW w:w="1960" w:type="dxa"/>
            <w:shd w:val="clear" w:color="auto" w:fill="auto"/>
            <w:noWrap/>
            <w:vAlign w:val="center"/>
          </w:tcPr>
          <w:p w:rsidR="000B1999" w:rsidRPr="00A84761" w:rsidRDefault="000B1999" w:rsidP="006A47CA">
            <w:pPr>
              <w:jc w:val="center"/>
              <w:rPr>
                <w:rFonts w:ascii="Calibri" w:eastAsia="Times New Roman" w:hAnsi="Calibri" w:cs="Calibri"/>
                <w:color w:val="000000"/>
                <w:sz w:val="16"/>
                <w:szCs w:val="16"/>
                <w:lang w:val="en-GB" w:eastAsia="pt-PT"/>
              </w:rPr>
            </w:pPr>
            <w:r w:rsidRPr="00A84761">
              <w:rPr>
                <w:rFonts w:ascii="Calibri" w:eastAsia="Times New Roman" w:hAnsi="Calibri" w:cs="Calibri"/>
                <w:sz w:val="16"/>
                <w:szCs w:val="16"/>
                <w:lang w:val="pt-PT" w:eastAsia="pt-PT"/>
              </w:rPr>
              <w:t>1,72 (0.72)</w:t>
            </w:r>
          </w:p>
        </w:tc>
      </w:tr>
      <w:tr w:rsidR="000B1999" w:rsidRPr="00A84761" w:rsidTr="006A47CA">
        <w:trPr>
          <w:trHeight w:val="255"/>
        </w:trPr>
        <w:tc>
          <w:tcPr>
            <w:tcW w:w="6400" w:type="dxa"/>
            <w:shd w:val="clear" w:color="auto" w:fill="auto"/>
            <w:noWrap/>
            <w:vAlign w:val="center"/>
          </w:tcPr>
          <w:p w:rsidR="000B1999" w:rsidRPr="00A84761" w:rsidRDefault="000B1999" w:rsidP="006A47CA">
            <w:pPr>
              <w:rPr>
                <w:rFonts w:ascii="Calibri" w:eastAsia="Times New Roman" w:hAnsi="Calibri" w:cs="Calibri"/>
                <w:color w:val="000000"/>
                <w:sz w:val="16"/>
                <w:szCs w:val="16"/>
                <w:lang w:val="pt-PT" w:eastAsia="pt-PT"/>
              </w:rPr>
            </w:pPr>
            <w:r w:rsidRPr="00A84761">
              <w:rPr>
                <w:rFonts w:ascii="Calibri" w:eastAsia="Times New Roman" w:hAnsi="Calibri" w:cs="Calibri"/>
                <w:color w:val="000000"/>
                <w:sz w:val="16"/>
                <w:szCs w:val="16"/>
                <w:lang w:val="pt-PT" w:eastAsia="pt-PT"/>
              </w:rPr>
              <w:t>EQ-5D 3L Visual Analogue Scale (VAS)</w:t>
            </w:r>
            <w:r w:rsidRPr="00A84761">
              <w:rPr>
                <w:rFonts w:ascii="Calibri" w:eastAsia="Times New Roman" w:hAnsi="Calibri" w:cs="Calibri"/>
                <w:sz w:val="16"/>
                <w:szCs w:val="16"/>
                <w:lang w:val="pt-PT" w:eastAsia="pt-PT"/>
              </w:rPr>
              <w:t>, mean (SD)</w:t>
            </w:r>
          </w:p>
        </w:tc>
        <w:tc>
          <w:tcPr>
            <w:tcW w:w="1960" w:type="dxa"/>
            <w:shd w:val="clear" w:color="auto" w:fill="auto"/>
            <w:noWrap/>
            <w:vAlign w:val="center"/>
          </w:tcPr>
          <w:p w:rsidR="000B1999" w:rsidRPr="00A84761" w:rsidRDefault="000B1999" w:rsidP="006A47CA">
            <w:pPr>
              <w:jc w:val="center"/>
              <w:rPr>
                <w:rFonts w:ascii="Calibri" w:eastAsia="Times New Roman" w:hAnsi="Calibri" w:cs="Calibri"/>
                <w:color w:val="000000"/>
                <w:sz w:val="16"/>
                <w:szCs w:val="16"/>
                <w:lang w:val="pt-PT" w:eastAsia="pt-PT"/>
              </w:rPr>
            </w:pPr>
            <w:r w:rsidRPr="00A84761">
              <w:rPr>
                <w:rFonts w:ascii="Calibri" w:eastAsia="Times New Roman" w:hAnsi="Calibri" w:cs="Calibri"/>
                <w:color w:val="000000"/>
                <w:sz w:val="16"/>
                <w:szCs w:val="16"/>
                <w:lang w:val="pt-PT" w:eastAsia="pt-PT"/>
              </w:rPr>
              <w:t>60,64 (22.07)</w:t>
            </w:r>
          </w:p>
        </w:tc>
      </w:tr>
      <w:tr w:rsidR="000B1999" w:rsidRPr="00A84761" w:rsidTr="006A47CA">
        <w:trPr>
          <w:trHeight w:val="255"/>
        </w:trPr>
        <w:tc>
          <w:tcPr>
            <w:tcW w:w="6400" w:type="dxa"/>
            <w:shd w:val="clear" w:color="auto" w:fill="auto"/>
            <w:noWrap/>
            <w:vAlign w:val="center"/>
          </w:tcPr>
          <w:p w:rsidR="000B1999" w:rsidRPr="00A84761" w:rsidRDefault="000B1999" w:rsidP="006A47CA">
            <w:pPr>
              <w:rPr>
                <w:rFonts w:ascii="Calibri" w:eastAsia="Times New Roman" w:hAnsi="Calibri" w:cs="Calibri"/>
                <w:color w:val="000000"/>
                <w:sz w:val="16"/>
                <w:szCs w:val="16"/>
                <w:lang w:val="pt-PT" w:eastAsia="pt-PT"/>
              </w:rPr>
            </w:pPr>
            <w:r w:rsidRPr="00A84761">
              <w:rPr>
                <w:rFonts w:ascii="Calibri" w:eastAsia="Times New Roman" w:hAnsi="Calibri" w:cs="Calibri"/>
                <w:sz w:val="16"/>
                <w:szCs w:val="16"/>
                <w:lang w:val="pt-PT" w:eastAsia="pt-PT"/>
              </w:rPr>
              <w:t>EQ-5D 3L score –Portuguese tariff, mean (SD)</w:t>
            </w:r>
          </w:p>
        </w:tc>
        <w:tc>
          <w:tcPr>
            <w:tcW w:w="1960" w:type="dxa"/>
            <w:shd w:val="clear" w:color="auto" w:fill="auto"/>
            <w:noWrap/>
            <w:vAlign w:val="center"/>
          </w:tcPr>
          <w:p w:rsidR="000B1999" w:rsidRPr="00A84761" w:rsidRDefault="000B1999" w:rsidP="006A47CA">
            <w:pPr>
              <w:jc w:val="center"/>
              <w:rPr>
                <w:rFonts w:ascii="Calibri" w:eastAsia="Times New Roman" w:hAnsi="Calibri" w:cs="Calibri"/>
                <w:color w:val="000000"/>
                <w:sz w:val="16"/>
                <w:szCs w:val="16"/>
                <w:lang w:val="pt-PT" w:eastAsia="pt-PT"/>
              </w:rPr>
            </w:pPr>
            <w:r w:rsidRPr="00A84761">
              <w:rPr>
                <w:rFonts w:ascii="Calibri" w:eastAsia="Times New Roman" w:hAnsi="Calibri" w:cs="Calibri"/>
                <w:sz w:val="16"/>
                <w:szCs w:val="16"/>
                <w:lang w:val="pt-PT" w:eastAsia="pt-PT"/>
              </w:rPr>
              <w:t>0,45 (0.3)</w:t>
            </w:r>
          </w:p>
        </w:tc>
      </w:tr>
    </w:tbl>
    <w:p w:rsidR="000B1999" w:rsidRPr="00217EBD" w:rsidRDefault="000B1999" w:rsidP="000B1999">
      <w:pPr>
        <w:spacing w:after="160" w:line="259" w:lineRule="auto"/>
        <w:rPr>
          <w:rFonts w:cstheme="minorHAnsi"/>
          <w:b/>
          <w:sz w:val="16"/>
          <w:szCs w:val="16"/>
          <w:lang w:val="pt-PT"/>
        </w:rPr>
      </w:pPr>
      <w:r w:rsidRPr="00217EBD">
        <w:rPr>
          <w:rFonts w:cstheme="minorHAnsi"/>
          <w:b/>
          <w:sz w:val="16"/>
          <w:szCs w:val="16"/>
          <w:lang w:val="pt-PT"/>
        </w:rPr>
        <w:br w:type="page"/>
      </w:r>
    </w:p>
    <w:p w:rsidR="000B1999" w:rsidRPr="00217EBD" w:rsidRDefault="000B1999" w:rsidP="000B1999">
      <w:pPr>
        <w:spacing w:after="160" w:line="259" w:lineRule="auto"/>
        <w:rPr>
          <w:rFonts w:cstheme="minorHAnsi"/>
          <w:sz w:val="16"/>
          <w:szCs w:val="16"/>
          <w:lang w:val="en-GB"/>
        </w:rPr>
      </w:pPr>
    </w:p>
    <w:p w:rsidR="000B1999" w:rsidRPr="00217EBD" w:rsidRDefault="000B1999" w:rsidP="000B1999">
      <w:pPr>
        <w:rPr>
          <w:rFonts w:ascii="Calibri" w:eastAsia="Times New Roman" w:hAnsi="Calibri" w:cs="Calibri"/>
          <w:color w:val="000000"/>
          <w:sz w:val="16"/>
          <w:szCs w:val="16"/>
          <w:lang w:val="en-GB" w:eastAsia="pt-PT"/>
        </w:rPr>
      </w:pPr>
    </w:p>
    <w:p w:rsidR="000B1999" w:rsidRPr="00217EBD" w:rsidRDefault="000B1999" w:rsidP="000B1999">
      <w:pPr>
        <w:spacing w:after="160" w:line="259" w:lineRule="auto"/>
        <w:rPr>
          <w:rFonts w:cstheme="minorHAnsi"/>
          <w:b/>
          <w:sz w:val="16"/>
          <w:szCs w:val="16"/>
          <w:lang w:val="en-GB"/>
        </w:rPr>
      </w:pPr>
      <w:r w:rsidRPr="00217EBD">
        <w:rPr>
          <w:rFonts w:cstheme="minorHAnsi"/>
          <w:b/>
          <w:sz w:val="16"/>
          <w:szCs w:val="16"/>
          <w:lang w:val="en-GB"/>
        </w:rPr>
        <w:t>Table IV. Demographic and clinical characterization of patients who died or lost to follow-up</w:t>
      </w:r>
    </w:p>
    <w:tbl>
      <w:tblPr>
        <w:tblW w:w="5260" w:type="dxa"/>
        <w:tblCellMar>
          <w:left w:w="70" w:type="dxa"/>
          <w:right w:w="70" w:type="dxa"/>
        </w:tblCellMar>
        <w:tblLook w:val="04A0" w:firstRow="1" w:lastRow="0" w:firstColumn="1" w:lastColumn="0" w:noHBand="0" w:noVBand="1"/>
      </w:tblPr>
      <w:tblGrid>
        <w:gridCol w:w="3840"/>
        <w:gridCol w:w="1420"/>
      </w:tblGrid>
      <w:tr w:rsidR="000B1999" w:rsidRPr="00217EBD" w:rsidTr="006A47CA">
        <w:trPr>
          <w:trHeight w:val="225"/>
        </w:trPr>
        <w:tc>
          <w:tcPr>
            <w:tcW w:w="3840" w:type="dxa"/>
            <w:tcBorders>
              <w:top w:val="single" w:sz="4" w:space="0" w:color="auto"/>
              <w:left w:val="nil"/>
              <w:bottom w:val="single" w:sz="4" w:space="0" w:color="auto"/>
              <w:right w:val="nil"/>
            </w:tcBorders>
            <w:shd w:val="clear" w:color="auto" w:fill="auto"/>
            <w:vAlign w:val="center"/>
            <w:hideMark/>
          </w:tcPr>
          <w:p w:rsidR="000B1999" w:rsidRPr="00217EBD" w:rsidRDefault="000B1999" w:rsidP="006A47CA">
            <w:pPr>
              <w:jc w:val="both"/>
              <w:rPr>
                <w:rFonts w:ascii="Calibri" w:eastAsia="Times New Roman" w:hAnsi="Calibri" w:cs="Calibri"/>
                <w:b/>
                <w:bCs/>
                <w:color w:val="000000"/>
                <w:sz w:val="16"/>
                <w:szCs w:val="16"/>
                <w:lang w:val="pt-PT" w:eastAsia="pt-PT"/>
              </w:rPr>
            </w:pPr>
            <w:r w:rsidRPr="00217EBD">
              <w:rPr>
                <w:rFonts w:ascii="Calibri" w:eastAsia="Times New Roman" w:hAnsi="Calibri" w:cstheme="minorHAnsi"/>
                <w:b/>
                <w:bCs/>
                <w:color w:val="000000"/>
                <w:sz w:val="16"/>
                <w:szCs w:val="16"/>
                <w:lang w:eastAsia="pt-PT"/>
              </w:rPr>
              <w:t>Characteristics</w:t>
            </w:r>
          </w:p>
        </w:tc>
        <w:tc>
          <w:tcPr>
            <w:tcW w:w="1420" w:type="dxa"/>
            <w:tcBorders>
              <w:top w:val="single" w:sz="4" w:space="0" w:color="auto"/>
              <w:left w:val="nil"/>
              <w:bottom w:val="single" w:sz="4" w:space="0" w:color="auto"/>
              <w:right w:val="nil"/>
            </w:tcBorders>
            <w:shd w:val="clear" w:color="auto" w:fill="auto"/>
            <w:vAlign w:val="center"/>
            <w:hideMark/>
          </w:tcPr>
          <w:p w:rsidR="000B1999" w:rsidRPr="00217EBD" w:rsidRDefault="000B1999" w:rsidP="006A47CA">
            <w:pPr>
              <w:jc w:val="both"/>
              <w:rPr>
                <w:rFonts w:ascii="Calibri" w:eastAsia="Times New Roman" w:hAnsi="Calibri" w:cs="Calibri"/>
                <w:b/>
                <w:bCs/>
                <w:color w:val="000000"/>
                <w:sz w:val="16"/>
                <w:szCs w:val="16"/>
                <w:lang w:val="pt-PT" w:eastAsia="pt-PT"/>
              </w:rPr>
            </w:pPr>
          </w:p>
        </w:tc>
      </w:tr>
      <w:tr w:rsidR="000B1999" w:rsidRPr="00217EBD" w:rsidTr="006A47CA">
        <w:trPr>
          <w:trHeight w:val="225"/>
        </w:trPr>
        <w:tc>
          <w:tcPr>
            <w:tcW w:w="3840" w:type="dxa"/>
            <w:tcBorders>
              <w:top w:val="single" w:sz="4" w:space="0" w:color="auto"/>
              <w:left w:val="nil"/>
              <w:bottom w:val="single" w:sz="4" w:space="0" w:color="auto"/>
              <w:right w:val="nil"/>
            </w:tcBorders>
            <w:shd w:val="clear" w:color="auto" w:fill="auto"/>
            <w:vAlign w:val="center"/>
            <w:hideMark/>
          </w:tcPr>
          <w:p w:rsidR="000B1999" w:rsidRPr="00217EBD" w:rsidRDefault="000B1999" w:rsidP="006A47CA">
            <w:pPr>
              <w:jc w:val="both"/>
              <w:rPr>
                <w:rFonts w:ascii="Calibri" w:eastAsia="Times New Roman" w:hAnsi="Calibri" w:cs="Calibri"/>
                <w:b/>
                <w:bCs/>
                <w:color w:val="000000"/>
                <w:sz w:val="16"/>
                <w:szCs w:val="16"/>
                <w:lang w:val="en-GB" w:eastAsia="pt-PT"/>
              </w:rPr>
            </w:pPr>
            <w:r w:rsidRPr="00217EBD">
              <w:rPr>
                <w:rFonts w:ascii="Calibri" w:eastAsia="Times New Roman" w:hAnsi="Calibri" w:cstheme="minorHAnsi"/>
                <w:b/>
                <w:bCs/>
                <w:color w:val="000000"/>
                <w:sz w:val="16"/>
                <w:szCs w:val="16"/>
                <w:lang w:eastAsia="pt-PT"/>
              </w:rPr>
              <w:t>Alive but lost to follow-up, n (% of 94)</w:t>
            </w:r>
          </w:p>
        </w:tc>
        <w:tc>
          <w:tcPr>
            <w:tcW w:w="1420" w:type="dxa"/>
            <w:tcBorders>
              <w:top w:val="single" w:sz="4" w:space="0" w:color="auto"/>
              <w:left w:val="nil"/>
              <w:bottom w:val="single" w:sz="4" w:space="0" w:color="auto"/>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7 (7)</w:t>
            </w:r>
          </w:p>
        </w:tc>
      </w:tr>
      <w:tr w:rsidR="000B1999" w:rsidRPr="00217EBD" w:rsidTr="006A47CA">
        <w:trPr>
          <w:trHeight w:val="225"/>
        </w:trPr>
        <w:tc>
          <w:tcPr>
            <w:tcW w:w="3840" w:type="dxa"/>
            <w:tcBorders>
              <w:top w:val="single" w:sz="4" w:space="0" w:color="auto"/>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Female: Male</w:t>
            </w:r>
          </w:p>
        </w:tc>
        <w:tc>
          <w:tcPr>
            <w:tcW w:w="1420" w:type="dxa"/>
            <w:tcBorders>
              <w:top w:val="single" w:sz="4" w:space="0" w:color="auto"/>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5:2</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Went to live abroad, n</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4</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Followed at another hospital in Portugal, n</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3</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Age (y) bDMARD started, median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44 (36 – 54.5)</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Patient age (y) at the time lost to follow-up, median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47 (39 – 60)</w:t>
            </w:r>
          </w:p>
        </w:tc>
      </w:tr>
      <w:tr w:rsidR="000B1999" w:rsidRPr="00217EBD" w:rsidTr="006A47CA">
        <w:trPr>
          <w:trHeight w:val="450"/>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Disease duration (y) from time of diagnosis to first bDMARD (median ±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2 (1 – 4)</w:t>
            </w:r>
          </w:p>
        </w:tc>
      </w:tr>
      <w:tr w:rsidR="000B1999" w:rsidRPr="00217EBD" w:rsidTr="006A47CA">
        <w:trPr>
          <w:trHeight w:val="450"/>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Disease duration (y) at the time lost to follow-up, median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4 (3 – 5)</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Either or anti-CCP/RF positive</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5</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Anti-CCP and RF negative</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2</w:t>
            </w:r>
          </w:p>
        </w:tc>
      </w:tr>
      <w:tr w:rsidR="000B1999" w:rsidRPr="00217EBD" w:rsidTr="006A47CA">
        <w:trPr>
          <w:trHeight w:val="450"/>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Charlson comorbidity index at the time bDMARD started, median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 (1 – 2)</w:t>
            </w:r>
          </w:p>
        </w:tc>
      </w:tr>
      <w:tr w:rsidR="000B1999" w:rsidRPr="00217EBD" w:rsidTr="006A47CA">
        <w:trPr>
          <w:trHeight w:val="450"/>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 Estimated 10 year survival at the time bDMARD started, median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96 (86.5 – 96)</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bDMARD:</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xml:space="preserve">          - Etanercept, n; later switch to rituximab, n</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4 ; 1</w:t>
            </w:r>
          </w:p>
        </w:tc>
      </w:tr>
      <w:tr w:rsidR="000B1999" w:rsidRPr="00217EBD" w:rsidTr="006A47CA">
        <w:trPr>
          <w:trHeight w:val="225"/>
        </w:trPr>
        <w:tc>
          <w:tcPr>
            <w:tcW w:w="3840" w:type="dxa"/>
            <w:tcBorders>
              <w:top w:val="nil"/>
              <w:left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xml:space="preserve">          - Tocilizumab, n</w:t>
            </w:r>
          </w:p>
        </w:tc>
        <w:tc>
          <w:tcPr>
            <w:tcW w:w="1420" w:type="dxa"/>
            <w:tcBorders>
              <w:top w:val="nil"/>
              <w:left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w:t>
            </w:r>
          </w:p>
        </w:tc>
      </w:tr>
      <w:tr w:rsidR="000B1999" w:rsidRPr="00217EBD" w:rsidTr="006A47CA">
        <w:trPr>
          <w:trHeight w:val="225"/>
        </w:trPr>
        <w:tc>
          <w:tcPr>
            <w:tcW w:w="3840" w:type="dxa"/>
            <w:tcBorders>
              <w:top w:val="nil"/>
              <w:left w:val="nil"/>
              <w:bottom w:val="single" w:sz="4" w:space="0" w:color="auto"/>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xml:space="preserve">          - Infliximab switched to </w:t>
            </w:r>
            <w:proofErr w:type="spellStart"/>
            <w:r w:rsidRPr="00217EBD">
              <w:rPr>
                <w:rFonts w:ascii="Calibri" w:eastAsia="Times New Roman" w:hAnsi="Calibri" w:cstheme="minorHAnsi"/>
                <w:color w:val="000000"/>
                <w:sz w:val="16"/>
                <w:szCs w:val="16"/>
                <w:lang w:eastAsia="pt-PT"/>
              </w:rPr>
              <w:t>abatacept</w:t>
            </w:r>
            <w:proofErr w:type="spellEnd"/>
            <w:r w:rsidRPr="00217EBD">
              <w:rPr>
                <w:rFonts w:ascii="Calibri" w:eastAsia="Times New Roman" w:hAnsi="Calibri" w:cstheme="minorHAnsi"/>
                <w:color w:val="000000"/>
                <w:sz w:val="16"/>
                <w:szCs w:val="16"/>
                <w:lang w:eastAsia="pt-PT"/>
              </w:rPr>
              <w:t>, n</w:t>
            </w:r>
          </w:p>
        </w:tc>
        <w:tc>
          <w:tcPr>
            <w:tcW w:w="1420" w:type="dxa"/>
            <w:tcBorders>
              <w:top w:val="nil"/>
              <w:left w:val="nil"/>
              <w:bottom w:val="single" w:sz="4" w:space="0" w:color="auto"/>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w:t>
            </w:r>
          </w:p>
        </w:tc>
      </w:tr>
      <w:tr w:rsidR="000B1999" w:rsidRPr="00217EBD" w:rsidTr="006A47CA">
        <w:trPr>
          <w:trHeight w:val="225"/>
        </w:trPr>
        <w:tc>
          <w:tcPr>
            <w:tcW w:w="3840" w:type="dxa"/>
            <w:tcBorders>
              <w:top w:val="single" w:sz="4" w:space="0" w:color="auto"/>
              <w:left w:val="nil"/>
              <w:bottom w:val="single" w:sz="4" w:space="0" w:color="auto"/>
              <w:right w:val="nil"/>
            </w:tcBorders>
            <w:shd w:val="clear" w:color="auto" w:fill="auto"/>
            <w:vAlign w:val="center"/>
            <w:hideMark/>
          </w:tcPr>
          <w:p w:rsidR="000B1999" w:rsidRPr="00217EBD" w:rsidRDefault="000B1999" w:rsidP="006A47CA">
            <w:pPr>
              <w:jc w:val="both"/>
              <w:rPr>
                <w:rFonts w:ascii="Calibri" w:eastAsia="Times New Roman" w:hAnsi="Calibri" w:cs="Calibri"/>
                <w:b/>
                <w:bCs/>
                <w:color w:val="000000"/>
                <w:sz w:val="16"/>
                <w:szCs w:val="16"/>
                <w:lang w:val="pt-PT" w:eastAsia="pt-PT"/>
              </w:rPr>
            </w:pPr>
            <w:r w:rsidRPr="00217EBD">
              <w:rPr>
                <w:rFonts w:ascii="Calibri" w:eastAsia="Times New Roman" w:hAnsi="Calibri" w:cstheme="minorHAnsi"/>
                <w:b/>
                <w:bCs/>
                <w:color w:val="000000"/>
                <w:sz w:val="16"/>
                <w:szCs w:val="16"/>
                <w:lang w:eastAsia="pt-PT"/>
              </w:rPr>
              <w:t>Death, n (% of 94)</w:t>
            </w:r>
          </w:p>
        </w:tc>
        <w:tc>
          <w:tcPr>
            <w:tcW w:w="1420" w:type="dxa"/>
            <w:tcBorders>
              <w:top w:val="single" w:sz="4" w:space="0" w:color="auto"/>
              <w:left w:val="nil"/>
              <w:bottom w:val="single" w:sz="4" w:space="0" w:color="auto"/>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6 (6)</w:t>
            </w:r>
          </w:p>
        </w:tc>
      </w:tr>
      <w:tr w:rsidR="000B1999" w:rsidRPr="00217EBD" w:rsidTr="006A47CA">
        <w:trPr>
          <w:trHeight w:val="225"/>
        </w:trPr>
        <w:tc>
          <w:tcPr>
            <w:tcW w:w="3840" w:type="dxa"/>
            <w:tcBorders>
              <w:top w:val="single" w:sz="4" w:space="0" w:color="auto"/>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Female: Male</w:t>
            </w:r>
          </w:p>
        </w:tc>
        <w:tc>
          <w:tcPr>
            <w:tcW w:w="1420" w:type="dxa"/>
            <w:tcBorders>
              <w:top w:val="single" w:sz="4" w:space="0" w:color="auto"/>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3:3</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Cause of death unknown</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3</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xml:space="preserve">- Cause of death known: </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xml:space="preserve">          - Pneumocystis pneumonia</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xml:space="preserve">          - Pulmonary tuberculosis</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xml:space="preserve">          - Stroke</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Age (y) bDMARD started, median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60 (57 – 63)</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Age (y) at time of death, median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66 (61 – 67)</w:t>
            </w:r>
          </w:p>
        </w:tc>
      </w:tr>
      <w:tr w:rsidR="000B1999" w:rsidRPr="00217EBD" w:rsidTr="006A47CA">
        <w:trPr>
          <w:trHeight w:val="450"/>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Disease duration (y) from time of diagnosis to first bDMARD (median ±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7 (3 – 11)</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Disease duration (y) at time of death (median ±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16 (8 – 21)</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Either or anti-CCP/RF positive, n (%)</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7 (100)</w:t>
            </w:r>
          </w:p>
        </w:tc>
      </w:tr>
      <w:tr w:rsidR="000B1999" w:rsidRPr="00217EBD" w:rsidTr="006A47CA">
        <w:trPr>
          <w:trHeight w:val="450"/>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Charlson comorbidity index at time bDMARD started, median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3.5 (3 – 4.75)</w:t>
            </w:r>
          </w:p>
        </w:tc>
      </w:tr>
      <w:tr w:rsidR="000B1999" w:rsidRPr="00217EBD" w:rsidTr="006A47CA">
        <w:trPr>
          <w:trHeight w:val="450"/>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 % Estimated 10 year survival at time bDMARD started, median (IQR)</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65 (29 – 77)</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On methotrexate and bDMARD at time of death (n=2):</w:t>
            </w:r>
          </w:p>
        </w:tc>
        <w:tc>
          <w:tcPr>
            <w:tcW w:w="1420" w:type="dxa"/>
            <w:tcBorders>
              <w:top w:val="nil"/>
              <w:left w:val="nil"/>
              <w:bottom w:val="nil"/>
              <w:right w:val="nil"/>
            </w:tcBorders>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xml:space="preserve">          - </w:t>
            </w:r>
            <w:r w:rsidRPr="00217EBD">
              <w:rPr>
                <w:rFonts w:ascii="Calibri" w:eastAsia="Times New Roman" w:hAnsi="Calibri" w:cs="Calibri"/>
                <w:color w:val="000000"/>
                <w:sz w:val="16"/>
                <w:szCs w:val="16"/>
                <w:lang w:eastAsia="pt-PT"/>
              </w:rPr>
              <w:t>Etanercept, n</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xml:space="preserve">          - </w:t>
            </w:r>
            <w:r w:rsidRPr="00217EBD">
              <w:rPr>
                <w:rFonts w:ascii="Calibri" w:eastAsia="Times New Roman" w:hAnsi="Calibri" w:cs="Calibri"/>
                <w:color w:val="000000"/>
                <w:sz w:val="16"/>
                <w:szCs w:val="16"/>
                <w:lang w:eastAsia="pt-PT"/>
              </w:rPr>
              <w:t>Adalimumab, n</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w:t>
            </w: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r w:rsidRPr="00217EBD">
              <w:rPr>
                <w:rFonts w:ascii="Calibri" w:eastAsia="Times New Roman" w:hAnsi="Calibri" w:cstheme="minorHAnsi"/>
                <w:color w:val="000000"/>
                <w:sz w:val="16"/>
                <w:szCs w:val="16"/>
                <w:lang w:eastAsia="pt-PT"/>
              </w:rPr>
              <w:t>Off bDMARD at time of death (n=4):</w:t>
            </w:r>
          </w:p>
        </w:tc>
        <w:tc>
          <w:tcPr>
            <w:tcW w:w="1420" w:type="dxa"/>
            <w:tcBorders>
              <w:top w:val="nil"/>
              <w:left w:val="nil"/>
              <w:bottom w:val="nil"/>
              <w:right w:val="nil"/>
            </w:tcBorders>
            <w:shd w:val="clear" w:color="auto" w:fill="auto"/>
            <w:vAlign w:val="center"/>
            <w:hideMark/>
          </w:tcPr>
          <w:p w:rsidR="000B1999" w:rsidRPr="00217EBD" w:rsidRDefault="000B1999" w:rsidP="006A47CA">
            <w:pPr>
              <w:rPr>
                <w:rFonts w:ascii="Calibri" w:eastAsia="Times New Roman" w:hAnsi="Calibri" w:cs="Calibri"/>
                <w:color w:val="000000"/>
                <w:sz w:val="16"/>
                <w:szCs w:val="16"/>
                <w:lang w:val="en-GB" w:eastAsia="pt-PT"/>
              </w:rPr>
            </w:pPr>
          </w:p>
        </w:tc>
      </w:tr>
      <w:tr w:rsidR="000B1999" w:rsidRPr="00217EBD" w:rsidTr="006A47CA">
        <w:trPr>
          <w:trHeight w:val="225"/>
        </w:trPr>
        <w:tc>
          <w:tcPr>
            <w:tcW w:w="3840" w:type="dxa"/>
            <w:tcBorders>
              <w:top w:val="nil"/>
              <w:left w:val="nil"/>
              <w:bottom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Previous etanercept, n</w:t>
            </w:r>
          </w:p>
        </w:tc>
        <w:tc>
          <w:tcPr>
            <w:tcW w:w="1420" w:type="dxa"/>
            <w:tcBorders>
              <w:top w:val="nil"/>
              <w:left w:val="nil"/>
              <w:bottom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2</w:t>
            </w:r>
          </w:p>
        </w:tc>
      </w:tr>
      <w:tr w:rsidR="000B1999" w:rsidRPr="00217EBD" w:rsidTr="006A47CA">
        <w:trPr>
          <w:trHeight w:val="225"/>
        </w:trPr>
        <w:tc>
          <w:tcPr>
            <w:tcW w:w="3840" w:type="dxa"/>
            <w:tcBorders>
              <w:top w:val="nil"/>
              <w:left w:val="nil"/>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Previous adalimumab</w:t>
            </w:r>
          </w:p>
        </w:tc>
        <w:tc>
          <w:tcPr>
            <w:tcW w:w="1420" w:type="dxa"/>
            <w:tcBorders>
              <w:top w:val="nil"/>
              <w:left w:val="nil"/>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w:t>
            </w:r>
          </w:p>
        </w:tc>
      </w:tr>
      <w:tr w:rsidR="000B1999" w:rsidRPr="00217EBD" w:rsidTr="006A47CA">
        <w:trPr>
          <w:trHeight w:val="225"/>
        </w:trPr>
        <w:tc>
          <w:tcPr>
            <w:tcW w:w="3840" w:type="dxa"/>
            <w:tcBorders>
              <w:top w:val="nil"/>
              <w:left w:val="nil"/>
              <w:bottom w:val="single" w:sz="4" w:space="0" w:color="auto"/>
              <w:right w:val="nil"/>
            </w:tcBorders>
            <w:shd w:val="clear" w:color="auto" w:fill="auto"/>
            <w:vAlign w:val="center"/>
            <w:hideMark/>
          </w:tcPr>
          <w:p w:rsidR="000B1999" w:rsidRPr="00217EBD" w:rsidRDefault="000B1999" w:rsidP="006A47CA">
            <w:pPr>
              <w:jc w:val="both"/>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 Previous rituximab</w:t>
            </w:r>
          </w:p>
        </w:tc>
        <w:tc>
          <w:tcPr>
            <w:tcW w:w="1420" w:type="dxa"/>
            <w:tcBorders>
              <w:top w:val="nil"/>
              <w:left w:val="nil"/>
              <w:bottom w:val="single" w:sz="4" w:space="0" w:color="auto"/>
              <w:right w:val="nil"/>
            </w:tcBorders>
            <w:shd w:val="clear" w:color="auto" w:fill="auto"/>
            <w:vAlign w:val="center"/>
            <w:hideMark/>
          </w:tcPr>
          <w:p w:rsidR="000B1999" w:rsidRPr="00217EBD" w:rsidRDefault="000B1999" w:rsidP="006A47CA">
            <w:pPr>
              <w:jc w:val="center"/>
              <w:rPr>
                <w:rFonts w:ascii="Calibri" w:eastAsia="Times New Roman" w:hAnsi="Calibri" w:cs="Calibri"/>
                <w:color w:val="000000"/>
                <w:sz w:val="16"/>
                <w:szCs w:val="16"/>
                <w:lang w:val="pt-PT" w:eastAsia="pt-PT"/>
              </w:rPr>
            </w:pPr>
            <w:r w:rsidRPr="00217EBD">
              <w:rPr>
                <w:rFonts w:ascii="Calibri" w:eastAsia="Times New Roman" w:hAnsi="Calibri" w:cstheme="minorHAnsi"/>
                <w:color w:val="000000"/>
                <w:sz w:val="16"/>
                <w:szCs w:val="16"/>
                <w:lang w:eastAsia="pt-PT"/>
              </w:rPr>
              <w:t>1</w:t>
            </w:r>
          </w:p>
        </w:tc>
      </w:tr>
    </w:tbl>
    <w:p w:rsidR="000B1999" w:rsidRPr="00217EBD" w:rsidRDefault="000B1999" w:rsidP="000B1999">
      <w:pPr>
        <w:spacing w:after="160" w:line="259" w:lineRule="auto"/>
        <w:rPr>
          <w:rFonts w:cstheme="minorHAnsi"/>
          <w:b/>
          <w:sz w:val="16"/>
          <w:szCs w:val="16"/>
          <w:lang w:val="en-GB"/>
        </w:rPr>
      </w:pPr>
    </w:p>
    <w:p w:rsidR="000B1999" w:rsidRPr="00217EBD" w:rsidRDefault="000B1999" w:rsidP="000B1999">
      <w:pPr>
        <w:spacing w:after="160" w:line="259" w:lineRule="auto"/>
        <w:rPr>
          <w:rFonts w:cstheme="minorHAnsi"/>
          <w:b/>
          <w:sz w:val="16"/>
          <w:szCs w:val="16"/>
          <w:lang w:val="en-GB"/>
        </w:rPr>
      </w:pPr>
    </w:p>
    <w:p w:rsidR="000B1999" w:rsidRPr="00217EBD" w:rsidRDefault="000B1999" w:rsidP="000B1999">
      <w:pPr>
        <w:spacing w:after="160" w:line="259" w:lineRule="auto"/>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br w:type="page"/>
      </w:r>
    </w:p>
    <w:p w:rsidR="000B1999" w:rsidRPr="00217EBD" w:rsidRDefault="000B1999" w:rsidP="000B1999">
      <w:pPr>
        <w:rPr>
          <w:rFonts w:ascii="Calibri" w:eastAsia="Times New Roman" w:hAnsi="Calibri" w:cs="Calibri"/>
          <w:color w:val="000000"/>
          <w:sz w:val="16"/>
          <w:szCs w:val="16"/>
          <w:lang w:val="en-GB" w:eastAsia="pt-PT"/>
        </w:rPr>
      </w:pPr>
      <w:r w:rsidRPr="00217EBD">
        <w:rPr>
          <w:rFonts w:ascii="Calibri" w:eastAsia="Times New Roman" w:hAnsi="Calibri" w:cs="Calibri"/>
          <w:color w:val="000000"/>
          <w:sz w:val="16"/>
          <w:szCs w:val="16"/>
          <w:lang w:val="en-GB" w:eastAsia="pt-PT"/>
        </w:rPr>
        <w:lastRenderedPageBreak/>
        <w:t xml:space="preserve">Figure 1. Health-related quality of life using </w:t>
      </w:r>
      <w:r w:rsidR="00950265">
        <w:rPr>
          <w:rFonts w:ascii="Calibri" w:eastAsia="Times New Roman" w:hAnsi="Calibri" w:cs="Calibri"/>
          <w:color w:val="000000"/>
          <w:sz w:val="16"/>
          <w:szCs w:val="16"/>
          <w:lang w:val="en-GB" w:eastAsia="pt-PT"/>
        </w:rPr>
        <w:t xml:space="preserve">the </w:t>
      </w:r>
      <w:r w:rsidRPr="00217EBD">
        <w:rPr>
          <w:rFonts w:ascii="Calibri" w:eastAsia="Times New Roman" w:hAnsi="Calibri" w:cs="Calibri"/>
          <w:color w:val="000000"/>
          <w:sz w:val="16"/>
          <w:szCs w:val="16"/>
          <w:lang w:val="en-GB" w:eastAsia="pt-PT"/>
        </w:rPr>
        <w:t xml:space="preserve">SF-36 health survey. Values </w:t>
      </w:r>
      <w:proofErr w:type="gramStart"/>
      <w:r w:rsidRPr="00217EBD">
        <w:rPr>
          <w:rFonts w:ascii="Calibri" w:eastAsia="Times New Roman" w:hAnsi="Calibri" w:cs="Calibri"/>
          <w:color w:val="000000"/>
          <w:sz w:val="16"/>
          <w:szCs w:val="16"/>
          <w:lang w:val="en-GB" w:eastAsia="pt-PT"/>
        </w:rPr>
        <w:t>are shown</w:t>
      </w:r>
      <w:proofErr w:type="gramEnd"/>
      <w:r w:rsidRPr="00217EBD">
        <w:rPr>
          <w:rFonts w:ascii="Calibri" w:eastAsia="Times New Roman" w:hAnsi="Calibri" w:cs="Calibri"/>
          <w:color w:val="000000"/>
          <w:sz w:val="16"/>
          <w:szCs w:val="16"/>
          <w:lang w:val="en-GB" w:eastAsia="pt-PT"/>
        </w:rPr>
        <w:t xml:space="preserve"> for each dimension: physical functioning (PF), role limited by physical problems (RP), bodily pain (BP), general health (GH), vitality (VT), social functioning (SF), role limited by emotional problems (RE), and mental health (MH).  </w:t>
      </w:r>
    </w:p>
    <w:p w:rsidR="000B1999" w:rsidRPr="00217EBD" w:rsidRDefault="000B1999" w:rsidP="000B1999">
      <w:pPr>
        <w:rPr>
          <w:rFonts w:cstheme="minorHAnsi"/>
          <w:sz w:val="16"/>
          <w:szCs w:val="16"/>
          <w:lang w:val="en-GB"/>
        </w:rPr>
      </w:pPr>
    </w:p>
    <w:p w:rsidR="000B1999" w:rsidRDefault="000B1999" w:rsidP="000B1999">
      <w:pPr>
        <w:rPr>
          <w:rFonts w:cstheme="minorHAnsi"/>
          <w:sz w:val="16"/>
          <w:szCs w:val="16"/>
          <w:lang w:val="en-GB"/>
        </w:rPr>
      </w:pPr>
      <w:r w:rsidRPr="00217EBD">
        <w:rPr>
          <w:noProof/>
          <w:lang w:val="pt-PT" w:eastAsia="pt-PT"/>
        </w:rPr>
        <w:drawing>
          <wp:inline distT="0" distB="0" distL="0" distR="0" wp14:anchorId="541F9A02" wp14:editId="5B6414E5">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1999" w:rsidRPr="00D12CBF" w:rsidRDefault="000B1999" w:rsidP="000B1999">
      <w:pPr>
        <w:rPr>
          <w:rFonts w:cstheme="minorHAnsi"/>
          <w:sz w:val="16"/>
          <w:szCs w:val="16"/>
          <w:lang w:val="en-GB"/>
        </w:rPr>
      </w:pPr>
    </w:p>
    <w:p w:rsidR="000B1999" w:rsidRDefault="000B1999" w:rsidP="000B1999">
      <w:pPr>
        <w:rPr>
          <w:rFonts w:cstheme="minorHAnsi"/>
          <w:sz w:val="16"/>
          <w:szCs w:val="16"/>
          <w:lang w:val="en-GB"/>
        </w:rPr>
      </w:pPr>
    </w:p>
    <w:p w:rsidR="000B1999" w:rsidRDefault="000B1999" w:rsidP="000B1999">
      <w:pPr>
        <w:rPr>
          <w:rFonts w:cstheme="minorHAnsi"/>
          <w:sz w:val="16"/>
          <w:szCs w:val="16"/>
          <w:lang w:val="en-GB"/>
        </w:rPr>
      </w:pPr>
    </w:p>
    <w:p w:rsidR="000B1999" w:rsidRDefault="000B1999" w:rsidP="000B1999">
      <w:pPr>
        <w:rPr>
          <w:rFonts w:cstheme="minorHAnsi"/>
          <w:sz w:val="16"/>
          <w:szCs w:val="16"/>
          <w:lang w:val="en-GB"/>
        </w:rPr>
      </w:pPr>
    </w:p>
    <w:p w:rsidR="000B1999" w:rsidRDefault="000B1999" w:rsidP="000B1999">
      <w:pPr>
        <w:rPr>
          <w:rFonts w:cstheme="minorHAnsi"/>
          <w:sz w:val="16"/>
          <w:szCs w:val="16"/>
          <w:lang w:val="en-GB"/>
        </w:rPr>
      </w:pPr>
    </w:p>
    <w:p w:rsidR="000B1999" w:rsidRDefault="000B1999" w:rsidP="000B1999">
      <w:pPr>
        <w:spacing w:line="360" w:lineRule="auto"/>
        <w:rPr>
          <w:rFonts w:cstheme="minorHAnsi"/>
          <w:sz w:val="20"/>
          <w:szCs w:val="20"/>
          <w:lang w:val="en-GB"/>
        </w:rPr>
      </w:pPr>
    </w:p>
    <w:p w:rsidR="00665626" w:rsidRPr="00420FD6" w:rsidRDefault="00665626" w:rsidP="003A4C58"/>
    <w:sectPr w:rsidR="00665626" w:rsidRPr="00420FD6" w:rsidSect="00B8201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4A" w:rsidRDefault="0085084A">
      <w:r>
        <w:separator/>
      </w:r>
    </w:p>
  </w:endnote>
  <w:endnote w:type="continuationSeparator" w:id="0">
    <w:p w:rsidR="0085084A" w:rsidRDefault="0085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11082"/>
      <w:docPartObj>
        <w:docPartGallery w:val="Page Numbers (Bottom of Page)"/>
        <w:docPartUnique/>
      </w:docPartObj>
    </w:sdtPr>
    <w:sdtEndPr/>
    <w:sdtContent>
      <w:p w:rsidR="000E58A2" w:rsidRDefault="000E58A2">
        <w:pPr>
          <w:pStyle w:val="Rodap"/>
          <w:jc w:val="center"/>
        </w:pPr>
        <w:r>
          <w:fldChar w:fldCharType="begin"/>
        </w:r>
        <w:r>
          <w:instrText>PAGE   \* MERGEFORMAT</w:instrText>
        </w:r>
        <w:r>
          <w:fldChar w:fldCharType="separate"/>
        </w:r>
        <w:r w:rsidR="00507500" w:rsidRPr="00507500">
          <w:rPr>
            <w:noProof/>
            <w:lang w:val="pt-PT"/>
          </w:rPr>
          <w:t>20</w:t>
        </w:r>
        <w:r>
          <w:fldChar w:fldCharType="end"/>
        </w:r>
      </w:p>
    </w:sdtContent>
  </w:sdt>
  <w:p w:rsidR="000E58A2" w:rsidRDefault="000E58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4A" w:rsidRDefault="0085084A">
      <w:r>
        <w:separator/>
      </w:r>
    </w:p>
  </w:footnote>
  <w:footnote w:type="continuationSeparator" w:id="0">
    <w:p w:rsidR="0085084A" w:rsidRDefault="00850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zxs0aphvef9kefernprrwuser5xz99ree0&quot;&gt;My EndNote Library&lt;record-ids&gt;&lt;item&gt;554&lt;/item&gt;&lt;item&gt;555&lt;/item&gt;&lt;/record-ids&gt;&lt;/item&gt;&lt;/Libraries&gt;"/>
  </w:docVars>
  <w:rsids>
    <w:rsidRoot w:val="001E05A6"/>
    <w:rsid w:val="00005580"/>
    <w:rsid w:val="00005FAD"/>
    <w:rsid w:val="00010CE4"/>
    <w:rsid w:val="00015686"/>
    <w:rsid w:val="00040AC1"/>
    <w:rsid w:val="00070D55"/>
    <w:rsid w:val="00077715"/>
    <w:rsid w:val="000B038F"/>
    <w:rsid w:val="000B1999"/>
    <w:rsid w:val="000B2A0C"/>
    <w:rsid w:val="000C2133"/>
    <w:rsid w:val="000C3F71"/>
    <w:rsid w:val="000E58A2"/>
    <w:rsid w:val="000E6FD1"/>
    <w:rsid w:val="0010352A"/>
    <w:rsid w:val="00123C4C"/>
    <w:rsid w:val="001250D9"/>
    <w:rsid w:val="00125635"/>
    <w:rsid w:val="00147857"/>
    <w:rsid w:val="001626C6"/>
    <w:rsid w:val="00174FA5"/>
    <w:rsid w:val="00186FC7"/>
    <w:rsid w:val="00192C1F"/>
    <w:rsid w:val="001966DE"/>
    <w:rsid w:val="001A5ABA"/>
    <w:rsid w:val="001C3FD5"/>
    <w:rsid w:val="001C67BA"/>
    <w:rsid w:val="001D42F8"/>
    <w:rsid w:val="001E05A6"/>
    <w:rsid w:val="001E6AAF"/>
    <w:rsid w:val="001F2D18"/>
    <w:rsid w:val="002103BC"/>
    <w:rsid w:val="00212E5D"/>
    <w:rsid w:val="00217EBD"/>
    <w:rsid w:val="00246626"/>
    <w:rsid w:val="0025452C"/>
    <w:rsid w:val="00255A9B"/>
    <w:rsid w:val="00274AD6"/>
    <w:rsid w:val="00280BB6"/>
    <w:rsid w:val="002C12FF"/>
    <w:rsid w:val="002C15A0"/>
    <w:rsid w:val="002C513C"/>
    <w:rsid w:val="002D40CC"/>
    <w:rsid w:val="002F1CF1"/>
    <w:rsid w:val="002F5125"/>
    <w:rsid w:val="00303666"/>
    <w:rsid w:val="00320ABF"/>
    <w:rsid w:val="003242C3"/>
    <w:rsid w:val="0033716B"/>
    <w:rsid w:val="003471FE"/>
    <w:rsid w:val="00347361"/>
    <w:rsid w:val="003628BC"/>
    <w:rsid w:val="00362A36"/>
    <w:rsid w:val="00381B61"/>
    <w:rsid w:val="003832C0"/>
    <w:rsid w:val="0038449E"/>
    <w:rsid w:val="003A30C5"/>
    <w:rsid w:val="003A4601"/>
    <w:rsid w:val="003A4C58"/>
    <w:rsid w:val="003C0FDC"/>
    <w:rsid w:val="003F153A"/>
    <w:rsid w:val="003F33A4"/>
    <w:rsid w:val="0040473A"/>
    <w:rsid w:val="0040654D"/>
    <w:rsid w:val="004126ED"/>
    <w:rsid w:val="00413293"/>
    <w:rsid w:val="004148A3"/>
    <w:rsid w:val="0041745F"/>
    <w:rsid w:val="00420FD6"/>
    <w:rsid w:val="00425974"/>
    <w:rsid w:val="00472F78"/>
    <w:rsid w:val="00494796"/>
    <w:rsid w:val="004C40BB"/>
    <w:rsid w:val="004E4E38"/>
    <w:rsid w:val="00507500"/>
    <w:rsid w:val="005157F7"/>
    <w:rsid w:val="0051773E"/>
    <w:rsid w:val="005244A6"/>
    <w:rsid w:val="00531127"/>
    <w:rsid w:val="00531201"/>
    <w:rsid w:val="005775F4"/>
    <w:rsid w:val="00592C1E"/>
    <w:rsid w:val="005A2F7A"/>
    <w:rsid w:val="005B113E"/>
    <w:rsid w:val="005B15E1"/>
    <w:rsid w:val="005B1E64"/>
    <w:rsid w:val="005D1EF8"/>
    <w:rsid w:val="005D279C"/>
    <w:rsid w:val="005D5DFB"/>
    <w:rsid w:val="005F3F3B"/>
    <w:rsid w:val="006325AD"/>
    <w:rsid w:val="00651A4B"/>
    <w:rsid w:val="006535F2"/>
    <w:rsid w:val="00665626"/>
    <w:rsid w:val="006966B6"/>
    <w:rsid w:val="006966D1"/>
    <w:rsid w:val="006A37A7"/>
    <w:rsid w:val="006A47CA"/>
    <w:rsid w:val="006B1EEF"/>
    <w:rsid w:val="006B22A4"/>
    <w:rsid w:val="006B6349"/>
    <w:rsid w:val="006C2307"/>
    <w:rsid w:val="006C45C7"/>
    <w:rsid w:val="006D1D6A"/>
    <w:rsid w:val="006F4569"/>
    <w:rsid w:val="007179FB"/>
    <w:rsid w:val="007201B3"/>
    <w:rsid w:val="0073373C"/>
    <w:rsid w:val="00743096"/>
    <w:rsid w:val="007474CD"/>
    <w:rsid w:val="00750A25"/>
    <w:rsid w:val="007551D2"/>
    <w:rsid w:val="007B5924"/>
    <w:rsid w:val="007D1846"/>
    <w:rsid w:val="007D561A"/>
    <w:rsid w:val="007D6487"/>
    <w:rsid w:val="007D6A45"/>
    <w:rsid w:val="007E55E1"/>
    <w:rsid w:val="007F3512"/>
    <w:rsid w:val="007F7C26"/>
    <w:rsid w:val="00800039"/>
    <w:rsid w:val="0080013B"/>
    <w:rsid w:val="00805B6C"/>
    <w:rsid w:val="00811F85"/>
    <w:rsid w:val="00824628"/>
    <w:rsid w:val="008428C7"/>
    <w:rsid w:val="0085084A"/>
    <w:rsid w:val="00864483"/>
    <w:rsid w:val="00871836"/>
    <w:rsid w:val="0088219E"/>
    <w:rsid w:val="008946A9"/>
    <w:rsid w:val="008B0F0D"/>
    <w:rsid w:val="008B7B42"/>
    <w:rsid w:val="008D1DA9"/>
    <w:rsid w:val="008E1507"/>
    <w:rsid w:val="008E4142"/>
    <w:rsid w:val="00944C87"/>
    <w:rsid w:val="00950265"/>
    <w:rsid w:val="00950368"/>
    <w:rsid w:val="00952BF4"/>
    <w:rsid w:val="0096223E"/>
    <w:rsid w:val="009B0EE9"/>
    <w:rsid w:val="009B3ACF"/>
    <w:rsid w:val="009C189D"/>
    <w:rsid w:val="009D3846"/>
    <w:rsid w:val="009D3D4B"/>
    <w:rsid w:val="009E1945"/>
    <w:rsid w:val="009F4F8B"/>
    <w:rsid w:val="009F7D37"/>
    <w:rsid w:val="00A00089"/>
    <w:rsid w:val="00A00098"/>
    <w:rsid w:val="00A136C3"/>
    <w:rsid w:val="00A22A5B"/>
    <w:rsid w:val="00A31EDB"/>
    <w:rsid w:val="00A42070"/>
    <w:rsid w:val="00A5118D"/>
    <w:rsid w:val="00A535D6"/>
    <w:rsid w:val="00A55B8B"/>
    <w:rsid w:val="00A564E7"/>
    <w:rsid w:val="00A84761"/>
    <w:rsid w:val="00A92F61"/>
    <w:rsid w:val="00AA0082"/>
    <w:rsid w:val="00AA1909"/>
    <w:rsid w:val="00AA22F1"/>
    <w:rsid w:val="00AB6BAB"/>
    <w:rsid w:val="00AC12A0"/>
    <w:rsid w:val="00AD6891"/>
    <w:rsid w:val="00AE526C"/>
    <w:rsid w:val="00AE5C05"/>
    <w:rsid w:val="00AF5050"/>
    <w:rsid w:val="00B07310"/>
    <w:rsid w:val="00B1300F"/>
    <w:rsid w:val="00B2794C"/>
    <w:rsid w:val="00B33263"/>
    <w:rsid w:val="00B41DE4"/>
    <w:rsid w:val="00B517D4"/>
    <w:rsid w:val="00B62453"/>
    <w:rsid w:val="00B63D1E"/>
    <w:rsid w:val="00B82011"/>
    <w:rsid w:val="00B831BA"/>
    <w:rsid w:val="00B9651A"/>
    <w:rsid w:val="00BB4E82"/>
    <w:rsid w:val="00BB6738"/>
    <w:rsid w:val="00BC3CD1"/>
    <w:rsid w:val="00BE7D3E"/>
    <w:rsid w:val="00C11215"/>
    <w:rsid w:val="00C135BB"/>
    <w:rsid w:val="00C356C9"/>
    <w:rsid w:val="00C4083C"/>
    <w:rsid w:val="00C40E4E"/>
    <w:rsid w:val="00C5115F"/>
    <w:rsid w:val="00C6184B"/>
    <w:rsid w:val="00C64348"/>
    <w:rsid w:val="00C76E5C"/>
    <w:rsid w:val="00C80EE9"/>
    <w:rsid w:val="00C81790"/>
    <w:rsid w:val="00CB1B08"/>
    <w:rsid w:val="00CB39B6"/>
    <w:rsid w:val="00CE46C8"/>
    <w:rsid w:val="00CF3099"/>
    <w:rsid w:val="00D15809"/>
    <w:rsid w:val="00D174FB"/>
    <w:rsid w:val="00D1789F"/>
    <w:rsid w:val="00D20003"/>
    <w:rsid w:val="00D230C2"/>
    <w:rsid w:val="00D344E1"/>
    <w:rsid w:val="00D65D78"/>
    <w:rsid w:val="00D724B0"/>
    <w:rsid w:val="00D911A9"/>
    <w:rsid w:val="00D956E3"/>
    <w:rsid w:val="00DB4E2D"/>
    <w:rsid w:val="00DC3CD9"/>
    <w:rsid w:val="00DC579D"/>
    <w:rsid w:val="00DD5C34"/>
    <w:rsid w:val="00DE2934"/>
    <w:rsid w:val="00E0495B"/>
    <w:rsid w:val="00E06862"/>
    <w:rsid w:val="00E16320"/>
    <w:rsid w:val="00E16FF8"/>
    <w:rsid w:val="00E30600"/>
    <w:rsid w:val="00E37FED"/>
    <w:rsid w:val="00E70226"/>
    <w:rsid w:val="00E80606"/>
    <w:rsid w:val="00E822BB"/>
    <w:rsid w:val="00E822C8"/>
    <w:rsid w:val="00E83422"/>
    <w:rsid w:val="00E9018C"/>
    <w:rsid w:val="00EB2187"/>
    <w:rsid w:val="00EE52DD"/>
    <w:rsid w:val="00EF612A"/>
    <w:rsid w:val="00F24F2E"/>
    <w:rsid w:val="00F30320"/>
    <w:rsid w:val="00F30F66"/>
    <w:rsid w:val="00F327B9"/>
    <w:rsid w:val="00F83C40"/>
    <w:rsid w:val="00F96075"/>
    <w:rsid w:val="00FB26EC"/>
    <w:rsid w:val="00FD6307"/>
    <w:rsid w:val="00FF23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DB7BE3-84BA-42B7-9D52-EE9C1A59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D6"/>
    <w:pPr>
      <w:spacing w:after="0" w:line="240" w:lineRule="auto"/>
    </w:pPr>
    <w:rPr>
      <w:rFonts w:eastAsiaTheme="minorEastAsia"/>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20FD6"/>
    <w:rPr>
      <w:color w:val="0563C1" w:themeColor="hyperlink"/>
      <w:u w:val="single"/>
    </w:rPr>
  </w:style>
  <w:style w:type="paragraph" w:styleId="Rodap">
    <w:name w:val="footer"/>
    <w:basedOn w:val="Normal"/>
    <w:link w:val="RodapChar"/>
    <w:uiPriority w:val="99"/>
    <w:unhideWhenUsed/>
    <w:rsid w:val="00420FD6"/>
    <w:pPr>
      <w:tabs>
        <w:tab w:val="center" w:pos="4252"/>
        <w:tab w:val="right" w:pos="8504"/>
      </w:tabs>
    </w:pPr>
  </w:style>
  <w:style w:type="character" w:customStyle="1" w:styleId="RodapChar">
    <w:name w:val="Rodapé Char"/>
    <w:basedOn w:val="Fontepargpadro"/>
    <w:link w:val="Rodap"/>
    <w:uiPriority w:val="99"/>
    <w:rsid w:val="00420FD6"/>
    <w:rPr>
      <w:rFonts w:eastAsiaTheme="minorEastAsia"/>
      <w:sz w:val="24"/>
      <w:szCs w:val="24"/>
      <w:lang w:val="en-US"/>
    </w:rPr>
  </w:style>
  <w:style w:type="paragraph" w:styleId="NormalWeb">
    <w:name w:val="Normal (Web)"/>
    <w:basedOn w:val="Normal"/>
    <w:uiPriority w:val="99"/>
    <w:unhideWhenUsed/>
    <w:rsid w:val="00420FD6"/>
    <w:pPr>
      <w:spacing w:before="100" w:beforeAutospacing="1" w:after="100" w:afterAutospacing="1"/>
    </w:pPr>
    <w:rPr>
      <w:rFonts w:ascii="Times New Roman" w:eastAsia="Times New Roman" w:hAnsi="Times New Roman" w:cs="Times New Roman"/>
    </w:rPr>
  </w:style>
  <w:style w:type="paragraph" w:customStyle="1" w:styleId="EndNoteBibliography">
    <w:name w:val="EndNote Bibliography"/>
    <w:basedOn w:val="Normal"/>
    <w:link w:val="EndNoteBibliographyCarter"/>
    <w:rsid w:val="00420FD6"/>
    <w:rPr>
      <w:rFonts w:ascii="Calibri" w:hAnsi="Calibri" w:cs="Calibri"/>
      <w:noProof/>
    </w:rPr>
  </w:style>
  <w:style w:type="character" w:customStyle="1" w:styleId="EndNoteBibliographyCarter">
    <w:name w:val="EndNote Bibliography Caráter"/>
    <w:basedOn w:val="Fontepargpadro"/>
    <w:link w:val="EndNoteBibliography"/>
    <w:rsid w:val="00420FD6"/>
    <w:rPr>
      <w:rFonts w:ascii="Calibri" w:eastAsiaTheme="minorEastAsia" w:hAnsi="Calibri" w:cs="Calibri"/>
      <w:noProof/>
      <w:sz w:val="24"/>
      <w:szCs w:val="24"/>
      <w:lang w:val="en-US"/>
    </w:rPr>
  </w:style>
  <w:style w:type="paragraph" w:styleId="Pr-formataoHTML">
    <w:name w:val="HTML Preformatted"/>
    <w:basedOn w:val="Normal"/>
    <w:link w:val="Pr-formataoHTMLChar"/>
    <w:uiPriority w:val="99"/>
    <w:unhideWhenUsed/>
    <w:rsid w:val="0042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PT" w:eastAsia="pt-PT"/>
    </w:rPr>
  </w:style>
  <w:style w:type="character" w:customStyle="1" w:styleId="Pr-formataoHTMLChar">
    <w:name w:val="Pré-formatação HTML Char"/>
    <w:basedOn w:val="Fontepargpadro"/>
    <w:link w:val="Pr-formataoHTML"/>
    <w:uiPriority w:val="99"/>
    <w:rsid w:val="00420FD6"/>
    <w:rPr>
      <w:rFonts w:ascii="Courier New" w:eastAsia="Times New Roman" w:hAnsi="Courier New" w:cs="Courier New"/>
      <w:sz w:val="20"/>
      <w:szCs w:val="20"/>
      <w:lang w:eastAsia="pt-PT"/>
    </w:rPr>
  </w:style>
  <w:style w:type="paragraph" w:styleId="Textodebalo">
    <w:name w:val="Balloon Text"/>
    <w:basedOn w:val="Normal"/>
    <w:link w:val="TextodebaloChar"/>
    <w:uiPriority w:val="99"/>
    <w:semiHidden/>
    <w:unhideWhenUsed/>
    <w:rsid w:val="00B82011"/>
    <w:rPr>
      <w:rFonts w:ascii="Segoe UI" w:hAnsi="Segoe UI" w:cs="Segoe UI"/>
      <w:sz w:val="18"/>
      <w:szCs w:val="18"/>
    </w:rPr>
  </w:style>
  <w:style w:type="character" w:customStyle="1" w:styleId="TextodebaloChar">
    <w:name w:val="Texto de balão Char"/>
    <w:basedOn w:val="Fontepargpadro"/>
    <w:link w:val="Textodebalo"/>
    <w:uiPriority w:val="99"/>
    <w:semiHidden/>
    <w:rsid w:val="00B82011"/>
    <w:rPr>
      <w:rFonts w:ascii="Segoe UI" w:eastAsiaTheme="minorEastAsia" w:hAnsi="Segoe UI" w:cs="Segoe UI"/>
      <w:sz w:val="18"/>
      <w:szCs w:val="18"/>
      <w:lang w:val="en-US"/>
    </w:rPr>
  </w:style>
  <w:style w:type="paragraph" w:customStyle="1" w:styleId="EndNoteBibliographyTitle">
    <w:name w:val="EndNote Bibliography Title"/>
    <w:basedOn w:val="Normal"/>
    <w:link w:val="EndNoteBibliographyTitleChar"/>
    <w:rsid w:val="006535F2"/>
    <w:pPr>
      <w:jc w:val="center"/>
    </w:pPr>
    <w:rPr>
      <w:rFonts w:ascii="Calibri" w:hAnsi="Calibri" w:cs="Calibri"/>
      <w:noProof/>
    </w:rPr>
  </w:style>
  <w:style w:type="character" w:customStyle="1" w:styleId="EndNoteBibliographyTitleChar">
    <w:name w:val="EndNote Bibliography Title Char"/>
    <w:basedOn w:val="Fontepargpadro"/>
    <w:link w:val="EndNoteBibliographyTitle"/>
    <w:rsid w:val="006535F2"/>
    <w:rPr>
      <w:rFonts w:ascii="Calibri" w:eastAsiaTheme="minorEastAsia" w:hAnsi="Calibri" w:cs="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fontes6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ffon\Desktop\Artigo%20AR%20definitivo%202020\Melissa%202020\Tables%2018%20J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cat>
            <c:strRef>
              <c:f>'Fig 1'!$B$2:$B$9</c:f>
              <c:strCache>
                <c:ptCount val="8"/>
                <c:pt idx="0">
                  <c:v>PF (n=77)</c:v>
                </c:pt>
                <c:pt idx="1">
                  <c:v>RP (n=71)</c:v>
                </c:pt>
                <c:pt idx="2">
                  <c:v>BP (n=53)</c:v>
                </c:pt>
                <c:pt idx="3">
                  <c:v>GH (n=74)</c:v>
                </c:pt>
                <c:pt idx="4">
                  <c:v>VT (n=73)</c:v>
                </c:pt>
                <c:pt idx="5">
                  <c:v>SF (n=77)</c:v>
                </c:pt>
                <c:pt idx="6">
                  <c:v>RE (n=67)</c:v>
                </c:pt>
                <c:pt idx="7">
                  <c:v>MH (n=73)</c:v>
                </c:pt>
              </c:strCache>
            </c:strRef>
          </c:cat>
          <c:val>
            <c:numRef>
              <c:f>'Fig 1'!$C$2:$C$9</c:f>
              <c:numCache>
                <c:formatCode>General</c:formatCode>
                <c:ptCount val="8"/>
                <c:pt idx="0">
                  <c:v>46.598100000000002</c:v>
                </c:pt>
                <c:pt idx="1">
                  <c:v>51.907299999999999</c:v>
                </c:pt>
                <c:pt idx="2">
                  <c:v>51.905700000000003</c:v>
                </c:pt>
                <c:pt idx="3">
                  <c:v>35.395299999999999</c:v>
                </c:pt>
                <c:pt idx="4">
                  <c:v>41.0274</c:v>
                </c:pt>
                <c:pt idx="5">
                  <c:v>57.629899999999999</c:v>
                </c:pt>
                <c:pt idx="6">
                  <c:v>62.935299999999998</c:v>
                </c:pt>
                <c:pt idx="7">
                  <c:v>60.0685</c:v>
                </c:pt>
              </c:numCache>
            </c:numRef>
          </c:val>
          <c:extLst xmlns:c16r2="http://schemas.microsoft.com/office/drawing/2015/06/chart">
            <c:ext xmlns:c16="http://schemas.microsoft.com/office/drawing/2014/chart" uri="{C3380CC4-5D6E-409C-BE32-E72D297353CC}">
              <c16:uniqueId val="{00000000-751B-4757-82BF-B5570275D691}"/>
            </c:ext>
          </c:extLst>
        </c:ser>
        <c:dLbls>
          <c:showLegendKey val="0"/>
          <c:showVal val="0"/>
          <c:showCatName val="0"/>
          <c:showSerName val="0"/>
          <c:showPercent val="0"/>
          <c:showBubbleSize val="0"/>
        </c:dLbls>
        <c:axId val="376493864"/>
        <c:axId val="376495824"/>
      </c:radarChart>
      <c:catAx>
        <c:axId val="37649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76495824"/>
        <c:crosses val="autoZero"/>
        <c:auto val="1"/>
        <c:lblAlgn val="ctr"/>
        <c:lblOffset val="100"/>
        <c:noMultiLvlLbl val="0"/>
      </c:catAx>
      <c:valAx>
        <c:axId val="3764958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t-PT"/>
          </a:p>
        </c:txPr>
        <c:crossAx val="376493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6696</Words>
  <Characters>36160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fontes</dc:creator>
  <cp:keywords/>
  <dc:description/>
  <cp:lastModifiedBy>maria francisca fontes</cp:lastModifiedBy>
  <cp:revision>4</cp:revision>
  <dcterms:created xsi:type="dcterms:W3CDTF">2020-06-21T11:33:00Z</dcterms:created>
  <dcterms:modified xsi:type="dcterms:W3CDTF">2020-06-21T15:53:00Z</dcterms:modified>
</cp:coreProperties>
</file>