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1AB5" w14:textId="77777777" w:rsidR="006C55D3" w:rsidRDefault="004A7459">
      <w:pPr>
        <w:pBdr>
          <w:top w:val="nil"/>
          <w:left w:val="nil"/>
          <w:bottom w:val="nil"/>
          <w:right w:val="nil"/>
          <w:between w:val="nil"/>
        </w:pBdr>
        <w:spacing w:after="0" w:line="240" w:lineRule="auto"/>
        <w:rPr>
          <w:color w:val="000000"/>
          <w:u w:val="single"/>
        </w:rPr>
      </w:pPr>
      <w:r>
        <w:rPr>
          <w:color w:val="000000"/>
          <w:u w:val="single"/>
        </w:rPr>
        <w:t>Supplementary material</w:t>
      </w:r>
    </w:p>
    <w:p w14:paraId="69497C73" w14:textId="77777777" w:rsidR="006C55D3" w:rsidRDefault="006C55D3"/>
    <w:p w14:paraId="41F3C472" w14:textId="602D29C4" w:rsidR="006C55D3" w:rsidRDefault="00A06AED">
      <w:sdt>
        <w:sdtPr>
          <w:tag w:val="goog_rdk_1"/>
          <w:id w:val="-1035965519"/>
        </w:sdtPr>
        <w:sdtEndPr/>
        <w:sdtContent>
          <w:r w:rsidR="004A7459">
            <w:t>The estimates were performed using R software (version 3.4.4). Code is available upon request.</w:t>
          </w:r>
          <w:sdt>
            <w:sdtPr>
              <w:tag w:val="goog_rdk_0"/>
              <w:id w:val="-1876764953"/>
            </w:sdtPr>
            <w:sdtEndPr/>
            <w:sdtContent/>
          </w:sdt>
        </w:sdtContent>
      </w:sdt>
      <w:sdt>
        <w:sdtPr>
          <w:tag w:val="goog_rdk_3"/>
          <w:id w:val="1143385969"/>
        </w:sdtPr>
        <w:sdtEndPr/>
        <w:sdtContent>
          <w:sdt>
            <w:sdtPr>
              <w:tag w:val="goog_rdk_2"/>
              <w:id w:val="-898051100"/>
            </w:sdtPr>
            <w:sdtEndPr/>
            <w:sdtContent/>
          </w:sdt>
        </w:sdtContent>
      </w:sdt>
      <w:sdt>
        <w:sdtPr>
          <w:tag w:val="goog_rdk_5"/>
          <w:id w:val="-1804526368"/>
        </w:sdtPr>
        <w:sdtEndPr/>
        <w:sdtContent>
          <w:sdt>
            <w:sdtPr>
              <w:tag w:val="goog_rdk_4"/>
              <w:id w:val="-141662826"/>
              <w:showingPlcHdr/>
            </w:sdtPr>
            <w:sdtEndPr/>
            <w:sdtContent>
              <w:r w:rsidR="00BA79A2">
                <w:t xml:space="preserve">     </w:t>
              </w:r>
            </w:sdtContent>
          </w:sdt>
        </w:sdtContent>
      </w:sdt>
      <w:sdt>
        <w:sdtPr>
          <w:tag w:val="goog_rdk_9"/>
          <w:id w:val="-87244372"/>
        </w:sdtPr>
        <w:sdtEndPr/>
        <w:sdtContent>
          <w:sdt>
            <w:sdtPr>
              <w:tag w:val="goog_rdk_6"/>
              <w:id w:val="187415071"/>
              <w:showingPlcHdr/>
            </w:sdtPr>
            <w:sdtEndPr/>
            <w:sdtContent>
              <w:r w:rsidR="00BA79A2">
                <w:t xml:space="preserve">     </w:t>
              </w:r>
            </w:sdtContent>
          </w:sdt>
          <w:sdt>
            <w:sdtPr>
              <w:tag w:val="goog_rdk_7"/>
              <w:id w:val="-1371689582"/>
              <w:showingPlcHdr/>
            </w:sdtPr>
            <w:sdtEndPr/>
            <w:sdtContent>
              <w:r w:rsidR="00BA79A2">
                <w:t xml:space="preserve">     </w:t>
              </w:r>
            </w:sdtContent>
          </w:sdt>
          <w:bookmarkStart w:id="0" w:name="_heading=h.gjdgxs" w:colFirst="0" w:colLast="0"/>
          <w:bookmarkEnd w:id="0"/>
          <w:sdt>
            <w:sdtPr>
              <w:tag w:val="goog_rdk_8"/>
              <w:id w:val="748700592"/>
              <w:showingPlcHdr/>
            </w:sdtPr>
            <w:sdtEndPr/>
            <w:sdtContent>
              <w:r w:rsidR="00BA79A2">
                <w:t xml:space="preserve">     </w:t>
              </w:r>
            </w:sdtContent>
          </w:sdt>
        </w:sdtContent>
      </w:sdt>
      <w:sdt>
        <w:sdtPr>
          <w:tag w:val="goog_rdk_11"/>
          <w:id w:val="-1557233518"/>
        </w:sdtPr>
        <w:sdtEndPr/>
        <w:sdtContent>
          <w:sdt>
            <w:sdtPr>
              <w:tag w:val="goog_rdk_10"/>
              <w:id w:val="1391230995"/>
            </w:sdtPr>
            <w:sdtEndPr/>
            <w:sdtContent/>
          </w:sdt>
        </w:sdtContent>
      </w:sdt>
      <w:sdt>
        <w:sdtPr>
          <w:tag w:val="goog_rdk_12"/>
          <w:id w:val="-1208254090"/>
          <w:showingPlcHdr/>
        </w:sdtPr>
        <w:sdtEndPr/>
        <w:sdtContent>
          <w:r w:rsidR="00BA79A2">
            <w:t xml:space="preserve">     </w:t>
          </w:r>
        </w:sdtContent>
      </w:sdt>
    </w:p>
    <w:p w14:paraId="5166E214" w14:textId="3FA8345F" w:rsidR="006C55D3" w:rsidRDefault="00A06AED">
      <w:sdt>
        <w:sdtPr>
          <w:tag w:val="goog_rdk_269"/>
          <w:id w:val="704443509"/>
        </w:sdtPr>
        <w:sdtEndPr/>
        <w:sdtContent>
          <w:sdt>
            <w:sdtPr>
              <w:tag w:val="goog_rdk_268"/>
              <w:id w:val="1817677634"/>
            </w:sdtPr>
            <w:sdtEndPr/>
            <w:sdtContent/>
          </w:sdt>
        </w:sdtContent>
      </w:sdt>
      <w:sdt>
        <w:sdtPr>
          <w:tag w:val="goog_rdk_271"/>
          <w:id w:val="55208913"/>
        </w:sdtPr>
        <w:sdtEndPr/>
        <w:sdtContent>
          <w:sdt>
            <w:sdtPr>
              <w:tag w:val="goog_rdk_270"/>
              <w:id w:val="-1753114041"/>
              <w:showingPlcHdr/>
            </w:sdtPr>
            <w:sdtEndPr/>
            <w:sdtContent>
              <w:r w:rsidR="00BA79A2">
                <w:t xml:space="preserve">     </w:t>
              </w:r>
            </w:sdtContent>
          </w:sdt>
        </w:sdtContent>
      </w:sdt>
    </w:p>
    <w:p w14:paraId="72FBF9B2" w14:textId="77777777" w:rsidR="006C55D3" w:rsidRDefault="004A7459">
      <w:pPr>
        <w:jc w:val="both"/>
      </w:pPr>
      <w:r>
        <w:rPr>
          <w:u w:val="single"/>
        </w:rPr>
        <w:t>Estimates of Excess Mortality per District in Portugal Mainland</w:t>
      </w:r>
      <w:r>
        <w:rPr>
          <w:rFonts w:ascii="Times New Roman" w:eastAsia="Times New Roman" w:hAnsi="Times New Roman" w:cs="Times New Roman"/>
        </w:rPr>
        <w:t xml:space="preserve"> </w:t>
      </w:r>
    </w:p>
    <w:p w14:paraId="47A7191A" w14:textId="77777777" w:rsidR="006C55D3" w:rsidRDefault="004A7459">
      <w:pPr>
        <w:jc w:val="both"/>
      </w:pPr>
      <w:r>
        <w:t>Figure S1 shows graphical evolution of all-causes mortality by district of mainland Portugal (8 district out of 18) where it is clear that some districts (Aveiro, Porto and Lisbon) have marked excess mortality, while others is around or below the proposed baselines.</w:t>
      </w:r>
    </w:p>
    <w:p w14:paraId="707AC299" w14:textId="77777777" w:rsidR="006C55D3" w:rsidRDefault="004A7459">
      <w:pPr>
        <w:jc w:val="both"/>
      </w:pPr>
      <w:r>
        <w:t>Figure S2 shows excess mortalities by district, using three baselines (median, mean +1 month and mean + 3 months). In absolute terms, higher mortality estimates are geographically superimposed with districts with higher number of COVID-19 cases (those districts are more densely populated).</w:t>
      </w:r>
    </w:p>
    <w:p w14:paraId="308864B7" w14:textId="70C828C9" w:rsidR="006C55D3" w:rsidRDefault="004A7459">
      <w:pPr>
        <w:jc w:val="both"/>
      </w:pPr>
      <w:r>
        <w:t>Figure S3 shows the same data as Figure S2 presented in relative terms using district resident population. In relative terms, estimates for excess mortalities seem overall homogeneous by district, with a tendency to higher values in districts older and less dense populations.</w:t>
      </w:r>
    </w:p>
    <w:p w14:paraId="584338EA" w14:textId="32EDF721" w:rsidR="006C55D3" w:rsidRDefault="00A06AED">
      <w:sdt>
        <w:sdtPr>
          <w:tag w:val="goog_rdk_273"/>
          <w:id w:val="-2062084525"/>
          <w:showingPlcHdr/>
        </w:sdtPr>
        <w:sdtEndPr/>
        <w:sdtContent>
          <w:r w:rsidR="00BA79A2">
            <w:t xml:space="preserve">     </w:t>
          </w:r>
        </w:sdtContent>
      </w:sdt>
      <w:sdt>
        <w:sdtPr>
          <w:tag w:val="goog_rdk_274"/>
          <w:id w:val="-1213263645"/>
        </w:sdtPr>
        <w:sdtEndPr/>
        <w:sdtContent>
          <w:r w:rsidR="004A7459">
            <w:rPr>
              <w:noProof/>
            </w:rPr>
            <w:drawing>
              <wp:inline distT="114300" distB="114300" distL="114300" distR="114300" wp14:anchorId="27580BA1" wp14:editId="77C2E10C">
                <wp:extent cx="5402580" cy="3898900"/>
                <wp:effectExtent l="0" t="0" r="0" b="0"/>
                <wp:docPr id="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402580" cy="3898900"/>
                        </a:xfrm>
                        <a:prstGeom prst="rect">
                          <a:avLst/>
                        </a:prstGeom>
                        <a:ln/>
                      </pic:spPr>
                    </pic:pic>
                  </a:graphicData>
                </a:graphic>
              </wp:inline>
            </w:drawing>
          </w:r>
        </w:sdtContent>
      </w:sdt>
    </w:p>
    <w:p w14:paraId="25EB4625" w14:textId="77777777" w:rsidR="006C55D3" w:rsidRDefault="004A7459">
      <w:r>
        <w:rPr>
          <w:rFonts w:ascii="Times New Roman" w:eastAsia="Times New Roman" w:hAnsi="Times New Roman" w:cs="Times New Roman"/>
          <w:sz w:val="20"/>
          <w:szCs w:val="20"/>
        </w:rPr>
        <w:t xml:space="preserve">Figure S1a. Graphical illustration for district-specific distribution of all-cause mortality  between March 6-April 8 for the Portugal Mainland Districts of Porto, Aveiro, Braga, </w:t>
      </w:r>
      <w:proofErr w:type="spellStart"/>
      <w:r>
        <w:rPr>
          <w:rFonts w:ascii="Times New Roman" w:eastAsia="Times New Roman" w:hAnsi="Times New Roman" w:cs="Times New Roman"/>
          <w:sz w:val="20"/>
          <w:szCs w:val="20"/>
        </w:rPr>
        <w:t>Lisboa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Setúbal</w:t>
      </w:r>
      <w:proofErr w:type="spellEnd"/>
      <w:r>
        <w:rPr>
          <w:rFonts w:ascii="Times New Roman" w:eastAsia="Times New Roman" w:hAnsi="Times New Roman" w:cs="Times New Roman"/>
          <w:sz w:val="20"/>
          <w:szCs w:val="20"/>
        </w:rPr>
        <w:t xml:space="preserve"> and Coimbra.</w:t>
      </w:r>
      <w:sdt>
        <w:sdtPr>
          <w:tag w:val="goog_rdk_275"/>
          <w:id w:val="438495802"/>
        </w:sdtPr>
        <w:sdtEndPr/>
        <w:sdtContent>
          <w:r>
            <w:rPr>
              <w:rFonts w:ascii="Times New Roman" w:eastAsia="Times New Roman" w:hAnsi="Times New Roman" w:cs="Times New Roman"/>
              <w:sz w:val="20"/>
              <w:szCs w:val="20"/>
            </w:rPr>
            <w:t xml:space="preserve"> Graphical comparison depicts observed mortality (magenta line), minimum baseline (red line), maximum baseline (orange line), mean baseline (yellow dashed line), median baseline (grey dashed line), mean + 1 month baseline (light blue dashed line), mean + 3 months baseline (dark blue dashed line) and mean + 5 months baseline (rose dashed line).</w:t>
          </w:r>
        </w:sdtContent>
      </w:sdt>
      <w:r>
        <w:rPr>
          <w:rFonts w:ascii="Times New Roman" w:eastAsia="Times New Roman" w:hAnsi="Times New Roman" w:cs="Times New Roman"/>
          <w:sz w:val="20"/>
          <w:szCs w:val="20"/>
        </w:rPr>
        <w:t xml:space="preserve"> </w:t>
      </w:r>
    </w:p>
    <w:p w14:paraId="4DEECAD0" w14:textId="6E2E85ED" w:rsidR="006C55D3" w:rsidRDefault="00A06AED">
      <w:sdt>
        <w:sdtPr>
          <w:tag w:val="goog_rdk_277"/>
          <w:id w:val="746386274"/>
          <w:showingPlcHdr/>
        </w:sdtPr>
        <w:sdtEndPr/>
        <w:sdtContent>
          <w:r w:rsidR="00BA79A2">
            <w:t xml:space="preserve">     </w:t>
          </w:r>
        </w:sdtContent>
      </w:sdt>
      <w:sdt>
        <w:sdtPr>
          <w:tag w:val="goog_rdk_278"/>
          <w:id w:val="1962989021"/>
        </w:sdtPr>
        <w:sdtEndPr/>
        <w:sdtContent>
          <w:r w:rsidR="004A7459">
            <w:rPr>
              <w:noProof/>
            </w:rPr>
            <w:drawing>
              <wp:inline distT="114300" distB="114300" distL="114300" distR="114300" wp14:anchorId="4371F849" wp14:editId="064EE882">
                <wp:extent cx="5402580" cy="3644900"/>
                <wp:effectExtent l="0" t="0" r="0" b="0"/>
                <wp:docPr id="5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402580" cy="3644900"/>
                        </a:xfrm>
                        <a:prstGeom prst="rect">
                          <a:avLst/>
                        </a:prstGeom>
                        <a:ln/>
                      </pic:spPr>
                    </pic:pic>
                  </a:graphicData>
                </a:graphic>
              </wp:inline>
            </w:drawing>
          </w:r>
        </w:sdtContent>
      </w:sdt>
    </w:p>
    <w:p w14:paraId="5CE77171" w14:textId="77777777" w:rsidR="006C55D3" w:rsidRDefault="004A7459">
      <w:r>
        <w:rPr>
          <w:rFonts w:ascii="Times New Roman" w:eastAsia="Times New Roman" w:hAnsi="Times New Roman" w:cs="Times New Roman"/>
          <w:sz w:val="20"/>
          <w:szCs w:val="20"/>
        </w:rPr>
        <w:t xml:space="preserve">Figure S1b. Graphical illustration for district-specific distribution of all-cause mortality between March 6-April 8 for the Portugal Mainland Districts of Beja, Faro, </w:t>
      </w:r>
      <w:proofErr w:type="spellStart"/>
      <w:r>
        <w:rPr>
          <w:rFonts w:ascii="Times New Roman" w:eastAsia="Times New Roman" w:hAnsi="Times New Roman" w:cs="Times New Roman"/>
          <w:sz w:val="20"/>
          <w:szCs w:val="20"/>
        </w:rPr>
        <w:t>Guarda</w:t>
      </w:r>
      <w:proofErr w:type="spellEnd"/>
      <w:r>
        <w:rPr>
          <w:rFonts w:ascii="Times New Roman" w:eastAsia="Times New Roman" w:hAnsi="Times New Roman" w:cs="Times New Roman"/>
          <w:sz w:val="20"/>
          <w:szCs w:val="20"/>
        </w:rPr>
        <w:t xml:space="preserve">, Castelo Branco, Vila Real and Leiria. </w:t>
      </w:r>
      <w:sdt>
        <w:sdtPr>
          <w:tag w:val="goog_rdk_279"/>
          <w:id w:val="-369218943"/>
        </w:sdtPr>
        <w:sdtEndPr/>
        <w:sdtContent>
          <w:r>
            <w:rPr>
              <w:rFonts w:ascii="Times New Roman" w:eastAsia="Times New Roman" w:hAnsi="Times New Roman" w:cs="Times New Roman"/>
              <w:sz w:val="20"/>
              <w:szCs w:val="20"/>
            </w:rPr>
            <w:t>Graphical comparison depicts observed mortality (magenta line), minimum baseline (red line), maximum baseline (orange line), mean baseline (yellow dashed line), median baseline (grey dashed line), mean + 1 month baseline (light blue dashed line), mean + 3 months baseline (dark blue dashed line) and mean + 5 months baseline (rose dashed line).</w:t>
          </w:r>
        </w:sdtContent>
      </w:sdt>
      <w:r>
        <w:rPr>
          <w:rFonts w:ascii="Times New Roman" w:eastAsia="Times New Roman" w:hAnsi="Times New Roman" w:cs="Times New Roman"/>
          <w:sz w:val="20"/>
          <w:szCs w:val="20"/>
        </w:rPr>
        <w:t xml:space="preserve"> </w:t>
      </w:r>
    </w:p>
    <w:p w14:paraId="35F7DAC3" w14:textId="51550024" w:rsidR="006C55D3" w:rsidRDefault="004A7459">
      <w:pPr>
        <w:tabs>
          <w:tab w:val="left" w:pos="1271"/>
        </w:tabs>
        <w:rPr>
          <w:rFonts w:ascii="Times New Roman" w:eastAsia="Times New Roman" w:hAnsi="Times New Roman" w:cs="Times New Roman"/>
        </w:rPr>
      </w:pPr>
      <w:r>
        <w:t xml:space="preserve"> </w:t>
      </w:r>
      <w:r>
        <w:rPr>
          <w:rFonts w:ascii="Times New Roman" w:eastAsia="Times New Roman" w:hAnsi="Times New Roman" w:cs="Times New Roman"/>
          <w:noProof/>
          <w:color w:val="707070"/>
        </w:rPr>
        <w:drawing>
          <wp:inline distT="0" distB="0" distL="0" distR="0" wp14:anchorId="1C3A6A7E" wp14:editId="08141E25">
            <wp:extent cx="5402580" cy="2933700"/>
            <wp:effectExtent l="0" t="0" r="0" b="0"/>
            <wp:docPr id="5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402580" cy="2933700"/>
                    </a:xfrm>
                    <a:prstGeom prst="rect">
                      <a:avLst/>
                    </a:prstGeom>
                    <a:ln/>
                  </pic:spPr>
                </pic:pic>
              </a:graphicData>
            </a:graphic>
          </wp:inline>
        </w:drawing>
      </w:r>
    </w:p>
    <w:p w14:paraId="00903519" w14:textId="77777777" w:rsidR="006C55D3" w:rsidRDefault="004A7459">
      <w:pPr>
        <w:rPr>
          <w:rFonts w:ascii="Times New Roman" w:eastAsia="Times New Roman" w:hAnsi="Times New Roman" w:cs="Times New Roman"/>
          <w:sz w:val="20"/>
          <w:szCs w:val="20"/>
        </w:rPr>
      </w:pPr>
      <w:r>
        <w:rPr>
          <w:rFonts w:ascii="Times New Roman" w:eastAsia="Times New Roman" w:hAnsi="Times New Roman" w:cs="Times New Roman"/>
          <w:sz w:val="20"/>
          <w:szCs w:val="20"/>
        </w:rPr>
        <w:t>Figure S2. Graphical representation of estimated excess mortality rates and Covid-19 estimated mortality rates in absolute terms, both by 100,000 inhabitants per district.</w:t>
      </w:r>
      <w:sdt>
        <w:sdtPr>
          <w:tag w:val="goog_rdk_280"/>
          <w:id w:val="-432976630"/>
        </w:sdtPr>
        <w:sdtEndPr/>
        <w:sdtContent>
          <w:r>
            <w:rPr>
              <w:rFonts w:ascii="Times New Roman" w:eastAsia="Times New Roman" w:hAnsi="Times New Roman" w:cs="Times New Roman"/>
              <w:sz w:val="20"/>
              <w:szCs w:val="20"/>
            </w:rPr>
            <w:t xml:space="preserve"> Vertical blue lines represent the distance between minimum and the maximum of estimated excess mortality calculated using 3 different baselines (median, mean + 1 month and mean + 3 months). </w:t>
          </w:r>
        </w:sdtContent>
      </w:sdt>
    </w:p>
    <w:p w14:paraId="3751B3C9" w14:textId="77777777" w:rsidR="006C55D3" w:rsidRDefault="004A7459">
      <w:r>
        <w:lastRenderedPageBreak/>
        <w:t>Notes for Figure S2:</w:t>
      </w:r>
    </w:p>
    <w:p w14:paraId="546AE63C" w14:textId="77777777" w:rsidR="006C55D3" w:rsidRDefault="00A06AED">
      <w:pPr>
        <w:numPr>
          <w:ilvl w:val="1"/>
          <w:numId w:val="2"/>
        </w:numPr>
        <w:spacing w:after="0"/>
      </w:pPr>
      <w:sdt>
        <w:sdtPr>
          <w:tag w:val="goog_rdk_281"/>
          <w:id w:val="-1017690410"/>
        </w:sdtPr>
        <w:sdtEndPr/>
        <w:sdtContent>
          <w:r w:rsidR="004A7459" w:rsidRPr="00BA79A2">
            <w:rPr>
              <w:b/>
            </w:rPr>
            <w:t>Exc1</w:t>
          </w:r>
        </w:sdtContent>
      </w:sdt>
      <w:r w:rsidR="004A7459">
        <w:t xml:space="preserve"> – estimated rate of excess mortality (sum of observed – sum of defined baseline) per 100,000 inhabitants.</w:t>
      </w:r>
    </w:p>
    <w:p w14:paraId="240F644A" w14:textId="77777777" w:rsidR="006C55D3" w:rsidRDefault="00A06AED">
      <w:pPr>
        <w:numPr>
          <w:ilvl w:val="1"/>
          <w:numId w:val="2"/>
        </w:numPr>
        <w:spacing w:after="0"/>
      </w:pPr>
      <w:sdt>
        <w:sdtPr>
          <w:tag w:val="goog_rdk_282"/>
          <w:id w:val="-964189757"/>
        </w:sdtPr>
        <w:sdtEndPr/>
        <w:sdtContent>
          <w:r w:rsidR="004A7459" w:rsidRPr="00BA79A2">
            <w:rPr>
              <w:b/>
            </w:rPr>
            <w:t>Exc2</w:t>
          </w:r>
        </w:sdtContent>
      </w:sdt>
      <w:r w:rsidR="004A7459">
        <w:t xml:space="preserve"> – estimated rate of excess mortality (sum of [observed –defined baseline] when this difference is positive) per 100,000 inhabitants.</w:t>
      </w:r>
    </w:p>
    <w:p w14:paraId="7D873236" w14:textId="77777777" w:rsidR="006C55D3" w:rsidRDefault="004A7459">
      <w:pPr>
        <w:numPr>
          <w:ilvl w:val="1"/>
          <w:numId w:val="2"/>
        </w:numPr>
        <w:spacing w:after="0"/>
      </w:pPr>
      <w:r>
        <w:t>In this figure, baselines used for excess estimation were i) median expected mortality, ii) mortality expected in average in the following month (+ 1 month); iii) mortality expected in average in three months (+ 3 months).</w:t>
      </w:r>
    </w:p>
    <w:p w14:paraId="469E3ED3" w14:textId="77777777" w:rsidR="006C55D3" w:rsidRDefault="00A06AED">
      <w:pPr>
        <w:numPr>
          <w:ilvl w:val="1"/>
          <w:numId w:val="2"/>
        </w:numPr>
        <w:spacing w:after="0"/>
      </w:pPr>
      <w:sdt>
        <w:sdtPr>
          <w:tag w:val="goog_rdk_283"/>
          <w:id w:val="308678096"/>
        </w:sdtPr>
        <w:sdtEndPr/>
        <w:sdtContent>
          <w:proofErr w:type="spellStart"/>
          <w:r w:rsidR="004A7459" w:rsidRPr="00BA79A2">
            <w:rPr>
              <w:b/>
            </w:rPr>
            <w:t>Cov-est</w:t>
          </w:r>
          <w:proofErr w:type="spellEnd"/>
        </w:sdtContent>
      </w:sdt>
      <w:r w:rsidR="004A7459">
        <w:t xml:space="preserve"> – estimated rate of Covid-19 mortality per 100,000 inhabitants.</w:t>
      </w:r>
    </w:p>
    <w:p w14:paraId="3FDCEC36" w14:textId="77777777" w:rsidR="006C55D3" w:rsidRDefault="006C55D3">
      <w:pPr>
        <w:tabs>
          <w:tab w:val="left" w:pos="1271"/>
        </w:tabs>
        <w:rPr>
          <w:rFonts w:ascii="Times New Roman" w:eastAsia="Times New Roman" w:hAnsi="Times New Roman" w:cs="Times New Roman"/>
        </w:rPr>
      </w:pPr>
    </w:p>
    <w:p w14:paraId="195E9901" w14:textId="77777777" w:rsidR="006C55D3" w:rsidRDefault="004A745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6D53807" wp14:editId="3CD31C11">
            <wp:extent cx="5982230" cy="3079314"/>
            <wp:effectExtent l="0" t="0" r="0" b="0"/>
            <wp:docPr id="5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982230" cy="3079314"/>
                    </a:xfrm>
                    <a:prstGeom prst="rect">
                      <a:avLst/>
                    </a:prstGeom>
                    <a:ln/>
                  </pic:spPr>
                </pic:pic>
              </a:graphicData>
            </a:graphic>
          </wp:inline>
        </w:drawing>
      </w:r>
    </w:p>
    <w:p w14:paraId="5D20767B" w14:textId="77777777" w:rsidR="006C55D3" w:rsidRDefault="004A7459">
      <w:pPr>
        <w:rPr>
          <w:rFonts w:ascii="Times New Roman" w:eastAsia="Times New Roman" w:hAnsi="Times New Roman" w:cs="Times New Roman"/>
          <w:sz w:val="20"/>
          <w:szCs w:val="20"/>
        </w:rPr>
      </w:pPr>
      <w:r>
        <w:rPr>
          <w:rFonts w:ascii="Times New Roman" w:eastAsia="Times New Roman" w:hAnsi="Times New Roman" w:cs="Times New Roman"/>
          <w:sz w:val="20"/>
          <w:szCs w:val="20"/>
        </w:rPr>
        <w:t>Figure S3. Graphical representation of estimated excess mortality rates and Covid-19 estimated mortality rates in relative terms, both by 100,000 inhabitants per district.</w:t>
      </w:r>
      <w:sdt>
        <w:sdtPr>
          <w:tag w:val="goog_rdk_284"/>
          <w:id w:val="828562338"/>
        </w:sdtPr>
        <w:sdtEndPr/>
        <w:sdtContent>
          <w:r>
            <w:rPr>
              <w:rFonts w:ascii="Times New Roman" w:eastAsia="Times New Roman" w:hAnsi="Times New Roman" w:cs="Times New Roman"/>
              <w:sz w:val="20"/>
              <w:szCs w:val="20"/>
            </w:rPr>
            <w:t xml:space="preserve"> Vertical blue lines represent the distance between minimum and the maximum of estimated excess mortality calculated using 3 different baselines (median, mean + 1 month and mean + 3 months)</w:t>
          </w:r>
        </w:sdtContent>
      </w:sdt>
    </w:p>
    <w:p w14:paraId="416E3296" w14:textId="09D4C63E" w:rsidR="006C55D3" w:rsidRDefault="004A7459">
      <w:r>
        <w:t>Notes for Figure S</w:t>
      </w:r>
      <w:sdt>
        <w:sdtPr>
          <w:tag w:val="goog_rdk_285"/>
          <w:id w:val="1162967675"/>
        </w:sdtPr>
        <w:sdtEndPr/>
        <w:sdtContent>
          <w:r>
            <w:t>3</w:t>
          </w:r>
        </w:sdtContent>
      </w:sdt>
      <w:sdt>
        <w:sdtPr>
          <w:tag w:val="goog_rdk_286"/>
          <w:id w:val="660974843"/>
          <w:showingPlcHdr/>
        </w:sdtPr>
        <w:sdtEndPr/>
        <w:sdtContent>
          <w:r w:rsidR="00BA79A2">
            <w:t xml:space="preserve">     </w:t>
          </w:r>
        </w:sdtContent>
      </w:sdt>
      <w:r>
        <w:t>:</w:t>
      </w:r>
    </w:p>
    <w:p w14:paraId="3B977F88" w14:textId="77777777" w:rsidR="006C55D3" w:rsidRDefault="00A06AED">
      <w:pPr>
        <w:numPr>
          <w:ilvl w:val="1"/>
          <w:numId w:val="2"/>
        </w:numPr>
        <w:pBdr>
          <w:top w:val="nil"/>
          <w:left w:val="nil"/>
          <w:bottom w:val="nil"/>
          <w:right w:val="nil"/>
          <w:between w:val="nil"/>
        </w:pBdr>
        <w:spacing w:after="0"/>
        <w:rPr>
          <w:color w:val="000000"/>
        </w:rPr>
      </w:pPr>
      <w:sdt>
        <w:sdtPr>
          <w:tag w:val="goog_rdk_287"/>
          <w:id w:val="-2104410401"/>
        </w:sdtPr>
        <w:sdtEndPr/>
        <w:sdtContent>
          <w:r w:rsidR="004A7459" w:rsidRPr="00BA79A2">
            <w:rPr>
              <w:b/>
              <w:color w:val="000000"/>
            </w:rPr>
            <w:t>Exc1</w:t>
          </w:r>
        </w:sdtContent>
      </w:sdt>
      <w:r w:rsidR="004A7459">
        <w:rPr>
          <w:color w:val="000000"/>
        </w:rPr>
        <w:t xml:space="preserve"> – estimated rate of excess mortality (sum of observed – sum of defined baseline) per 100,000 inhabitants.</w:t>
      </w:r>
    </w:p>
    <w:p w14:paraId="3E04527B" w14:textId="77777777" w:rsidR="006C55D3" w:rsidRDefault="00A06AED">
      <w:pPr>
        <w:numPr>
          <w:ilvl w:val="1"/>
          <w:numId w:val="2"/>
        </w:numPr>
        <w:pBdr>
          <w:top w:val="nil"/>
          <w:left w:val="nil"/>
          <w:bottom w:val="nil"/>
          <w:right w:val="nil"/>
          <w:between w:val="nil"/>
        </w:pBdr>
        <w:spacing w:after="0"/>
        <w:rPr>
          <w:color w:val="000000"/>
        </w:rPr>
      </w:pPr>
      <w:sdt>
        <w:sdtPr>
          <w:tag w:val="goog_rdk_288"/>
          <w:id w:val="1431779512"/>
        </w:sdtPr>
        <w:sdtEndPr/>
        <w:sdtContent>
          <w:r w:rsidR="004A7459" w:rsidRPr="00BA79A2">
            <w:rPr>
              <w:b/>
              <w:color w:val="000000"/>
            </w:rPr>
            <w:t>Exc2</w:t>
          </w:r>
        </w:sdtContent>
      </w:sdt>
      <w:r w:rsidR="004A7459">
        <w:rPr>
          <w:color w:val="000000"/>
        </w:rPr>
        <w:t xml:space="preserve"> – estimated rate of excess mortality (sum of [observed –defined baseline] when this difference is positive) per 100,000 inhabitants.</w:t>
      </w:r>
    </w:p>
    <w:p w14:paraId="46DD1CDD" w14:textId="77777777" w:rsidR="006C55D3" w:rsidRDefault="004A7459">
      <w:pPr>
        <w:numPr>
          <w:ilvl w:val="1"/>
          <w:numId w:val="2"/>
        </w:numPr>
        <w:pBdr>
          <w:top w:val="nil"/>
          <w:left w:val="nil"/>
          <w:bottom w:val="nil"/>
          <w:right w:val="nil"/>
          <w:between w:val="nil"/>
        </w:pBdr>
        <w:spacing w:after="0"/>
        <w:rPr>
          <w:color w:val="000000"/>
        </w:rPr>
      </w:pPr>
      <w:r>
        <w:rPr>
          <w:color w:val="000000"/>
        </w:rPr>
        <w:t>In this figure, baselines used for excess estimation were i) median expected mortality, ii) mortality expected in average in the following month (+ 1 month); iii) mortality expected in average in three months (+ 3 months).</w:t>
      </w:r>
    </w:p>
    <w:p w14:paraId="2BA91E82" w14:textId="77777777" w:rsidR="006C55D3" w:rsidRDefault="00A06AED">
      <w:pPr>
        <w:numPr>
          <w:ilvl w:val="1"/>
          <w:numId w:val="2"/>
        </w:numPr>
        <w:pBdr>
          <w:top w:val="nil"/>
          <w:left w:val="nil"/>
          <w:bottom w:val="nil"/>
          <w:right w:val="nil"/>
          <w:between w:val="nil"/>
        </w:pBdr>
        <w:spacing w:after="0"/>
        <w:rPr>
          <w:color w:val="000000"/>
        </w:rPr>
      </w:pPr>
      <w:sdt>
        <w:sdtPr>
          <w:tag w:val="goog_rdk_289"/>
          <w:id w:val="1174988023"/>
        </w:sdtPr>
        <w:sdtEndPr/>
        <w:sdtContent>
          <w:proofErr w:type="spellStart"/>
          <w:r w:rsidR="004A7459" w:rsidRPr="00BA79A2">
            <w:rPr>
              <w:b/>
              <w:color w:val="000000"/>
            </w:rPr>
            <w:t>Cov-est</w:t>
          </w:r>
          <w:proofErr w:type="spellEnd"/>
        </w:sdtContent>
      </w:sdt>
      <w:r w:rsidR="004A7459">
        <w:rPr>
          <w:color w:val="000000"/>
        </w:rPr>
        <w:t xml:space="preserve"> – estimated rate of Covid-19 mortality per 100,000 inhabitants.</w:t>
      </w:r>
    </w:p>
    <w:p w14:paraId="12041B00" w14:textId="77777777" w:rsidR="006C55D3" w:rsidRDefault="004A7459">
      <w:pPr>
        <w:numPr>
          <w:ilvl w:val="1"/>
          <w:numId w:val="2"/>
        </w:numPr>
        <w:pBdr>
          <w:top w:val="nil"/>
          <w:left w:val="nil"/>
          <w:bottom w:val="nil"/>
          <w:right w:val="nil"/>
          <w:between w:val="nil"/>
        </w:pBdr>
        <w:spacing w:after="0"/>
        <w:rPr>
          <w:color w:val="000000"/>
        </w:rPr>
      </w:pPr>
      <w:r>
        <w:rPr>
          <w:color w:val="000000"/>
        </w:rPr>
        <w:t xml:space="preserve">Covid-19 mortality was estimated from municipal cases reported by DGS using three hypothetical death rates (2%, 2.7% and 3%). </w:t>
      </w:r>
    </w:p>
    <w:p w14:paraId="451D33E2" w14:textId="77777777" w:rsidR="00BA79A2" w:rsidRDefault="00BA79A2">
      <w:pPr>
        <w:spacing w:before="240" w:after="240"/>
        <w:jc w:val="both"/>
        <w:rPr>
          <w:u w:val="single"/>
        </w:rPr>
      </w:pPr>
    </w:p>
    <w:p w14:paraId="428C8433" w14:textId="6B249D20" w:rsidR="006C55D3" w:rsidRDefault="004A7459">
      <w:pPr>
        <w:spacing w:before="240" w:after="240"/>
        <w:jc w:val="both"/>
        <w:rPr>
          <w:u w:val="single"/>
        </w:rPr>
      </w:pPr>
      <w:r>
        <w:rPr>
          <w:u w:val="single"/>
        </w:rPr>
        <w:lastRenderedPageBreak/>
        <w:t xml:space="preserve">Estimate of the potential impact in mortality due to reduction of daily-rate hospital </w:t>
      </w:r>
      <w:sdt>
        <w:sdtPr>
          <w:tag w:val="goog_rdk_290"/>
          <w:id w:val="1357085095"/>
        </w:sdtPr>
        <w:sdtEndPr/>
        <w:sdtContent>
          <w:r>
            <w:rPr>
              <w:u w:val="single"/>
            </w:rPr>
            <w:t>ED</w:t>
          </w:r>
          <w:r w:rsidR="00BA79A2">
            <w:rPr>
              <w:u w:val="single"/>
            </w:rPr>
            <w:t xml:space="preserve"> visits between March 1 – April 7</w:t>
          </w:r>
        </w:sdtContent>
      </w:sdt>
    </w:p>
    <w:p w14:paraId="23B87105" w14:textId="6C420BB6" w:rsidR="006C55D3" w:rsidRDefault="004A7459">
      <w:pPr>
        <w:spacing w:before="240" w:after="240"/>
        <w:jc w:val="both"/>
      </w:pPr>
      <w:r>
        <w:t xml:space="preserve">We retrieved the data on </w:t>
      </w:r>
      <w:sdt>
        <w:sdtPr>
          <w:tag w:val="goog_rdk_292"/>
          <w:id w:val="-183450546"/>
        </w:sdtPr>
        <w:sdtEndPr/>
        <w:sdtContent>
          <w:r>
            <w:t>ED</w:t>
          </w:r>
        </w:sdtContent>
      </w:sdt>
      <w:sdt>
        <w:sdtPr>
          <w:tag w:val="goog_rdk_293"/>
          <w:id w:val="1053809242"/>
          <w:showingPlcHdr/>
        </w:sdtPr>
        <w:sdtEndPr/>
        <w:sdtContent>
          <w:r w:rsidR="00BA79A2">
            <w:t xml:space="preserve">     </w:t>
          </w:r>
        </w:sdtContent>
      </w:sdt>
      <w:r>
        <w:t xml:space="preserve"> visits according to the Manchester Triage System</w:t>
      </w:r>
      <w:r w:rsidRPr="00BA79A2">
        <w:rPr>
          <w:vertAlign w:val="superscript"/>
        </w:rPr>
        <w:t>1</w:t>
      </w:r>
      <w:r>
        <w:t xml:space="preserve"> from a public database</w:t>
      </w:r>
      <w:r w:rsidR="00BA79A2">
        <w:t>.</w:t>
      </w:r>
      <w:r w:rsidRPr="00BA79A2">
        <w:rPr>
          <w:vertAlign w:val="superscript"/>
        </w:rPr>
        <w:t>2</w:t>
      </w:r>
      <w:r>
        <w:t xml:space="preserve"> The estimate was performed in 3 steps:</w:t>
      </w:r>
    </w:p>
    <w:p w14:paraId="75D49425" w14:textId="77777777" w:rsidR="006C55D3" w:rsidRDefault="004A7459">
      <w:pPr>
        <w:spacing w:before="240" w:after="240"/>
        <w:jc w:val="both"/>
      </w:pPr>
      <w:r>
        <w:t>Step 1- Three-day centered average counts of the daily visits between March 1 - April 7 were estimated as illustrated by Figure S4;</w:t>
      </w:r>
    </w:p>
    <w:p w14:paraId="77444CA5" w14:textId="7E126920" w:rsidR="006C55D3" w:rsidRDefault="00A06AED">
      <w:pPr>
        <w:spacing w:before="240" w:after="240"/>
        <w:jc w:val="both"/>
        <w:rPr>
          <w:rFonts w:ascii="Times New Roman" w:eastAsia="Times New Roman" w:hAnsi="Times New Roman" w:cs="Times New Roman"/>
        </w:rPr>
      </w:pPr>
      <w:sdt>
        <w:sdtPr>
          <w:tag w:val="goog_rdk_295"/>
          <w:id w:val="416445168"/>
          <w:showingPlcHdr/>
        </w:sdtPr>
        <w:sdtEndPr/>
        <w:sdtContent>
          <w:r w:rsidR="00BA79A2">
            <w:t xml:space="preserve">     </w:t>
          </w:r>
        </w:sdtContent>
      </w:sdt>
      <w:sdt>
        <w:sdtPr>
          <w:tag w:val="goog_rdk_296"/>
          <w:id w:val="-884023672"/>
        </w:sdtPr>
        <w:sdtEndPr/>
        <w:sdtContent>
          <w:r w:rsidR="004A7459">
            <w:rPr>
              <w:rFonts w:ascii="Times New Roman" w:eastAsia="Times New Roman" w:hAnsi="Times New Roman" w:cs="Times New Roman"/>
              <w:noProof/>
            </w:rPr>
            <w:drawing>
              <wp:inline distT="114300" distB="114300" distL="114300" distR="114300" wp14:anchorId="2B4886A6" wp14:editId="18625BB5">
                <wp:extent cx="5402580" cy="3924300"/>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402580" cy="3924300"/>
                        </a:xfrm>
                        <a:prstGeom prst="rect">
                          <a:avLst/>
                        </a:prstGeom>
                        <a:ln/>
                      </pic:spPr>
                    </pic:pic>
                  </a:graphicData>
                </a:graphic>
              </wp:inline>
            </w:drawing>
          </w:r>
        </w:sdtContent>
      </w:sdt>
    </w:p>
    <w:p w14:paraId="123D43DD" w14:textId="29751C8A" w:rsidR="006C55D3" w:rsidRDefault="004A7459">
      <w:pPr>
        <w:spacing w:before="240" w:after="240"/>
        <w:jc w:val="both"/>
        <w:rPr>
          <w:sz w:val="20"/>
          <w:szCs w:val="20"/>
        </w:rPr>
      </w:pPr>
      <w:r>
        <w:rPr>
          <w:sz w:val="20"/>
          <w:szCs w:val="20"/>
        </w:rPr>
        <w:t xml:space="preserve">Figure S4. </w:t>
      </w:r>
      <w:sdt>
        <w:sdtPr>
          <w:tag w:val="goog_rdk_297"/>
          <w:id w:val="1709769240"/>
        </w:sdtPr>
        <w:sdtEndPr/>
        <w:sdtContent>
          <w:r>
            <w:rPr>
              <w:sz w:val="20"/>
              <w:szCs w:val="20"/>
            </w:rPr>
            <w:t>ED</w:t>
          </w:r>
        </w:sdtContent>
      </w:sdt>
      <w:r w:rsidR="00BA79A2">
        <w:t xml:space="preserve"> </w:t>
      </w:r>
      <w:r>
        <w:rPr>
          <w:sz w:val="20"/>
          <w:szCs w:val="20"/>
        </w:rPr>
        <w:t>visits between March 1 - April 7 in Portugal Mainland (counts, 3-day centered averages). Color lines according to the 5-point scale of the Manchester Triage System in crescent order of severity: Blue, Green, Yellow, Orange, Red.</w:t>
      </w:r>
      <w:r w:rsidR="00BA79A2">
        <w:rPr>
          <w:sz w:val="20"/>
          <w:szCs w:val="20"/>
          <w:vertAlign w:val="superscript"/>
        </w:rPr>
        <w:t>1</w:t>
      </w:r>
      <w:r>
        <w:rPr>
          <w:sz w:val="20"/>
          <w:szCs w:val="20"/>
        </w:rPr>
        <w:t xml:space="preserve"> </w:t>
      </w:r>
    </w:p>
    <w:sdt>
      <w:sdtPr>
        <w:tag w:val="goog_rdk_303"/>
        <w:id w:val="-1326504251"/>
      </w:sdtPr>
      <w:sdtEndPr/>
      <w:sdtContent>
        <w:p w14:paraId="53613ABE" w14:textId="28CB250D" w:rsidR="006C55D3" w:rsidRDefault="004A7459">
          <w:pPr>
            <w:spacing w:before="240" w:after="240"/>
            <w:jc w:val="both"/>
            <w:rPr>
              <w:rFonts w:ascii="Times New Roman" w:eastAsia="Times New Roman" w:hAnsi="Times New Roman" w:cs="Times New Roman"/>
            </w:rPr>
          </w:pPr>
          <w:r>
            <w:rPr>
              <w:rFonts w:ascii="Times New Roman" w:eastAsia="Times New Roman" w:hAnsi="Times New Roman" w:cs="Times New Roman"/>
            </w:rPr>
            <w:t>Step 2- The difference between those daily averages estimated in Step 1 was calculated fo</w:t>
          </w:r>
          <w:sdt>
            <w:sdtPr>
              <w:tag w:val="goog_rdk_299"/>
              <w:id w:val="-236483772"/>
            </w:sdtPr>
            <w:sdtEndPr/>
            <w:sdtContent>
              <w:r>
                <w:rPr>
                  <w:rFonts w:ascii="Times New Roman" w:eastAsia="Times New Roman" w:hAnsi="Times New Roman" w:cs="Times New Roman"/>
                </w:rPr>
                <w:t>r</w:t>
              </w:r>
            </w:sdtContent>
          </w:sdt>
          <w:r>
            <w:rPr>
              <w:rFonts w:ascii="Times New Roman" w:eastAsia="Times New Roman" w:hAnsi="Times New Roman" w:cs="Times New Roman"/>
            </w:rPr>
            <w:t xml:space="preserve"> the same period for each Manchester System Triage color as demonstrated in Table </w:t>
          </w:r>
          <w:r w:rsidR="00BA79A2">
            <w:rPr>
              <w:rFonts w:ascii="Times New Roman" w:eastAsia="Times New Roman" w:hAnsi="Times New Roman" w:cs="Times New Roman"/>
            </w:rPr>
            <w:t>S</w:t>
          </w:r>
          <w:sdt>
            <w:sdtPr>
              <w:tag w:val="goog_rdk_301"/>
              <w:id w:val="-963571653"/>
            </w:sdtPr>
            <w:sdtEndPr/>
            <w:sdtContent>
              <w:r>
                <w:rPr>
                  <w:rFonts w:ascii="Times New Roman" w:eastAsia="Times New Roman" w:hAnsi="Times New Roman" w:cs="Times New Roman"/>
                </w:rPr>
                <w:t>1</w:t>
              </w:r>
            </w:sdtContent>
          </w:sdt>
          <w:r>
            <w:rPr>
              <w:rFonts w:ascii="Times New Roman" w:eastAsia="Times New Roman" w:hAnsi="Times New Roman" w:cs="Times New Roman"/>
            </w:rPr>
            <w:t>;</w:t>
          </w:r>
          <w:sdt>
            <w:sdtPr>
              <w:tag w:val="goog_rdk_302"/>
              <w:id w:val="-240175871"/>
            </w:sdtPr>
            <w:sdtEndPr/>
            <w:sdtContent/>
          </w:sdt>
        </w:p>
      </w:sdtContent>
    </w:sdt>
    <w:p w14:paraId="54177379" w14:textId="14592FC7" w:rsidR="006C55D3" w:rsidRDefault="00A06AED">
      <w:pPr>
        <w:spacing w:before="240" w:after="240"/>
        <w:jc w:val="both"/>
        <w:rPr>
          <w:rFonts w:ascii="Times New Roman" w:eastAsia="Times New Roman" w:hAnsi="Times New Roman" w:cs="Times New Roman"/>
        </w:rPr>
      </w:pPr>
      <w:sdt>
        <w:sdtPr>
          <w:tag w:val="goog_rdk_304"/>
          <w:id w:val="-1526779674"/>
        </w:sdtPr>
        <w:sdtEndPr/>
        <w:sdtContent>
          <w:r w:rsidR="004A7459">
            <w:rPr>
              <w:rFonts w:ascii="Times New Roman" w:eastAsia="Times New Roman" w:hAnsi="Times New Roman" w:cs="Times New Roman"/>
            </w:rPr>
            <w:t>We calculated the drop on the number of ED visits, according to the Manchester System Triage color in the following manner: for each triage color, we calculate the 3-day average in the beginning of march (1</w:t>
          </w:r>
          <w:r w:rsidR="004A7459" w:rsidRPr="00BA79A2">
            <w:rPr>
              <w:rFonts w:ascii="Times New Roman" w:eastAsia="Times New Roman" w:hAnsi="Times New Roman" w:cs="Times New Roman"/>
              <w:vertAlign w:val="superscript"/>
            </w:rPr>
            <w:t>st</w:t>
          </w:r>
          <w:r w:rsidR="004A7459">
            <w:rPr>
              <w:rFonts w:ascii="Times New Roman" w:eastAsia="Times New Roman" w:hAnsi="Times New Roman" w:cs="Times New Roman"/>
            </w:rPr>
            <w:t xml:space="preserve"> to 3</w:t>
          </w:r>
          <w:r w:rsidR="004A7459" w:rsidRPr="00BA79A2">
            <w:rPr>
              <w:rFonts w:ascii="Times New Roman" w:eastAsia="Times New Roman" w:hAnsi="Times New Roman" w:cs="Times New Roman"/>
              <w:vertAlign w:val="superscript"/>
            </w:rPr>
            <w:t>rd</w:t>
          </w:r>
          <w:r w:rsidR="004A7459">
            <w:rPr>
              <w:rFonts w:ascii="Times New Roman" w:eastAsia="Times New Roman" w:hAnsi="Times New Roman" w:cs="Times New Roman"/>
            </w:rPr>
            <w:t xml:space="preserve"> of march) (Step 1, Figure S4). From day 3 forward, within each color, we calculated the difference between the number of each day visits (3-day centered averages) and the 3-day average in the beginning of march (reference). The total number of visits presented in Table S1 (‘Difference between daily averages’) correspond to the sum of these daily differences, according to the triage color.</w:t>
          </w:r>
        </w:sdtContent>
      </w:sdt>
    </w:p>
    <w:p w14:paraId="22B5CABE" w14:textId="5A66D12F" w:rsidR="006C55D3" w:rsidRDefault="004A7459">
      <w:pPr>
        <w:spacing w:before="240" w:after="240"/>
        <w:jc w:val="both"/>
        <w:rPr>
          <w:rFonts w:ascii="Times New Roman" w:eastAsia="Times New Roman" w:hAnsi="Times New Roman" w:cs="Times New Roman"/>
        </w:rPr>
      </w:pPr>
      <w:r>
        <w:rPr>
          <w:rFonts w:ascii="Times New Roman" w:eastAsia="Times New Roman" w:hAnsi="Times New Roman" w:cs="Times New Roman"/>
        </w:rPr>
        <w:t>Step 3- The values obtained in step 2 for each Manchester System Triage color were multiplied by the correspondent death rate estimated from data of a Portuguese large hospital</w:t>
      </w:r>
      <w:r w:rsidRPr="00BA79A2">
        <w:rPr>
          <w:rFonts w:ascii="Times New Roman" w:eastAsia="Times New Roman" w:hAnsi="Times New Roman" w:cs="Times New Roman"/>
          <w:vertAlign w:val="superscript"/>
        </w:rPr>
        <w:t>2</w:t>
      </w:r>
      <w:r>
        <w:rPr>
          <w:rFonts w:ascii="Times New Roman" w:eastAsia="Times New Roman" w:hAnsi="Times New Roman" w:cs="Times New Roman"/>
        </w:rPr>
        <w:t xml:space="preserve"> and the values summed representing the number of potential deaths (Table S</w:t>
      </w:r>
      <w:sdt>
        <w:sdtPr>
          <w:tag w:val="goog_rdk_306"/>
          <w:id w:val="-1305385639"/>
        </w:sdtPr>
        <w:sdtEndPr/>
        <w:sdtContent>
          <w:r>
            <w:rPr>
              <w:rFonts w:ascii="Times New Roman" w:eastAsia="Times New Roman" w:hAnsi="Times New Roman" w:cs="Times New Roman"/>
            </w:rPr>
            <w:t>1</w:t>
          </w:r>
        </w:sdtContent>
      </w:sdt>
      <w:r>
        <w:rPr>
          <w:rFonts w:ascii="Times New Roman" w:eastAsia="Times New Roman" w:hAnsi="Times New Roman" w:cs="Times New Roman"/>
        </w:rPr>
        <w:t xml:space="preserve">).   </w:t>
      </w:r>
    </w:p>
    <w:tbl>
      <w:tblPr>
        <w:tblStyle w:val="a8"/>
        <w:tblW w:w="7160" w:type="dxa"/>
        <w:tblInd w:w="0" w:type="dxa"/>
        <w:tblLayout w:type="fixed"/>
        <w:tblLook w:val="0400" w:firstRow="0" w:lastRow="0" w:firstColumn="0" w:lastColumn="0" w:noHBand="0" w:noVBand="1"/>
      </w:tblPr>
      <w:tblGrid>
        <w:gridCol w:w="1640"/>
        <w:gridCol w:w="1840"/>
        <w:gridCol w:w="1840"/>
        <w:gridCol w:w="1840"/>
      </w:tblGrid>
      <w:tr w:rsidR="006C55D3" w14:paraId="7FA69F13" w14:textId="77777777">
        <w:trPr>
          <w:trHeight w:val="220"/>
        </w:trPr>
        <w:tc>
          <w:tcPr>
            <w:tcW w:w="7160" w:type="dxa"/>
            <w:gridSpan w:val="4"/>
            <w:tcBorders>
              <w:top w:val="nil"/>
              <w:left w:val="nil"/>
              <w:bottom w:val="nil"/>
              <w:right w:val="nil"/>
            </w:tcBorders>
            <w:shd w:val="clear" w:color="auto" w:fill="auto"/>
            <w:vAlign w:val="bottom"/>
          </w:tcPr>
          <w:p w14:paraId="42B6F375" w14:textId="3743541A" w:rsidR="006C55D3" w:rsidRDefault="004A7459">
            <w:pPr>
              <w:spacing w:before="240" w:after="240"/>
              <w:rPr>
                <w:rFonts w:ascii="Times New Roman" w:eastAsia="Times New Roman" w:hAnsi="Times New Roman" w:cs="Times New Roman"/>
                <w:sz w:val="20"/>
                <w:szCs w:val="20"/>
              </w:rPr>
            </w:pPr>
            <w:r>
              <w:rPr>
                <w:b/>
              </w:rPr>
              <w:lastRenderedPageBreak/>
              <w:t>Table S</w:t>
            </w:r>
            <w:sdt>
              <w:sdtPr>
                <w:tag w:val="goog_rdk_307"/>
                <w:id w:val="1407191739"/>
              </w:sdtPr>
              <w:sdtEndPr/>
              <w:sdtContent>
                <w:r>
                  <w:rPr>
                    <w:b/>
                  </w:rPr>
                  <w:t>1</w:t>
                </w:r>
              </w:sdtContent>
            </w:sdt>
            <w:r>
              <w:t xml:space="preserve">. Average difference in </w:t>
            </w:r>
            <w:sdt>
              <w:sdtPr>
                <w:tag w:val="goog_rdk_308"/>
                <w:id w:val="-498117819"/>
              </w:sdtPr>
              <w:sdtEndPr/>
              <w:sdtContent>
                <w:r>
                  <w:t>ED</w:t>
                </w:r>
              </w:sdtContent>
            </w:sdt>
            <w:sdt>
              <w:sdtPr>
                <w:tag w:val="goog_rdk_309"/>
                <w:id w:val="-959412838"/>
              </w:sdtPr>
              <w:sdtEndPr/>
              <w:sdtContent>
                <w:r w:rsidR="00BA79A2">
                  <w:t xml:space="preserve"> </w:t>
                </w:r>
              </w:sdtContent>
            </w:sdt>
            <w:r>
              <w:t>visits between March 1 and April 7 in Portugal Mainland according to the Manchester Triage System.</w:t>
            </w:r>
          </w:p>
        </w:tc>
      </w:tr>
      <w:tr w:rsidR="006C55D3" w14:paraId="2565DD92" w14:textId="77777777">
        <w:tc>
          <w:tcPr>
            <w:tcW w:w="1640" w:type="dxa"/>
            <w:tcBorders>
              <w:top w:val="nil"/>
              <w:left w:val="nil"/>
              <w:bottom w:val="nil"/>
              <w:right w:val="nil"/>
            </w:tcBorders>
            <w:shd w:val="clear" w:color="auto" w:fill="auto"/>
            <w:vAlign w:val="bottom"/>
          </w:tcPr>
          <w:p w14:paraId="3631985C" w14:textId="77777777" w:rsidR="006C55D3" w:rsidRDefault="006C55D3">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vAlign w:val="bottom"/>
          </w:tcPr>
          <w:p w14:paraId="27AED006" w14:textId="77777777" w:rsidR="006C55D3" w:rsidRDefault="004A7459">
            <w:pPr>
              <w:spacing w:after="0" w:line="240" w:lineRule="auto"/>
              <w:jc w:val="center"/>
              <w:rPr>
                <w:b/>
                <w:sz w:val="20"/>
                <w:szCs w:val="20"/>
              </w:rPr>
            </w:pPr>
            <w:r>
              <w:rPr>
                <w:b/>
                <w:sz w:val="20"/>
                <w:szCs w:val="20"/>
              </w:rPr>
              <w:t>Step 2</w:t>
            </w:r>
          </w:p>
        </w:tc>
        <w:tc>
          <w:tcPr>
            <w:tcW w:w="1840" w:type="dxa"/>
            <w:tcBorders>
              <w:top w:val="nil"/>
              <w:left w:val="nil"/>
              <w:bottom w:val="nil"/>
              <w:right w:val="nil"/>
            </w:tcBorders>
            <w:shd w:val="clear" w:color="auto" w:fill="auto"/>
            <w:vAlign w:val="bottom"/>
          </w:tcPr>
          <w:p w14:paraId="786F3E68" w14:textId="77777777" w:rsidR="006C55D3" w:rsidRDefault="006C55D3">
            <w:pPr>
              <w:spacing w:after="0" w:line="240" w:lineRule="auto"/>
              <w:jc w:val="center"/>
              <w:rPr>
                <w:b/>
                <w:sz w:val="20"/>
                <w:szCs w:val="20"/>
              </w:rPr>
            </w:pPr>
          </w:p>
        </w:tc>
        <w:tc>
          <w:tcPr>
            <w:tcW w:w="1840" w:type="dxa"/>
            <w:tcBorders>
              <w:top w:val="nil"/>
              <w:left w:val="nil"/>
              <w:bottom w:val="nil"/>
              <w:right w:val="nil"/>
            </w:tcBorders>
            <w:shd w:val="clear" w:color="auto" w:fill="auto"/>
            <w:vAlign w:val="bottom"/>
          </w:tcPr>
          <w:p w14:paraId="5EBA1FE1" w14:textId="77777777" w:rsidR="006C55D3" w:rsidRDefault="004A7459">
            <w:pPr>
              <w:spacing w:after="0" w:line="240" w:lineRule="auto"/>
              <w:jc w:val="center"/>
              <w:rPr>
                <w:b/>
                <w:sz w:val="20"/>
                <w:szCs w:val="20"/>
              </w:rPr>
            </w:pPr>
            <w:r>
              <w:rPr>
                <w:b/>
                <w:sz w:val="20"/>
                <w:szCs w:val="20"/>
              </w:rPr>
              <w:t>Step 3</w:t>
            </w:r>
          </w:p>
        </w:tc>
      </w:tr>
      <w:tr w:rsidR="006C55D3" w14:paraId="4545CECB" w14:textId="77777777">
        <w:trPr>
          <w:trHeight w:val="285"/>
        </w:trPr>
        <w:tc>
          <w:tcPr>
            <w:tcW w:w="1640" w:type="dxa"/>
            <w:tcBorders>
              <w:top w:val="single" w:sz="4" w:space="0" w:color="000000"/>
              <w:left w:val="nil"/>
              <w:bottom w:val="single" w:sz="4" w:space="0" w:color="000000"/>
              <w:right w:val="nil"/>
            </w:tcBorders>
            <w:shd w:val="clear" w:color="auto" w:fill="auto"/>
            <w:vAlign w:val="bottom"/>
          </w:tcPr>
          <w:p w14:paraId="4FF1F3EB" w14:textId="77777777" w:rsidR="006C55D3" w:rsidRDefault="004A7459">
            <w:pPr>
              <w:spacing w:after="0" w:line="240" w:lineRule="auto"/>
              <w:rPr>
                <w:b/>
                <w:sz w:val="20"/>
                <w:szCs w:val="20"/>
              </w:rPr>
            </w:pPr>
            <w:r>
              <w:rPr>
                <w:b/>
                <w:sz w:val="20"/>
                <w:szCs w:val="20"/>
              </w:rPr>
              <w:t>Manchester Triage System</w:t>
            </w:r>
          </w:p>
        </w:tc>
        <w:tc>
          <w:tcPr>
            <w:tcW w:w="1840" w:type="dxa"/>
            <w:tcBorders>
              <w:top w:val="single" w:sz="4" w:space="0" w:color="000000"/>
              <w:left w:val="nil"/>
              <w:bottom w:val="single" w:sz="4" w:space="0" w:color="000000"/>
              <w:right w:val="nil"/>
            </w:tcBorders>
            <w:shd w:val="clear" w:color="auto" w:fill="auto"/>
            <w:vAlign w:val="bottom"/>
          </w:tcPr>
          <w:p w14:paraId="10275BF6" w14:textId="77777777" w:rsidR="006C55D3" w:rsidRDefault="004A7459">
            <w:pPr>
              <w:spacing w:after="0" w:line="240" w:lineRule="auto"/>
              <w:jc w:val="center"/>
              <w:rPr>
                <w:b/>
                <w:sz w:val="20"/>
                <w:szCs w:val="20"/>
              </w:rPr>
            </w:pPr>
            <w:r>
              <w:rPr>
                <w:b/>
                <w:sz w:val="20"/>
                <w:szCs w:val="20"/>
              </w:rPr>
              <w:t>Difference between daily averages</w:t>
            </w:r>
          </w:p>
        </w:tc>
        <w:tc>
          <w:tcPr>
            <w:tcW w:w="1840" w:type="dxa"/>
            <w:tcBorders>
              <w:top w:val="single" w:sz="4" w:space="0" w:color="000000"/>
              <w:left w:val="nil"/>
              <w:bottom w:val="single" w:sz="4" w:space="0" w:color="000000"/>
              <w:right w:val="nil"/>
            </w:tcBorders>
            <w:shd w:val="clear" w:color="auto" w:fill="auto"/>
            <w:vAlign w:val="bottom"/>
          </w:tcPr>
          <w:p w14:paraId="50FF9AD2" w14:textId="77777777" w:rsidR="006C55D3" w:rsidRDefault="004A7459">
            <w:pPr>
              <w:spacing w:after="0" w:line="240" w:lineRule="auto"/>
              <w:jc w:val="center"/>
              <w:rPr>
                <w:b/>
                <w:sz w:val="20"/>
                <w:szCs w:val="20"/>
              </w:rPr>
            </w:pPr>
            <w:r>
              <w:rPr>
                <w:b/>
                <w:sz w:val="20"/>
                <w:szCs w:val="20"/>
              </w:rPr>
              <w:t xml:space="preserve">Death rate* </w:t>
            </w:r>
          </w:p>
        </w:tc>
        <w:tc>
          <w:tcPr>
            <w:tcW w:w="1840" w:type="dxa"/>
            <w:tcBorders>
              <w:top w:val="single" w:sz="4" w:space="0" w:color="000000"/>
              <w:left w:val="nil"/>
              <w:bottom w:val="single" w:sz="4" w:space="0" w:color="000000"/>
              <w:right w:val="nil"/>
            </w:tcBorders>
            <w:shd w:val="clear" w:color="auto" w:fill="auto"/>
            <w:vAlign w:val="bottom"/>
          </w:tcPr>
          <w:p w14:paraId="78E35BCD" w14:textId="77777777" w:rsidR="006C55D3" w:rsidRDefault="004A7459">
            <w:pPr>
              <w:spacing w:after="0" w:line="240" w:lineRule="auto"/>
              <w:jc w:val="center"/>
              <w:rPr>
                <w:b/>
                <w:sz w:val="20"/>
                <w:szCs w:val="20"/>
              </w:rPr>
            </w:pPr>
            <w:r>
              <w:rPr>
                <w:b/>
                <w:sz w:val="20"/>
                <w:szCs w:val="20"/>
              </w:rPr>
              <w:t>N potential deaths (step 2 * death rate)</w:t>
            </w:r>
          </w:p>
        </w:tc>
      </w:tr>
      <w:tr w:rsidR="006C55D3" w14:paraId="4D635F04" w14:textId="77777777">
        <w:trPr>
          <w:trHeight w:val="285"/>
        </w:trPr>
        <w:tc>
          <w:tcPr>
            <w:tcW w:w="1640" w:type="dxa"/>
            <w:tcBorders>
              <w:top w:val="nil"/>
              <w:left w:val="nil"/>
              <w:bottom w:val="nil"/>
              <w:right w:val="nil"/>
            </w:tcBorders>
            <w:shd w:val="clear" w:color="auto" w:fill="auto"/>
            <w:vAlign w:val="bottom"/>
          </w:tcPr>
          <w:p w14:paraId="221B1D63" w14:textId="77777777" w:rsidR="006C55D3" w:rsidRDefault="004A7459">
            <w:pPr>
              <w:spacing w:after="0" w:line="240" w:lineRule="auto"/>
              <w:rPr>
                <w:sz w:val="20"/>
                <w:szCs w:val="20"/>
              </w:rPr>
            </w:pPr>
            <w:r>
              <w:rPr>
                <w:sz w:val="20"/>
                <w:szCs w:val="20"/>
              </w:rPr>
              <w:t>Red color</w:t>
            </w:r>
          </w:p>
        </w:tc>
        <w:tc>
          <w:tcPr>
            <w:tcW w:w="1840" w:type="dxa"/>
            <w:tcBorders>
              <w:top w:val="nil"/>
              <w:left w:val="nil"/>
              <w:bottom w:val="nil"/>
              <w:right w:val="nil"/>
            </w:tcBorders>
            <w:shd w:val="clear" w:color="auto" w:fill="auto"/>
            <w:vAlign w:val="bottom"/>
          </w:tcPr>
          <w:p w14:paraId="05431810" w14:textId="77777777" w:rsidR="006C55D3" w:rsidRDefault="004A7459">
            <w:pPr>
              <w:spacing w:after="0" w:line="240" w:lineRule="auto"/>
              <w:jc w:val="center"/>
              <w:rPr>
                <w:sz w:val="20"/>
                <w:szCs w:val="20"/>
              </w:rPr>
            </w:pPr>
            <w:r>
              <w:rPr>
                <w:sz w:val="20"/>
                <w:szCs w:val="20"/>
              </w:rPr>
              <w:t>|- 517|</w:t>
            </w:r>
          </w:p>
        </w:tc>
        <w:tc>
          <w:tcPr>
            <w:tcW w:w="1840" w:type="dxa"/>
            <w:tcBorders>
              <w:top w:val="nil"/>
              <w:left w:val="nil"/>
              <w:bottom w:val="nil"/>
              <w:right w:val="nil"/>
            </w:tcBorders>
            <w:shd w:val="clear" w:color="auto" w:fill="auto"/>
            <w:vAlign w:val="bottom"/>
          </w:tcPr>
          <w:p w14:paraId="79FEE105" w14:textId="77777777" w:rsidR="006C55D3" w:rsidRDefault="004A7459">
            <w:pPr>
              <w:spacing w:after="0" w:line="240" w:lineRule="auto"/>
              <w:jc w:val="center"/>
              <w:rPr>
                <w:sz w:val="20"/>
                <w:szCs w:val="20"/>
              </w:rPr>
            </w:pPr>
            <w:r>
              <w:rPr>
                <w:sz w:val="20"/>
                <w:szCs w:val="20"/>
              </w:rPr>
              <w:t>10.3 %</w:t>
            </w:r>
          </w:p>
        </w:tc>
        <w:tc>
          <w:tcPr>
            <w:tcW w:w="1840" w:type="dxa"/>
            <w:tcBorders>
              <w:top w:val="nil"/>
              <w:left w:val="nil"/>
              <w:bottom w:val="nil"/>
              <w:right w:val="nil"/>
            </w:tcBorders>
            <w:shd w:val="clear" w:color="auto" w:fill="auto"/>
            <w:vAlign w:val="bottom"/>
          </w:tcPr>
          <w:p w14:paraId="420B7A65" w14:textId="77777777" w:rsidR="006C55D3" w:rsidRDefault="004A7459">
            <w:pPr>
              <w:spacing w:after="0" w:line="240" w:lineRule="auto"/>
              <w:jc w:val="center"/>
              <w:rPr>
                <w:sz w:val="20"/>
                <w:szCs w:val="20"/>
              </w:rPr>
            </w:pPr>
            <w:r>
              <w:rPr>
                <w:sz w:val="20"/>
                <w:szCs w:val="20"/>
              </w:rPr>
              <w:t>53</w:t>
            </w:r>
          </w:p>
        </w:tc>
      </w:tr>
      <w:tr w:rsidR="006C55D3" w14:paraId="7E925216" w14:textId="77777777">
        <w:trPr>
          <w:trHeight w:val="285"/>
        </w:trPr>
        <w:tc>
          <w:tcPr>
            <w:tcW w:w="1640" w:type="dxa"/>
            <w:tcBorders>
              <w:top w:val="nil"/>
              <w:left w:val="nil"/>
              <w:bottom w:val="nil"/>
              <w:right w:val="nil"/>
            </w:tcBorders>
            <w:shd w:val="clear" w:color="auto" w:fill="auto"/>
            <w:vAlign w:val="bottom"/>
          </w:tcPr>
          <w:p w14:paraId="7840ECA0" w14:textId="77777777" w:rsidR="006C55D3" w:rsidRDefault="004A7459">
            <w:pPr>
              <w:spacing w:after="0" w:line="240" w:lineRule="auto"/>
              <w:rPr>
                <w:sz w:val="20"/>
                <w:szCs w:val="20"/>
              </w:rPr>
            </w:pPr>
            <w:r>
              <w:rPr>
                <w:sz w:val="20"/>
                <w:szCs w:val="20"/>
              </w:rPr>
              <w:t>Orange color</w:t>
            </w:r>
          </w:p>
        </w:tc>
        <w:tc>
          <w:tcPr>
            <w:tcW w:w="1840" w:type="dxa"/>
            <w:tcBorders>
              <w:top w:val="nil"/>
              <w:left w:val="nil"/>
              <w:bottom w:val="nil"/>
              <w:right w:val="nil"/>
            </w:tcBorders>
            <w:shd w:val="clear" w:color="auto" w:fill="auto"/>
            <w:vAlign w:val="bottom"/>
          </w:tcPr>
          <w:p w14:paraId="6DC29D99" w14:textId="77777777" w:rsidR="006C55D3" w:rsidRDefault="004A7459">
            <w:pPr>
              <w:spacing w:after="0" w:line="240" w:lineRule="auto"/>
              <w:jc w:val="center"/>
              <w:rPr>
                <w:sz w:val="20"/>
                <w:szCs w:val="20"/>
              </w:rPr>
            </w:pPr>
            <w:r>
              <w:rPr>
                <w:sz w:val="20"/>
                <w:szCs w:val="20"/>
              </w:rPr>
              <w:t>|-19457|</w:t>
            </w:r>
          </w:p>
        </w:tc>
        <w:tc>
          <w:tcPr>
            <w:tcW w:w="1840" w:type="dxa"/>
            <w:tcBorders>
              <w:top w:val="nil"/>
              <w:left w:val="nil"/>
              <w:bottom w:val="nil"/>
              <w:right w:val="nil"/>
            </w:tcBorders>
            <w:shd w:val="clear" w:color="auto" w:fill="auto"/>
            <w:vAlign w:val="bottom"/>
          </w:tcPr>
          <w:p w14:paraId="5E24F0F0" w14:textId="77777777" w:rsidR="006C55D3" w:rsidRDefault="004A7459">
            <w:pPr>
              <w:spacing w:after="0" w:line="240" w:lineRule="auto"/>
              <w:jc w:val="center"/>
              <w:rPr>
                <w:sz w:val="20"/>
                <w:szCs w:val="20"/>
              </w:rPr>
            </w:pPr>
            <w:r>
              <w:rPr>
                <w:sz w:val="20"/>
                <w:szCs w:val="20"/>
              </w:rPr>
              <w:t>4%</w:t>
            </w:r>
          </w:p>
        </w:tc>
        <w:tc>
          <w:tcPr>
            <w:tcW w:w="1840" w:type="dxa"/>
            <w:tcBorders>
              <w:top w:val="nil"/>
              <w:left w:val="nil"/>
              <w:bottom w:val="nil"/>
              <w:right w:val="nil"/>
            </w:tcBorders>
            <w:shd w:val="clear" w:color="auto" w:fill="auto"/>
            <w:vAlign w:val="bottom"/>
          </w:tcPr>
          <w:p w14:paraId="4A3C18DA" w14:textId="77777777" w:rsidR="006C55D3" w:rsidRDefault="004A7459">
            <w:pPr>
              <w:spacing w:after="0" w:line="240" w:lineRule="auto"/>
              <w:jc w:val="center"/>
              <w:rPr>
                <w:sz w:val="20"/>
                <w:szCs w:val="20"/>
              </w:rPr>
            </w:pPr>
            <w:r>
              <w:rPr>
                <w:sz w:val="20"/>
                <w:szCs w:val="20"/>
              </w:rPr>
              <w:t>778</w:t>
            </w:r>
          </w:p>
        </w:tc>
      </w:tr>
      <w:tr w:rsidR="006C55D3" w14:paraId="304092FE" w14:textId="77777777">
        <w:trPr>
          <w:trHeight w:val="285"/>
        </w:trPr>
        <w:tc>
          <w:tcPr>
            <w:tcW w:w="1640" w:type="dxa"/>
            <w:tcBorders>
              <w:top w:val="nil"/>
              <w:left w:val="nil"/>
              <w:bottom w:val="nil"/>
              <w:right w:val="nil"/>
            </w:tcBorders>
            <w:shd w:val="clear" w:color="auto" w:fill="auto"/>
            <w:vAlign w:val="bottom"/>
          </w:tcPr>
          <w:p w14:paraId="4E640F9A" w14:textId="77777777" w:rsidR="006C55D3" w:rsidRDefault="004A7459">
            <w:pPr>
              <w:spacing w:after="0" w:line="240" w:lineRule="auto"/>
              <w:rPr>
                <w:sz w:val="20"/>
                <w:szCs w:val="20"/>
              </w:rPr>
            </w:pPr>
            <w:r>
              <w:rPr>
                <w:sz w:val="20"/>
                <w:szCs w:val="20"/>
              </w:rPr>
              <w:t>Yellow color</w:t>
            </w:r>
          </w:p>
        </w:tc>
        <w:tc>
          <w:tcPr>
            <w:tcW w:w="1840" w:type="dxa"/>
            <w:tcBorders>
              <w:top w:val="nil"/>
              <w:left w:val="nil"/>
              <w:bottom w:val="nil"/>
              <w:right w:val="nil"/>
            </w:tcBorders>
            <w:shd w:val="clear" w:color="auto" w:fill="auto"/>
            <w:vAlign w:val="bottom"/>
          </w:tcPr>
          <w:p w14:paraId="6FB7594A" w14:textId="77777777" w:rsidR="006C55D3" w:rsidRDefault="004A7459">
            <w:pPr>
              <w:spacing w:after="0" w:line="240" w:lineRule="auto"/>
              <w:jc w:val="center"/>
              <w:rPr>
                <w:sz w:val="20"/>
                <w:szCs w:val="20"/>
              </w:rPr>
            </w:pPr>
            <w:r>
              <w:rPr>
                <w:sz w:val="20"/>
                <w:szCs w:val="20"/>
              </w:rPr>
              <w:t>|-108251|</w:t>
            </w:r>
          </w:p>
        </w:tc>
        <w:tc>
          <w:tcPr>
            <w:tcW w:w="1840" w:type="dxa"/>
            <w:tcBorders>
              <w:top w:val="nil"/>
              <w:left w:val="nil"/>
              <w:bottom w:val="nil"/>
              <w:right w:val="nil"/>
            </w:tcBorders>
            <w:shd w:val="clear" w:color="auto" w:fill="auto"/>
            <w:vAlign w:val="bottom"/>
          </w:tcPr>
          <w:p w14:paraId="67E95D9F" w14:textId="77777777" w:rsidR="006C55D3" w:rsidRDefault="004A7459">
            <w:pPr>
              <w:spacing w:after="0" w:line="240" w:lineRule="auto"/>
              <w:jc w:val="center"/>
              <w:rPr>
                <w:sz w:val="20"/>
                <w:szCs w:val="20"/>
              </w:rPr>
            </w:pPr>
            <w:r>
              <w:rPr>
                <w:sz w:val="20"/>
                <w:szCs w:val="20"/>
              </w:rPr>
              <w:t>0.00003%</w:t>
            </w:r>
          </w:p>
        </w:tc>
        <w:tc>
          <w:tcPr>
            <w:tcW w:w="1840" w:type="dxa"/>
            <w:tcBorders>
              <w:top w:val="nil"/>
              <w:left w:val="nil"/>
              <w:bottom w:val="nil"/>
              <w:right w:val="nil"/>
            </w:tcBorders>
            <w:shd w:val="clear" w:color="auto" w:fill="auto"/>
            <w:vAlign w:val="bottom"/>
          </w:tcPr>
          <w:p w14:paraId="7EB992C5" w14:textId="77777777" w:rsidR="006C55D3" w:rsidRDefault="004A7459">
            <w:pPr>
              <w:spacing w:after="0" w:line="240" w:lineRule="auto"/>
              <w:jc w:val="center"/>
              <w:rPr>
                <w:sz w:val="20"/>
                <w:szCs w:val="20"/>
              </w:rPr>
            </w:pPr>
            <w:r>
              <w:rPr>
                <w:sz w:val="20"/>
                <w:szCs w:val="20"/>
              </w:rPr>
              <w:t>3</w:t>
            </w:r>
          </w:p>
        </w:tc>
      </w:tr>
      <w:tr w:rsidR="006C55D3" w14:paraId="5D7F3EF2" w14:textId="77777777">
        <w:trPr>
          <w:trHeight w:val="285"/>
        </w:trPr>
        <w:tc>
          <w:tcPr>
            <w:tcW w:w="5320" w:type="dxa"/>
            <w:gridSpan w:val="3"/>
            <w:tcBorders>
              <w:top w:val="nil"/>
              <w:left w:val="nil"/>
              <w:bottom w:val="nil"/>
              <w:right w:val="nil"/>
            </w:tcBorders>
            <w:shd w:val="clear" w:color="auto" w:fill="auto"/>
            <w:vAlign w:val="bottom"/>
          </w:tcPr>
          <w:p w14:paraId="3853E4D4" w14:textId="77777777" w:rsidR="006C55D3" w:rsidRDefault="004A7459">
            <w:pPr>
              <w:spacing w:after="0" w:line="240" w:lineRule="auto"/>
              <w:rPr>
                <w:b/>
                <w:sz w:val="20"/>
                <w:szCs w:val="20"/>
              </w:rPr>
            </w:pPr>
            <w:r>
              <w:rPr>
                <w:b/>
                <w:sz w:val="20"/>
                <w:szCs w:val="20"/>
              </w:rPr>
              <w:t>Total number of deaths</w:t>
            </w:r>
          </w:p>
        </w:tc>
        <w:tc>
          <w:tcPr>
            <w:tcW w:w="1840" w:type="dxa"/>
            <w:tcBorders>
              <w:top w:val="nil"/>
              <w:left w:val="nil"/>
              <w:bottom w:val="nil"/>
              <w:right w:val="nil"/>
            </w:tcBorders>
            <w:shd w:val="clear" w:color="auto" w:fill="auto"/>
            <w:vAlign w:val="bottom"/>
          </w:tcPr>
          <w:p w14:paraId="057E6898" w14:textId="77777777" w:rsidR="006C55D3" w:rsidRDefault="004A7459">
            <w:pPr>
              <w:spacing w:after="0" w:line="240" w:lineRule="auto"/>
              <w:jc w:val="center"/>
              <w:rPr>
                <w:sz w:val="20"/>
                <w:szCs w:val="20"/>
              </w:rPr>
            </w:pPr>
            <w:r>
              <w:rPr>
                <w:sz w:val="20"/>
                <w:szCs w:val="20"/>
              </w:rPr>
              <w:t>835</w:t>
            </w:r>
          </w:p>
        </w:tc>
      </w:tr>
      <w:tr w:rsidR="006C55D3" w14:paraId="660AA619" w14:textId="77777777">
        <w:trPr>
          <w:trHeight w:val="120"/>
        </w:trPr>
        <w:tc>
          <w:tcPr>
            <w:tcW w:w="7160" w:type="dxa"/>
            <w:gridSpan w:val="4"/>
            <w:tcBorders>
              <w:top w:val="nil"/>
              <w:left w:val="nil"/>
              <w:bottom w:val="single" w:sz="8" w:space="0" w:color="000000"/>
              <w:right w:val="nil"/>
            </w:tcBorders>
            <w:shd w:val="clear" w:color="auto" w:fill="auto"/>
            <w:vAlign w:val="bottom"/>
          </w:tcPr>
          <w:p w14:paraId="759EBECD" w14:textId="77777777" w:rsidR="006C55D3" w:rsidRDefault="006C55D3">
            <w:pPr>
              <w:spacing w:after="0" w:line="240" w:lineRule="auto"/>
              <w:rPr>
                <w:sz w:val="20"/>
                <w:szCs w:val="20"/>
              </w:rPr>
            </w:pPr>
          </w:p>
        </w:tc>
      </w:tr>
      <w:tr w:rsidR="006C55D3" w14:paraId="3270C45D" w14:textId="77777777">
        <w:trPr>
          <w:trHeight w:val="855"/>
        </w:trPr>
        <w:tc>
          <w:tcPr>
            <w:tcW w:w="7160" w:type="dxa"/>
            <w:gridSpan w:val="4"/>
            <w:tcBorders>
              <w:top w:val="nil"/>
              <w:left w:val="nil"/>
              <w:right w:val="nil"/>
            </w:tcBorders>
            <w:shd w:val="clear" w:color="auto" w:fill="auto"/>
            <w:vAlign w:val="bottom"/>
          </w:tcPr>
          <w:p w14:paraId="4192EF03" w14:textId="79D518D1" w:rsidR="006C55D3" w:rsidRDefault="004A74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Death rate per Manchester Triage System according to Martins et al. 2009</w:t>
            </w:r>
            <w:r w:rsidR="00BA79A2">
              <w:rPr>
                <w:rFonts w:ascii="Times New Roman" w:eastAsia="Times New Roman" w:hAnsi="Times New Roman" w:cs="Times New Roman"/>
                <w:sz w:val="20"/>
                <w:szCs w:val="20"/>
              </w:rPr>
              <w:t xml:space="preserve"> </w:t>
            </w:r>
            <w:r w:rsidRPr="00BA79A2">
              <w:rPr>
                <w:rFonts w:ascii="Times New Roman" w:eastAsia="Times New Roman" w:hAnsi="Times New Roman" w:cs="Times New Roman"/>
                <w:sz w:val="20"/>
                <w:szCs w:val="20"/>
                <w:vertAlign w:val="superscript"/>
              </w:rPr>
              <w:t>2</w:t>
            </w:r>
          </w:p>
          <w:p w14:paraId="3CE82F71" w14:textId="372881B1" w:rsidR="006C55D3" w:rsidRDefault="004A7459">
            <w:pPr>
              <w:spacing w:after="0" w:line="240" w:lineRule="auto"/>
              <w:rPr>
                <w:sz w:val="20"/>
                <w:szCs w:val="20"/>
              </w:rPr>
            </w:pPr>
            <w:r>
              <w:rPr>
                <w:rFonts w:ascii="Times New Roman" w:eastAsia="Times New Roman" w:hAnsi="Times New Roman" w:cs="Times New Roman"/>
                <w:sz w:val="20"/>
                <w:szCs w:val="20"/>
              </w:rPr>
              <w:t xml:space="preserve">Data for the remaining colors of the Manchester Triage System are not shown due to </w:t>
            </w:r>
            <w:sdt>
              <w:sdtPr>
                <w:tag w:val="goog_rdk_310"/>
                <w:id w:val="-1292519434"/>
              </w:sdtPr>
              <w:sdtEndPr/>
              <w:sdtContent>
                <w:r>
                  <w:rPr>
                    <w:rFonts w:ascii="Times New Roman" w:eastAsia="Times New Roman" w:hAnsi="Times New Roman" w:cs="Times New Roman"/>
                    <w:sz w:val="20"/>
                    <w:szCs w:val="20"/>
                  </w:rPr>
                  <w:t xml:space="preserve">the </w:t>
                </w:r>
                <w:r w:rsidR="00BA79A2">
                  <w:rPr>
                    <w:rFonts w:ascii="Times New Roman" w:eastAsia="Times New Roman" w:hAnsi="Times New Roman" w:cs="Times New Roman"/>
                    <w:sz w:val="20"/>
                    <w:szCs w:val="20"/>
                  </w:rPr>
                  <w:t>non-significant</w:t>
                </w:r>
                <w:r>
                  <w:rPr>
                    <w:rFonts w:ascii="Times New Roman" w:eastAsia="Times New Roman" w:hAnsi="Times New Roman" w:cs="Times New Roman"/>
                    <w:sz w:val="20"/>
                    <w:szCs w:val="20"/>
                  </w:rPr>
                  <w:t xml:space="preserve"> contribution to the potential deaths</w:t>
                </w:r>
              </w:sdtContent>
            </w:sdt>
            <w:sdt>
              <w:sdtPr>
                <w:tag w:val="goog_rdk_311"/>
                <w:id w:val="-984390710"/>
              </w:sdtPr>
              <w:sdtEndPr/>
              <w:sdtContent>
                <w:r w:rsidR="00BA79A2">
                  <w:t>.</w:t>
                </w:r>
              </w:sdtContent>
            </w:sdt>
          </w:p>
        </w:tc>
      </w:tr>
    </w:tbl>
    <w:p w14:paraId="2B29F41C" w14:textId="77777777" w:rsidR="006C55D3" w:rsidRDefault="006C55D3">
      <w:pPr>
        <w:rPr>
          <w:rFonts w:ascii="Times New Roman" w:eastAsia="Times New Roman" w:hAnsi="Times New Roman" w:cs="Times New Roman"/>
        </w:rPr>
      </w:pPr>
    </w:p>
    <w:p w14:paraId="0386A53A" w14:textId="4B99DDF6" w:rsidR="006C55D3" w:rsidRDefault="004A7459">
      <w:pPr>
        <w:spacing w:before="240" w:after="240"/>
        <w:jc w:val="both"/>
      </w:pPr>
      <w:r>
        <w:t xml:space="preserve">Considering the previous steps and assumptions, it could be hypothesized an estimate of at least 835 deaths due to the reduction in </w:t>
      </w:r>
      <w:sdt>
        <w:sdtPr>
          <w:tag w:val="goog_rdk_312"/>
          <w:id w:val="-1685813049"/>
        </w:sdtPr>
        <w:sdtEndPr/>
        <w:sdtContent>
          <w:r>
            <w:t>ED</w:t>
          </w:r>
        </w:sdtContent>
      </w:sdt>
      <w:sdt>
        <w:sdtPr>
          <w:tag w:val="goog_rdk_313"/>
          <w:id w:val="-1647424616"/>
        </w:sdtPr>
        <w:sdtEndPr/>
        <w:sdtContent>
          <w:r w:rsidR="00BA79A2">
            <w:t xml:space="preserve"> </w:t>
          </w:r>
        </w:sdtContent>
      </w:sdt>
      <w:r>
        <w:t>department visits between March 1 and April 7. These potential 835 deaths are considered to be an underestimation of the real number of deaths.</w:t>
      </w:r>
    </w:p>
    <w:p w14:paraId="5F7D4762" w14:textId="77777777" w:rsidR="006C55D3" w:rsidRDefault="006C55D3">
      <w:pPr>
        <w:spacing w:before="240" w:after="240"/>
        <w:jc w:val="both"/>
      </w:pPr>
    </w:p>
    <w:p w14:paraId="642865F9" w14:textId="77777777" w:rsidR="006C55D3" w:rsidRDefault="004A7459">
      <w:pPr>
        <w:pStyle w:val="Title"/>
        <w:keepNext w:val="0"/>
        <w:keepLines w:val="0"/>
        <w:spacing w:before="0" w:after="20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Supplemental References</w:t>
      </w:r>
    </w:p>
    <w:p w14:paraId="7CDCE675" w14:textId="77777777" w:rsidR="006C55D3" w:rsidRDefault="004A7459">
      <w:pPr>
        <w:keepLines/>
        <w:numPr>
          <w:ilvl w:val="0"/>
          <w:numId w:val="1"/>
        </w:numPr>
        <w:spacing w:after="200" w:line="240" w:lineRule="auto"/>
        <w:jc w:val="both"/>
      </w:pPr>
      <w:r w:rsidRPr="004A7459">
        <w:rPr>
          <w:rFonts w:ascii="Times New Roman" w:eastAsia="Times New Roman" w:hAnsi="Times New Roman" w:cs="Times New Roman"/>
          <w:sz w:val="20"/>
          <w:szCs w:val="20"/>
          <w:lang w:val="pt-PT"/>
        </w:rPr>
        <w:t xml:space="preserve">Serviço Nacional da Saúde (SNS). Portal da transparência. Lisbon: SNS; 2020. </w:t>
      </w:r>
      <w:r>
        <w:rPr>
          <w:rFonts w:ascii="Times New Roman" w:eastAsia="Times New Roman" w:hAnsi="Times New Roman" w:cs="Times New Roman"/>
          <w:sz w:val="20"/>
          <w:szCs w:val="20"/>
        </w:rPr>
        <w:t xml:space="preserve">Available from: </w:t>
      </w:r>
      <w:r>
        <w:rPr>
          <w:rFonts w:ascii="Times New Roman" w:eastAsia="Times New Roman" w:hAnsi="Times New Roman" w:cs="Times New Roman"/>
          <w:b/>
          <w:sz w:val="20"/>
          <w:szCs w:val="20"/>
        </w:rPr>
        <w:t xml:space="preserve"> </w:t>
      </w:r>
      <w:hyperlink r:id="rId11">
        <w:r>
          <w:rPr>
            <w:rFonts w:ascii="Times New Roman" w:eastAsia="Times New Roman" w:hAnsi="Times New Roman" w:cs="Times New Roman"/>
            <w:color w:val="1155CC"/>
            <w:sz w:val="20"/>
            <w:szCs w:val="20"/>
            <w:u w:val="single"/>
          </w:rPr>
          <w:t>https://transparencia.sns.gov.pt/explore/?sort=modified</w:t>
        </w:r>
      </w:hyperlink>
      <w:r>
        <w:rPr>
          <w:rFonts w:ascii="Times New Roman" w:eastAsia="Times New Roman" w:hAnsi="Times New Roman" w:cs="Times New Roman"/>
          <w:sz w:val="20"/>
          <w:szCs w:val="20"/>
        </w:rPr>
        <w:t>; assessed April 13, 2020.</w:t>
      </w:r>
    </w:p>
    <w:p w14:paraId="41821103" w14:textId="77777777" w:rsidR="006C55D3" w:rsidRDefault="004A7459">
      <w:pPr>
        <w:keepLines/>
        <w:numPr>
          <w:ilvl w:val="0"/>
          <w:numId w:val="1"/>
        </w:numPr>
        <w:spacing w:after="100" w:line="240" w:lineRule="auto"/>
        <w:jc w:val="both"/>
      </w:pPr>
      <w:r>
        <w:rPr>
          <w:rFonts w:ascii="Times New Roman" w:eastAsia="Times New Roman" w:hAnsi="Times New Roman" w:cs="Times New Roman"/>
          <w:sz w:val="20"/>
          <w:szCs w:val="20"/>
        </w:rPr>
        <w:t xml:space="preserve">Martins HM, </w:t>
      </w:r>
      <w:proofErr w:type="spellStart"/>
      <w:r>
        <w:rPr>
          <w:rFonts w:ascii="Times New Roman" w:eastAsia="Times New Roman" w:hAnsi="Times New Roman" w:cs="Times New Roman"/>
          <w:sz w:val="20"/>
          <w:szCs w:val="20"/>
        </w:rPr>
        <w:t>Cuña</w:t>
      </w:r>
      <w:proofErr w:type="spellEnd"/>
      <w:r>
        <w:rPr>
          <w:rFonts w:ascii="Times New Roman" w:eastAsia="Times New Roman" w:hAnsi="Times New Roman" w:cs="Times New Roman"/>
          <w:sz w:val="20"/>
          <w:szCs w:val="20"/>
        </w:rPr>
        <w:t xml:space="preserve"> LM, Freitas P. Is Manchester (MTS) more than a triage system? A study of its association with mortality and admission to a large Portuguese hospital. </w:t>
      </w:r>
      <w:proofErr w:type="spellStart"/>
      <w:r>
        <w:rPr>
          <w:rFonts w:ascii="Times New Roman" w:eastAsia="Times New Roman" w:hAnsi="Times New Roman" w:cs="Times New Roman"/>
          <w:sz w:val="20"/>
          <w:szCs w:val="20"/>
        </w:rPr>
        <w:t>Emerg</w:t>
      </w:r>
      <w:proofErr w:type="spellEnd"/>
      <w:r>
        <w:rPr>
          <w:rFonts w:ascii="Times New Roman" w:eastAsia="Times New Roman" w:hAnsi="Times New Roman" w:cs="Times New Roman"/>
          <w:sz w:val="20"/>
          <w:szCs w:val="20"/>
        </w:rPr>
        <w:t xml:space="preserve"> Med J 2009; 26: 183-186.</w:t>
      </w:r>
    </w:p>
    <w:p w14:paraId="35D37955" w14:textId="77777777" w:rsidR="006C55D3" w:rsidRDefault="006C55D3">
      <w:pPr>
        <w:spacing w:before="240" w:after="240"/>
        <w:jc w:val="both"/>
      </w:pPr>
    </w:p>
    <w:sectPr w:rsidR="006C55D3">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A9B"/>
    <w:multiLevelType w:val="multilevel"/>
    <w:tmpl w:val="AAA64542"/>
    <w:lvl w:ilvl="0">
      <w:start w:val="1"/>
      <w:numFmt w:val="decimal"/>
      <w:lvlText w:val="%1."/>
      <w:lvlJc w:val="left"/>
      <w:pPr>
        <w:ind w:left="283" w:hanging="283"/>
      </w:pPr>
      <w:rPr>
        <w:rFonts w:ascii="Times New Roman" w:eastAsia="Times New Roman" w:hAnsi="Times New Roman" w:cs="Times New Roman"/>
        <w:b w:val="0"/>
        <w:sz w:val="20"/>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37D478E2"/>
    <w:multiLevelType w:val="multilevel"/>
    <w:tmpl w:val="776A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D3"/>
    <w:rsid w:val="004A7459"/>
    <w:rsid w:val="006C55D3"/>
    <w:rsid w:val="00A06AED"/>
    <w:rsid w:val="00BA79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F914"/>
  <w15:docId w15:val="{CC546ACD-2D3D-462C-98EC-2BD447D5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customStyle="1" w:styleId="Default">
    <w:name w:val="Default"/>
    <w:rsid w:val="0083240C"/>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6D077B"/>
    <w:rPr>
      <w:color w:val="0563C1" w:themeColor="hyperlink"/>
      <w:u w:val="single"/>
    </w:rPr>
  </w:style>
  <w:style w:type="character" w:styleId="UnresolvedMention">
    <w:name w:val="Unresolved Mention"/>
    <w:basedOn w:val="DefaultParagraphFont"/>
    <w:uiPriority w:val="99"/>
    <w:semiHidden/>
    <w:unhideWhenUsed/>
    <w:rsid w:val="006D077B"/>
    <w:rPr>
      <w:color w:val="605E5C"/>
      <w:shd w:val="clear" w:color="auto" w:fill="E1DFDD"/>
    </w:rPr>
  </w:style>
  <w:style w:type="character" w:styleId="FollowedHyperlink">
    <w:name w:val="FollowedHyperlink"/>
    <w:basedOn w:val="DefaultParagraphFont"/>
    <w:uiPriority w:val="99"/>
    <w:semiHidden/>
    <w:unhideWhenUsed/>
    <w:rsid w:val="006D077B"/>
    <w:rPr>
      <w:color w:val="954F72" w:themeColor="followedHyperlink"/>
      <w:u w:val="single"/>
    </w:rPr>
  </w:style>
  <w:style w:type="paragraph" w:styleId="Header">
    <w:name w:val="header"/>
    <w:basedOn w:val="Normal"/>
    <w:link w:val="HeaderChar"/>
    <w:uiPriority w:val="99"/>
    <w:unhideWhenUsed/>
    <w:rsid w:val="001A0F86"/>
    <w:pPr>
      <w:tabs>
        <w:tab w:val="center" w:pos="4252"/>
        <w:tab w:val="right" w:pos="8504"/>
      </w:tabs>
      <w:spacing w:after="0" w:line="240" w:lineRule="auto"/>
    </w:pPr>
  </w:style>
  <w:style w:type="character" w:customStyle="1" w:styleId="HeaderChar">
    <w:name w:val="Header Char"/>
    <w:basedOn w:val="DefaultParagraphFont"/>
    <w:link w:val="Header"/>
    <w:uiPriority w:val="99"/>
    <w:rsid w:val="001A0F86"/>
  </w:style>
  <w:style w:type="paragraph" w:styleId="Footer">
    <w:name w:val="footer"/>
    <w:basedOn w:val="Normal"/>
    <w:link w:val="FooterChar"/>
    <w:uiPriority w:val="99"/>
    <w:unhideWhenUsed/>
    <w:rsid w:val="001A0F86"/>
    <w:pPr>
      <w:tabs>
        <w:tab w:val="center" w:pos="4252"/>
        <w:tab w:val="right" w:pos="8504"/>
      </w:tabs>
      <w:spacing w:after="0" w:line="240" w:lineRule="auto"/>
    </w:pPr>
  </w:style>
  <w:style w:type="character" w:customStyle="1" w:styleId="FooterChar">
    <w:name w:val="Footer Char"/>
    <w:basedOn w:val="DefaultParagraphFont"/>
    <w:link w:val="Footer"/>
    <w:uiPriority w:val="99"/>
    <w:rsid w:val="001A0F86"/>
  </w:style>
  <w:style w:type="paragraph" w:styleId="BalloonText">
    <w:name w:val="Balloon Text"/>
    <w:basedOn w:val="Normal"/>
    <w:link w:val="BalloonTextChar"/>
    <w:uiPriority w:val="99"/>
    <w:semiHidden/>
    <w:unhideWhenUsed/>
    <w:rsid w:val="00751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14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0"/>
    <w:tblPr>
      <w:tblStyleRowBandSize w:val="1"/>
      <w:tblStyleColBandSize w:val="1"/>
      <w:tblCellMar>
        <w:left w:w="70" w:type="dxa"/>
        <w:right w:w="70" w:type="dxa"/>
      </w:tblCellMar>
    </w:tblPr>
  </w:style>
  <w:style w:type="table" w:customStyle="1" w:styleId="a0">
    <w:basedOn w:val="TableNormal20"/>
    <w:tblPr>
      <w:tblStyleRowBandSize w:val="1"/>
      <w:tblStyleColBandSize w:val="1"/>
      <w:tblCellMar>
        <w:left w:w="70" w:type="dxa"/>
        <w:right w:w="7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1">
    <w:basedOn w:val="TableNormal20"/>
    <w:tblPr>
      <w:tblStyleRowBandSize w:val="1"/>
      <w:tblStyleColBandSize w:val="1"/>
      <w:tblCellMar>
        <w:left w:w="70" w:type="dxa"/>
        <w:right w:w="70" w:type="dxa"/>
      </w:tblCellMar>
    </w:tblPr>
  </w:style>
  <w:style w:type="table" w:customStyle="1" w:styleId="a2">
    <w:basedOn w:val="TableNormal20"/>
    <w:tblPr>
      <w:tblStyleRowBandSize w:val="1"/>
      <w:tblStyleColBandSize w:val="1"/>
      <w:tblCellMar>
        <w:left w:w="70" w:type="dxa"/>
        <w:right w:w="70" w:type="dxa"/>
      </w:tblCellMar>
    </w:tblPr>
  </w:style>
  <w:style w:type="paragraph" w:styleId="CommentSubject">
    <w:name w:val="annotation subject"/>
    <w:basedOn w:val="CommentText"/>
    <w:next w:val="CommentText"/>
    <w:link w:val="CommentSubjectChar"/>
    <w:uiPriority w:val="99"/>
    <w:semiHidden/>
    <w:unhideWhenUsed/>
    <w:rsid w:val="00B533DB"/>
    <w:rPr>
      <w:b/>
      <w:bCs/>
    </w:rPr>
  </w:style>
  <w:style w:type="character" w:customStyle="1" w:styleId="CommentSubjectChar">
    <w:name w:val="Comment Subject Char"/>
    <w:basedOn w:val="CommentTextChar"/>
    <w:link w:val="CommentSubject"/>
    <w:uiPriority w:val="99"/>
    <w:semiHidden/>
    <w:rsid w:val="00B533DB"/>
    <w:rPr>
      <w:b/>
      <w:bCs/>
      <w:sz w:val="20"/>
      <w:szCs w:val="20"/>
    </w:rPr>
  </w:style>
  <w:style w:type="table" w:customStyle="1" w:styleId="a3">
    <w:basedOn w:val="TableNormal10"/>
    <w:tblPr>
      <w:tblStyleRowBandSize w:val="1"/>
      <w:tblStyleColBandSize w:val="1"/>
      <w:tblCellMar>
        <w:left w:w="70" w:type="dxa"/>
        <w:right w:w="70" w:type="dxa"/>
      </w:tblCellMar>
    </w:tblPr>
  </w:style>
  <w:style w:type="table" w:customStyle="1" w:styleId="a4">
    <w:basedOn w:val="TableNormal10"/>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ransparencia.sns.gov.pt/explore/?sort=modified"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2vHUBM5uSJ2KdKogMPqdjFHahA==">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Nogueira</dc:creator>
  <cp:lastModifiedBy>Carla de Sousa</cp:lastModifiedBy>
  <cp:revision>2</cp:revision>
  <dcterms:created xsi:type="dcterms:W3CDTF">2020-04-21T17:21:00Z</dcterms:created>
  <dcterms:modified xsi:type="dcterms:W3CDTF">2020-04-21T17:21:00Z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0x01010099161307A2CA5244AB950D62831E7C2D</vt:lpwstr>
  </property>
</Properties>
</file>