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09" w:rsidRDefault="008B00B0">
      <w:pPr>
        <w:rPr>
          <w:rFonts w:ascii="Century Gothic" w:hAnsi="Century Gothic"/>
          <w:sz w:val="20"/>
          <w:szCs w:val="20"/>
          <w:lang w:val="pt-PT"/>
        </w:rPr>
      </w:pPr>
      <w:r>
        <w:rPr>
          <w:rFonts w:ascii="Century Gothic" w:hAnsi="Century Gothic"/>
          <w:b/>
          <w:bCs/>
          <w:lang w:val="pt-PT"/>
        </w:rPr>
        <w:t xml:space="preserve">Tabela 2. </w:t>
      </w:r>
      <w:r w:rsidR="00AB4D5B" w:rsidRPr="00886001">
        <w:rPr>
          <w:rFonts w:ascii="Century Gothic" w:hAnsi="Century Gothic"/>
          <w:b/>
          <w:bCs/>
          <w:lang w:val="pt-PT"/>
        </w:rPr>
        <w:t>Classificação Clínica Internacional da retinopatia diabética</w:t>
      </w:r>
      <w:r w:rsidR="006A1A56">
        <w:rPr>
          <w:rFonts w:ascii="Century Gothic" w:hAnsi="Century Gothic"/>
          <w:b/>
          <w:bCs/>
          <w:lang w:val="pt-PT"/>
        </w:rPr>
        <w:t xml:space="preserve"> </w:t>
      </w:r>
      <w:r w:rsidR="005E2466">
        <w:rPr>
          <w:rFonts w:ascii="Century Gothic" w:hAnsi="Century Gothic"/>
          <w:sz w:val="20"/>
          <w:szCs w:val="20"/>
          <w:lang w:val="pt-PT"/>
        </w:rPr>
        <w:t xml:space="preserve">- realizada </w:t>
      </w:r>
      <w:r w:rsidR="00AB4D5B">
        <w:rPr>
          <w:rFonts w:ascii="Century Gothic" w:hAnsi="Century Gothic"/>
          <w:sz w:val="20"/>
          <w:szCs w:val="20"/>
          <w:lang w:val="pt-PT"/>
        </w:rPr>
        <w:t>com base na observação do fundo ocular/retinografia</w:t>
      </w:r>
    </w:p>
    <w:p w:rsidR="005E2466" w:rsidRDefault="005E2466">
      <w:pPr>
        <w:rPr>
          <w:rFonts w:ascii="Century Gothic" w:hAnsi="Century Gothic"/>
          <w:sz w:val="20"/>
          <w:szCs w:val="20"/>
          <w:lang w:val="pt-PT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828"/>
        <w:gridCol w:w="6662"/>
      </w:tblGrid>
      <w:tr w:rsidR="00AB4D5B" w:rsidRPr="006D16DF" w:rsidTr="00AB4D5B">
        <w:tc>
          <w:tcPr>
            <w:tcW w:w="3828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bCs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bCs/>
                <w:sz w:val="22"/>
                <w:szCs w:val="20"/>
                <w:lang w:val="pt-PT"/>
              </w:rPr>
              <w:t>Classificação da RD / Grau de gravidade proposto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bCs/>
                <w:sz w:val="22"/>
                <w:szCs w:val="20"/>
                <w:lang w:val="pt-PT"/>
              </w:rPr>
              <w:t>Sinais encontrados na fundoscopia</w:t>
            </w:r>
          </w:p>
        </w:tc>
      </w:tr>
      <w:tr w:rsidR="00AB4D5B" w:rsidRPr="006D16DF" w:rsidTr="00AB4D5B">
        <w:tc>
          <w:tcPr>
            <w:tcW w:w="3828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Sem retinopatia aparente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Sem alterações</w:t>
            </w:r>
          </w:p>
        </w:tc>
      </w:tr>
      <w:tr w:rsidR="00AB4D5B" w:rsidRPr="006D16DF" w:rsidTr="00AB4D5B">
        <w:tc>
          <w:tcPr>
            <w:tcW w:w="3828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RD não proliferativa ligeira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Apenas microaneurismas</w:t>
            </w:r>
          </w:p>
        </w:tc>
        <w:bookmarkStart w:id="0" w:name="_GoBack"/>
        <w:bookmarkEnd w:id="0"/>
      </w:tr>
      <w:tr w:rsidR="00AB4D5B" w:rsidRPr="008B00B0" w:rsidTr="00AB4D5B">
        <w:tc>
          <w:tcPr>
            <w:tcW w:w="3828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RD não proliferativa moderada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Mais do que apenas microaneurismas mas menos do que RDnP grave</w:t>
            </w:r>
          </w:p>
        </w:tc>
      </w:tr>
      <w:tr w:rsidR="00AB4D5B" w:rsidRPr="006D16DF" w:rsidTr="00AB4D5B">
        <w:tc>
          <w:tcPr>
            <w:tcW w:w="3828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RD não proliferativa grave</w:t>
            </w:r>
          </w:p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</w:p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</w:p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</w:p>
          <w:p w:rsidR="00AB4D5B" w:rsidRPr="007C0805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sz w:val="18"/>
                <w:szCs w:val="20"/>
                <w:lang w:val="pt-PT"/>
              </w:rPr>
            </w:pPr>
            <w:r w:rsidRPr="007C0805">
              <w:rPr>
                <w:rFonts w:ascii="Century Gothic" w:hAnsi="Century Gothic"/>
                <w:sz w:val="18"/>
                <w:szCs w:val="20"/>
                <w:lang w:val="pt-PT"/>
              </w:rPr>
              <w:t>(Se em vez de “ou” se c</w:t>
            </w:r>
            <w:r w:rsidR="007C0805" w:rsidRPr="007C0805">
              <w:rPr>
                <w:rFonts w:ascii="Century Gothic" w:hAnsi="Century Gothic"/>
                <w:sz w:val="18"/>
                <w:szCs w:val="20"/>
                <w:lang w:val="pt-PT"/>
              </w:rPr>
              <w:t>onsiderar “e” pode-se identificar</w:t>
            </w:r>
            <w:r w:rsidR="005027E3">
              <w:rPr>
                <w:rFonts w:ascii="Century Gothic" w:hAnsi="Century Gothic"/>
                <w:sz w:val="18"/>
                <w:szCs w:val="20"/>
                <w:lang w:val="pt-PT"/>
              </w:rPr>
              <w:t xml:space="preserve"> </w:t>
            </w:r>
            <w:r w:rsidRPr="007C0805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RD não proliferativa muito grave)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Qualquer dos seguintes:</w:t>
            </w:r>
          </w:p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-mais do que 20 hemorragias intraretinianas em cada um dos quatro quadrantes</w:t>
            </w:r>
          </w:p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-anomalias venosa (</w:t>
            </w:r>
            <w:r w:rsidRPr="005027E3">
              <w:rPr>
                <w:rFonts w:ascii="Century Gothic" w:hAnsi="Century Gothic"/>
                <w:i/>
                <w:sz w:val="16"/>
                <w:szCs w:val="20"/>
                <w:lang w:val="pt-PT"/>
              </w:rPr>
              <w:t>venous</w:t>
            </w:r>
            <w:r w:rsidR="005027E3" w:rsidRPr="005027E3">
              <w:rPr>
                <w:rFonts w:ascii="Century Gothic" w:hAnsi="Century Gothic"/>
                <w:i/>
                <w:sz w:val="16"/>
                <w:szCs w:val="20"/>
                <w:lang w:val="pt-PT"/>
              </w:rPr>
              <w:t xml:space="preserve"> </w:t>
            </w:r>
            <w:r w:rsidRPr="005027E3">
              <w:rPr>
                <w:rFonts w:ascii="Century Gothic" w:hAnsi="Century Gothic"/>
                <w:i/>
                <w:sz w:val="16"/>
                <w:szCs w:val="20"/>
                <w:lang w:val="pt-PT"/>
              </w:rPr>
              <w:t>beading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) em dois ou mais quadrantes</w:t>
            </w:r>
          </w:p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-anomalias microvasculares intraretinianas (IRMA)em pelo menos num quadrante</w:t>
            </w:r>
          </w:p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</w:p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Sem sinais de retinopatia proliferativa</w:t>
            </w:r>
          </w:p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</w:p>
        </w:tc>
      </w:tr>
      <w:tr w:rsidR="00AB4D5B" w:rsidRPr="008B00B0" w:rsidTr="00AB4D5B">
        <w:tc>
          <w:tcPr>
            <w:tcW w:w="3828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RD proliferativa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-Neovascularização</w:t>
            </w:r>
          </w:p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ou</w:t>
            </w:r>
          </w:p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-Hemorragia vítrea/pré-retiniana</w:t>
            </w:r>
          </w:p>
        </w:tc>
      </w:tr>
      <w:tr w:rsidR="00AB4D5B" w:rsidRPr="008B00B0" w:rsidTr="00AB4D5B">
        <w:tc>
          <w:tcPr>
            <w:tcW w:w="10490" w:type="dxa"/>
            <w:gridSpan w:val="2"/>
            <w:shd w:val="clear" w:color="auto" w:fill="B8CCE4" w:themeFill="accent1" w:themeFillTint="66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Se existir Retinopatia Diabética Proliferativa deverá ser classificada em 3 graus de gravidade</w:t>
            </w:r>
          </w:p>
        </w:tc>
      </w:tr>
      <w:tr w:rsidR="00AB4D5B" w:rsidRPr="008B00B0" w:rsidTr="00AB4D5B">
        <w:tc>
          <w:tcPr>
            <w:tcW w:w="3828" w:type="dxa"/>
            <w:shd w:val="clear" w:color="auto" w:fill="B8CCE4" w:themeFill="accent1" w:themeFillTint="66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RDP baixo risco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 xml:space="preserve">Neovascularização do DO (no DO ou dentro de 1 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C6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 xml:space="preserve">D) mas com área &lt; 1/3  do 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C6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 xml:space="preserve">D ou NV para além de 1 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C6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D (NVE) mas com área &lt; ½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C6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D.</w:t>
            </w:r>
          </w:p>
        </w:tc>
      </w:tr>
      <w:tr w:rsidR="00AB4D5B" w:rsidRPr="008B00B0" w:rsidTr="00AB4D5B">
        <w:tc>
          <w:tcPr>
            <w:tcW w:w="3828" w:type="dxa"/>
            <w:shd w:val="clear" w:color="auto" w:fill="B8CCE4" w:themeFill="accent1" w:themeFillTint="66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RDP alto risco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 xml:space="preserve">Neovascularização do DO (no DO ou dentro de 1 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C6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 xml:space="preserve">D) mas com área ≥ 1/3 do 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C6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 xml:space="preserve">D ou NV para além de 1 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C6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 xml:space="preserve">D (NVE) mas com área ≥ ½  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C6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D ou critérios de baixo risco associados a pequena hemorragia vítrea ou subhialoideia.</w:t>
            </w:r>
          </w:p>
        </w:tc>
      </w:tr>
      <w:tr w:rsidR="00AB4D5B" w:rsidRPr="006D16DF" w:rsidTr="00AB4D5B">
        <w:tc>
          <w:tcPr>
            <w:tcW w:w="3828" w:type="dxa"/>
            <w:shd w:val="clear" w:color="auto" w:fill="B8CCE4" w:themeFill="accent1" w:themeFillTint="66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RDP com doença ocular diabética avançada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Qualquer dos seguintes:</w:t>
            </w:r>
          </w:p>
          <w:p w:rsidR="00AB4D5B" w:rsidRPr="006D16DF" w:rsidRDefault="00AB4D5B" w:rsidP="00F959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Hemovítreo/ hemorragia subhialoideia</w:t>
            </w:r>
          </w:p>
          <w:p w:rsidR="00AB4D5B" w:rsidRPr="006D16DF" w:rsidRDefault="00AB4D5B" w:rsidP="00F959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Rubeose da íris</w:t>
            </w:r>
          </w:p>
          <w:p w:rsidR="00AB4D5B" w:rsidRPr="006D16DF" w:rsidRDefault="00AB4D5B" w:rsidP="00F959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Descolamento de retina traccional</w:t>
            </w:r>
          </w:p>
          <w:p w:rsidR="00AB4D5B" w:rsidRPr="006D16DF" w:rsidRDefault="00AB4D5B" w:rsidP="00F959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Proliferação fibrovascular com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sym w:font="Symbol" w:char="F0B1"/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tracção</w:t>
            </w:r>
          </w:p>
        </w:tc>
      </w:tr>
      <w:tr w:rsidR="00AB4D5B" w:rsidRPr="008B00B0" w:rsidTr="00AB4D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ind w:right="85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bCs/>
                <w:sz w:val="18"/>
                <w:lang w:val="pt-PT"/>
              </w:rPr>
              <w:t xml:space="preserve">Pode sempre existir </w:t>
            </w:r>
            <w:r>
              <w:rPr>
                <w:rFonts w:ascii="Century Gothic" w:hAnsi="Century Gothic"/>
                <w:b/>
                <w:bCs/>
                <w:sz w:val="18"/>
                <w:lang w:val="pt-PT"/>
              </w:rPr>
              <w:t>a</w:t>
            </w:r>
            <w:r w:rsidRPr="006D16DF">
              <w:rPr>
                <w:rFonts w:ascii="Century Gothic" w:hAnsi="Century Gothic"/>
                <w:b/>
                <w:bCs/>
                <w:sz w:val="18"/>
                <w:lang w:val="pt-PT"/>
              </w:rPr>
              <w:t>ssociado Edema Macular</w:t>
            </w:r>
            <w:r>
              <w:rPr>
                <w:rFonts w:ascii="Century Gothic" w:hAnsi="Century Gothic"/>
                <w:b/>
                <w:bCs/>
                <w:sz w:val="18"/>
                <w:lang w:val="pt-PT"/>
              </w:rPr>
              <w:t xml:space="preserve"> Diabético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4D5B" w:rsidRPr="006D16DF" w:rsidRDefault="00AB4D5B" w:rsidP="00AB4D5B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bCs/>
                <w:sz w:val="16"/>
                <w:lang w:val="pt-PT"/>
              </w:rPr>
              <w:t xml:space="preserve">Classificação Clínica Internacional / Graus de gravidade do Edema macular </w:t>
            </w: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(GDRPG – Global DiabeticRetinopathy Project Group 2002</w:t>
            </w:r>
          </w:p>
        </w:tc>
      </w:tr>
      <w:tr w:rsidR="00AB4D5B" w:rsidRPr="006D16DF" w:rsidTr="00AB4D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Cs w:val="20"/>
                <w:lang w:val="pt-PT"/>
              </w:rPr>
              <w:t>Classificação / Grau edema macular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b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Cs w:val="20"/>
                <w:lang w:val="pt-PT"/>
              </w:rPr>
              <w:t>Sinais encontrados</w:t>
            </w:r>
          </w:p>
        </w:tc>
      </w:tr>
      <w:tr w:rsidR="00AB4D5B" w:rsidRPr="008B00B0" w:rsidTr="00AB4D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EM aparentemente ausente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Sem espessamento aparente da retina ou exsudados duros</w:t>
            </w:r>
          </w:p>
        </w:tc>
      </w:tr>
      <w:tr w:rsidR="00AB4D5B" w:rsidRPr="008B00B0" w:rsidTr="00AB4D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ind w:right="85"/>
              <w:jc w:val="both"/>
              <w:rPr>
                <w:rFonts w:ascii="Century Gothic" w:hAnsi="Century Gothic"/>
                <w:b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b/>
                <w:sz w:val="18"/>
                <w:szCs w:val="20"/>
                <w:lang w:val="pt-PT"/>
              </w:rPr>
              <w:t>EM aparentemente presente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6"/>
                <w:szCs w:val="20"/>
                <w:lang w:val="pt-PT"/>
              </w:rPr>
              <w:t>Algum espessamento retiniano ou exsudados duros no pólo posterior</w:t>
            </w:r>
          </w:p>
        </w:tc>
      </w:tr>
      <w:tr w:rsidR="00AB4D5B" w:rsidRPr="008B00B0" w:rsidTr="00AB4D5B">
        <w:tc>
          <w:tcPr>
            <w:tcW w:w="10490" w:type="dxa"/>
            <w:gridSpan w:val="2"/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8"/>
                <w:szCs w:val="20"/>
                <w:lang w:val="pt-PT"/>
              </w:rPr>
              <w:t>Ligeiro: Algum espessamento retiniano ou exsudados duros no pólo posterior mas distantes do centro da mácula</w:t>
            </w:r>
          </w:p>
        </w:tc>
      </w:tr>
      <w:tr w:rsidR="00AB4D5B" w:rsidRPr="008B00B0" w:rsidTr="00AB4D5B">
        <w:tc>
          <w:tcPr>
            <w:tcW w:w="10490" w:type="dxa"/>
            <w:gridSpan w:val="2"/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8"/>
                <w:szCs w:val="20"/>
                <w:lang w:val="pt-PT"/>
              </w:rPr>
              <w:t>Moderado: Espessamento retiniano ou exsudados duros aproximando-se do centro da mácula mas não o atingindo</w:t>
            </w:r>
          </w:p>
        </w:tc>
      </w:tr>
      <w:tr w:rsidR="00AB4D5B" w:rsidRPr="008B00B0" w:rsidTr="00AB4D5B">
        <w:tc>
          <w:tcPr>
            <w:tcW w:w="10490" w:type="dxa"/>
            <w:gridSpan w:val="2"/>
            <w:shd w:val="clear" w:color="auto" w:fill="FDE9D9" w:themeFill="accent6" w:themeFillTint="33"/>
          </w:tcPr>
          <w:p w:rsidR="00AB4D5B" w:rsidRPr="006D16DF" w:rsidRDefault="00AB4D5B" w:rsidP="00F9595E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20"/>
                <w:lang w:val="pt-PT"/>
              </w:rPr>
            </w:pPr>
            <w:r w:rsidRPr="006D16DF">
              <w:rPr>
                <w:rFonts w:ascii="Century Gothic" w:hAnsi="Century Gothic"/>
                <w:sz w:val="18"/>
                <w:szCs w:val="20"/>
                <w:lang w:val="pt-PT"/>
              </w:rPr>
              <w:t>Grave: Espessamento da retina ou exsudados duros atingindo o centro da mácula</w:t>
            </w:r>
          </w:p>
        </w:tc>
      </w:tr>
    </w:tbl>
    <w:p w:rsidR="00AB4D5B" w:rsidRPr="00AB4D5B" w:rsidRDefault="00AB4D5B">
      <w:pPr>
        <w:rPr>
          <w:lang w:val="pt-PT"/>
        </w:rPr>
      </w:pPr>
    </w:p>
    <w:sectPr w:rsidR="00AB4D5B" w:rsidRPr="00AB4D5B" w:rsidSect="00751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63" w:rsidRDefault="008F0563" w:rsidP="00AB4D5B">
      <w:r>
        <w:separator/>
      </w:r>
    </w:p>
  </w:endnote>
  <w:endnote w:type="continuationSeparator" w:id="0">
    <w:p w:rsidR="008F0563" w:rsidRDefault="008F0563" w:rsidP="00AB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63" w:rsidRDefault="008F0563" w:rsidP="00AB4D5B">
      <w:r>
        <w:separator/>
      </w:r>
    </w:p>
  </w:footnote>
  <w:footnote w:type="continuationSeparator" w:id="0">
    <w:p w:rsidR="008F0563" w:rsidRDefault="008F0563" w:rsidP="00AB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565"/>
    <w:multiLevelType w:val="hybridMultilevel"/>
    <w:tmpl w:val="3C5266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D5B"/>
    <w:rsid w:val="005027E3"/>
    <w:rsid w:val="005E2466"/>
    <w:rsid w:val="005F335A"/>
    <w:rsid w:val="006A1A56"/>
    <w:rsid w:val="00751912"/>
    <w:rsid w:val="007C0805"/>
    <w:rsid w:val="0081134D"/>
    <w:rsid w:val="008302DD"/>
    <w:rsid w:val="008B00B0"/>
    <w:rsid w:val="008F0563"/>
    <w:rsid w:val="008F3686"/>
    <w:rsid w:val="009D38FF"/>
    <w:rsid w:val="00AB4D5B"/>
    <w:rsid w:val="00DB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rsid w:val="00AB4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rsid w:val="00AB4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CSousa</cp:lastModifiedBy>
  <cp:revision>2</cp:revision>
  <dcterms:created xsi:type="dcterms:W3CDTF">2014-07-07T11:46:00Z</dcterms:created>
  <dcterms:modified xsi:type="dcterms:W3CDTF">2014-07-07T11:46:00Z</dcterms:modified>
</cp:coreProperties>
</file>