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913" w:rsidRDefault="008D0913" w:rsidP="008D0913">
      <w:pPr>
        <w:spacing w:after="0" w:line="360" w:lineRule="auto"/>
      </w:pPr>
      <w:r>
        <w:t>Revisor B:</w:t>
      </w:r>
    </w:p>
    <w:p w:rsidR="008D0913" w:rsidRDefault="008D0913" w:rsidP="008D0913">
      <w:pPr>
        <w:spacing w:after="0" w:line="360" w:lineRule="auto"/>
      </w:pPr>
      <w:r>
        <w:t xml:space="preserve">Trata-se de um estudo original, que aborda um tema de relevância atual e que se propõe avaliar a abordagem de uma patologia frequente da gravidez com potenciais consequências para o feto. </w:t>
      </w:r>
    </w:p>
    <w:p w:rsidR="008D0913" w:rsidRDefault="008D0913" w:rsidP="008D0913">
      <w:pPr>
        <w:spacing w:after="0" w:line="360" w:lineRule="auto"/>
      </w:pPr>
    </w:p>
    <w:p w:rsidR="008D0913" w:rsidRDefault="008D0913" w:rsidP="008D0913">
      <w:pPr>
        <w:spacing w:after="0" w:line="360" w:lineRule="auto"/>
      </w:pPr>
      <w:r>
        <w:t>Título</w:t>
      </w:r>
    </w:p>
    <w:p w:rsidR="008D0913" w:rsidRDefault="008D0913" w:rsidP="008D0913">
      <w:pPr>
        <w:spacing w:after="0" w:line="360" w:lineRule="auto"/>
      </w:pPr>
      <w:r>
        <w:t xml:space="preserve">Parece-me adequado ao que é proposto no trabalho e aos respetivos resultados e discussão. </w:t>
      </w:r>
    </w:p>
    <w:p w:rsidR="008D0913" w:rsidRDefault="008D0913" w:rsidP="008D0913">
      <w:pPr>
        <w:spacing w:after="0" w:line="360" w:lineRule="auto"/>
      </w:pPr>
    </w:p>
    <w:p w:rsidR="008D0913" w:rsidRDefault="008D0913" w:rsidP="008D0913">
      <w:pPr>
        <w:spacing w:after="0" w:line="360" w:lineRule="auto"/>
      </w:pPr>
      <w:r>
        <w:t xml:space="preserve">Resumo / </w:t>
      </w:r>
      <w:proofErr w:type="spellStart"/>
      <w:r>
        <w:t>Abstract</w:t>
      </w:r>
      <w:proofErr w:type="spellEnd"/>
    </w:p>
    <w:p w:rsidR="008D0913" w:rsidRDefault="008D0913" w:rsidP="008D0913">
      <w:pPr>
        <w:spacing w:after="0" w:line="360" w:lineRule="auto"/>
      </w:pPr>
      <w:r>
        <w:t>Adequados.</w:t>
      </w:r>
    </w:p>
    <w:p w:rsidR="008D0913" w:rsidRDefault="008D0913" w:rsidP="008D0913">
      <w:pPr>
        <w:spacing w:after="0" w:line="360" w:lineRule="auto"/>
      </w:pPr>
    </w:p>
    <w:p w:rsidR="008D0913" w:rsidRDefault="008D0913" w:rsidP="008D0913">
      <w:pPr>
        <w:spacing w:after="0" w:line="360" w:lineRule="auto"/>
      </w:pPr>
      <w:r>
        <w:t>Introdução</w:t>
      </w:r>
    </w:p>
    <w:p w:rsidR="008D0913" w:rsidRDefault="008D0913" w:rsidP="008D0913">
      <w:pPr>
        <w:spacing w:after="0" w:line="360" w:lineRule="auto"/>
      </w:pPr>
      <w:r>
        <w:t>Adequada ao tema abordado. Integra referências atuais e pertinentes.</w:t>
      </w:r>
    </w:p>
    <w:p w:rsidR="008D0913" w:rsidRDefault="008D0913" w:rsidP="008D0913">
      <w:pPr>
        <w:spacing w:after="0" w:line="360" w:lineRule="auto"/>
      </w:pPr>
    </w:p>
    <w:p w:rsidR="008D0913" w:rsidRDefault="008D0913" w:rsidP="008D0913">
      <w:pPr>
        <w:spacing w:after="0" w:line="360" w:lineRule="auto"/>
      </w:pPr>
      <w:r>
        <w:t>Métodos</w:t>
      </w:r>
    </w:p>
    <w:p w:rsidR="008D0913" w:rsidRDefault="008D0913" w:rsidP="008D0913">
      <w:pPr>
        <w:spacing w:after="0" w:line="360" w:lineRule="auto"/>
      </w:pPr>
      <w:r>
        <w:t xml:space="preserve">Adequadamente descritos. Variáveis também adequadamente classificadas e definidas. Apenas refiro a não referência à reclassificação das mães, que não está explícito a que se refere (ver notas adicionais adiante). </w:t>
      </w:r>
    </w:p>
    <w:p w:rsidR="008D0913" w:rsidRDefault="008D0913" w:rsidP="008D0913">
      <w:pPr>
        <w:spacing w:after="0" w:line="360" w:lineRule="auto"/>
      </w:pPr>
    </w:p>
    <w:p w:rsidR="008D0913" w:rsidRPr="008D0913" w:rsidRDefault="008D0913" w:rsidP="008D0913">
      <w:pPr>
        <w:spacing w:after="0" w:line="360" w:lineRule="auto"/>
        <w:rPr>
          <w:b/>
        </w:rPr>
      </w:pPr>
      <w:r w:rsidRPr="008D0913">
        <w:rPr>
          <w:b/>
        </w:rPr>
        <w:t>Resultados</w:t>
      </w:r>
    </w:p>
    <w:p w:rsidR="008D0913" w:rsidRDefault="008D0913" w:rsidP="008D0913">
      <w:pPr>
        <w:spacing w:after="0" w:line="360" w:lineRule="auto"/>
      </w:pPr>
      <w:r>
        <w:t xml:space="preserve">No segundo parágrafo refere-se “o maior número de mulheres com a glicémia em jejum alterada e a maior necessidade de insulinoterapia.” </w:t>
      </w:r>
    </w:p>
    <w:p w:rsidR="008D0913" w:rsidRDefault="008D0913" w:rsidP="008D0913">
      <w:pPr>
        <w:spacing w:after="0" w:line="360" w:lineRule="auto"/>
      </w:pPr>
      <w:r>
        <w:t>Não está referido se o método de rastreio é o mesmo, nomeadamente se os cut-</w:t>
      </w:r>
      <w:proofErr w:type="spellStart"/>
      <w:r>
        <w:t>off’s</w:t>
      </w:r>
      <w:proofErr w:type="spellEnd"/>
      <w:r>
        <w:t xml:space="preserve"> para classificação como diabetes gestacional foram alterados, bem como se houve alteração nas indicações para insulinoterapia.</w:t>
      </w:r>
    </w:p>
    <w:p w:rsidR="000607EB" w:rsidRPr="00926F4D" w:rsidRDefault="008D0913" w:rsidP="008D0913">
      <w:pPr>
        <w:spacing w:after="0" w:line="360" w:lineRule="auto"/>
        <w:ind w:left="567"/>
        <w:rPr>
          <w:color w:val="365F91" w:themeColor="accent1" w:themeShade="BF"/>
          <w:sz w:val="18"/>
          <w:szCs w:val="18"/>
        </w:rPr>
      </w:pPr>
      <w:r w:rsidRPr="00926F4D">
        <w:rPr>
          <w:color w:val="365F91" w:themeColor="accent1" w:themeShade="BF"/>
          <w:sz w:val="18"/>
          <w:szCs w:val="18"/>
        </w:rPr>
        <w:t xml:space="preserve">Efetivamente, e tal como referido na metodologia, os critérios de diagnóstico de DG foram alterados entre os dois períodos. A principal alteração consistiu </w:t>
      </w:r>
      <w:r w:rsidR="00987D01" w:rsidRPr="00926F4D">
        <w:rPr>
          <w:color w:val="365F91" w:themeColor="accent1" w:themeShade="BF"/>
          <w:sz w:val="18"/>
          <w:szCs w:val="18"/>
        </w:rPr>
        <w:t>na recomendação para a determinação da glicémia em jejum no 1º trimestre, o que não era feito anteriormente</w:t>
      </w:r>
      <w:r w:rsidR="00987D01">
        <w:rPr>
          <w:color w:val="365F91" w:themeColor="accent1" w:themeShade="BF"/>
          <w:sz w:val="18"/>
          <w:szCs w:val="18"/>
        </w:rPr>
        <w:t xml:space="preserve"> e</w:t>
      </w:r>
      <w:r w:rsidR="00987D01" w:rsidRPr="00926F4D">
        <w:rPr>
          <w:color w:val="365F91" w:themeColor="accent1" w:themeShade="BF"/>
          <w:sz w:val="18"/>
          <w:szCs w:val="18"/>
        </w:rPr>
        <w:t xml:space="preserve"> </w:t>
      </w:r>
      <w:r w:rsidRPr="00926F4D">
        <w:rPr>
          <w:color w:val="365F91" w:themeColor="accent1" w:themeShade="BF"/>
          <w:sz w:val="18"/>
          <w:szCs w:val="18"/>
        </w:rPr>
        <w:t xml:space="preserve">na </w:t>
      </w:r>
      <w:r w:rsidR="000607EB" w:rsidRPr="00926F4D">
        <w:rPr>
          <w:color w:val="365F91" w:themeColor="accent1" w:themeShade="BF"/>
          <w:sz w:val="18"/>
          <w:szCs w:val="18"/>
        </w:rPr>
        <w:t>realização do d</w:t>
      </w:r>
      <w:r w:rsidR="009C4D15" w:rsidRPr="00926F4D">
        <w:rPr>
          <w:color w:val="365F91" w:themeColor="accent1" w:themeShade="BF"/>
          <w:sz w:val="18"/>
          <w:szCs w:val="18"/>
        </w:rPr>
        <w:t>iagnóstico em apenas um passo (</w:t>
      </w:r>
      <w:r w:rsidR="000607EB" w:rsidRPr="00926F4D">
        <w:rPr>
          <w:color w:val="365F91" w:themeColor="accent1" w:themeShade="BF"/>
          <w:sz w:val="18"/>
          <w:szCs w:val="18"/>
        </w:rPr>
        <w:t xml:space="preserve">teste diagnóstico </w:t>
      </w:r>
      <w:r w:rsidR="00987D01">
        <w:rPr>
          <w:color w:val="365F91" w:themeColor="accent1" w:themeShade="BF"/>
          <w:sz w:val="18"/>
          <w:szCs w:val="18"/>
        </w:rPr>
        <w:t xml:space="preserve">– PTGO / Prova de tolerância oral à glicose - </w:t>
      </w:r>
      <w:r w:rsidR="000607EB" w:rsidRPr="00926F4D">
        <w:rPr>
          <w:color w:val="365F91" w:themeColor="accent1" w:themeShade="BF"/>
          <w:sz w:val="18"/>
          <w:szCs w:val="18"/>
        </w:rPr>
        <w:t xml:space="preserve">não </w:t>
      </w:r>
      <w:r w:rsidR="00987D01">
        <w:rPr>
          <w:color w:val="365F91" w:themeColor="accent1" w:themeShade="BF"/>
          <w:sz w:val="18"/>
          <w:szCs w:val="18"/>
        </w:rPr>
        <w:t>precedido de teste de rastreio)</w:t>
      </w:r>
      <w:r w:rsidRPr="00926F4D">
        <w:rPr>
          <w:color w:val="365F91" w:themeColor="accent1" w:themeShade="BF"/>
          <w:sz w:val="18"/>
          <w:szCs w:val="18"/>
        </w:rPr>
        <w:t xml:space="preserve">. </w:t>
      </w:r>
      <w:r w:rsidR="00987D01">
        <w:rPr>
          <w:color w:val="365F91" w:themeColor="accent1" w:themeShade="BF"/>
          <w:sz w:val="18"/>
          <w:szCs w:val="18"/>
        </w:rPr>
        <w:t>A PTGO era feita no 1º período com uma sobrecarga de 100g de glicose e no 2º período com 75g e n</w:t>
      </w:r>
      <w:r w:rsidR="000607EB" w:rsidRPr="00926F4D">
        <w:rPr>
          <w:color w:val="365F91" w:themeColor="accent1" w:themeShade="BF"/>
          <w:sz w:val="18"/>
          <w:szCs w:val="18"/>
        </w:rPr>
        <w:t xml:space="preserve">a </w:t>
      </w:r>
      <w:r w:rsidR="00987D01">
        <w:rPr>
          <w:color w:val="365F91" w:themeColor="accent1" w:themeShade="BF"/>
          <w:sz w:val="18"/>
          <w:szCs w:val="18"/>
        </w:rPr>
        <w:t xml:space="preserve">sua </w:t>
      </w:r>
      <w:r w:rsidR="000607EB" w:rsidRPr="00926F4D">
        <w:rPr>
          <w:color w:val="365F91" w:themeColor="accent1" w:themeShade="BF"/>
          <w:sz w:val="18"/>
          <w:szCs w:val="18"/>
        </w:rPr>
        <w:t xml:space="preserve">interpretação </w:t>
      </w:r>
      <w:r w:rsidR="00987D01">
        <w:rPr>
          <w:color w:val="365F91" w:themeColor="accent1" w:themeShade="BF"/>
          <w:sz w:val="18"/>
          <w:szCs w:val="18"/>
        </w:rPr>
        <w:t>exigia-se a</w:t>
      </w:r>
      <w:r w:rsidR="000607EB" w:rsidRPr="00926F4D">
        <w:rPr>
          <w:color w:val="365F91" w:themeColor="accent1" w:themeShade="BF"/>
          <w:sz w:val="18"/>
          <w:szCs w:val="18"/>
        </w:rPr>
        <w:t xml:space="preserve"> existência de 2 valores alterados </w:t>
      </w:r>
      <w:r w:rsidR="00987D01">
        <w:rPr>
          <w:color w:val="365F91" w:themeColor="accent1" w:themeShade="BF"/>
          <w:sz w:val="18"/>
          <w:szCs w:val="18"/>
        </w:rPr>
        <w:t xml:space="preserve">no 1º período </w:t>
      </w:r>
      <w:r w:rsidR="000607EB" w:rsidRPr="00926F4D">
        <w:rPr>
          <w:color w:val="365F91" w:themeColor="accent1" w:themeShade="BF"/>
          <w:sz w:val="18"/>
          <w:szCs w:val="18"/>
        </w:rPr>
        <w:t>e atualmente o diagnóstico é feito apenas com um valor alterado.</w:t>
      </w:r>
    </w:p>
    <w:p w:rsidR="008D0913" w:rsidRPr="00926F4D" w:rsidRDefault="008D0913" w:rsidP="008D0913">
      <w:pPr>
        <w:spacing w:after="0" w:line="360" w:lineRule="auto"/>
        <w:ind w:left="567"/>
        <w:rPr>
          <w:color w:val="365F91" w:themeColor="accent1" w:themeShade="BF"/>
          <w:sz w:val="18"/>
          <w:szCs w:val="18"/>
        </w:rPr>
      </w:pPr>
      <w:r w:rsidRPr="00926F4D">
        <w:rPr>
          <w:color w:val="365F91" w:themeColor="accent1" w:themeShade="BF"/>
          <w:sz w:val="18"/>
          <w:szCs w:val="18"/>
        </w:rPr>
        <w:t xml:space="preserve">Compreende-se assim que </w:t>
      </w:r>
      <w:r w:rsidR="00987D01">
        <w:rPr>
          <w:color w:val="365F91" w:themeColor="accent1" w:themeShade="BF"/>
          <w:sz w:val="18"/>
          <w:szCs w:val="18"/>
        </w:rPr>
        <w:t xml:space="preserve">exista </w:t>
      </w:r>
      <w:r w:rsidRPr="00926F4D">
        <w:rPr>
          <w:color w:val="365F91" w:themeColor="accent1" w:themeShade="BF"/>
          <w:sz w:val="18"/>
          <w:szCs w:val="18"/>
        </w:rPr>
        <w:t xml:space="preserve">um grupo </w:t>
      </w:r>
      <w:r w:rsidR="00987D01">
        <w:rPr>
          <w:color w:val="365F91" w:themeColor="accent1" w:themeShade="BF"/>
          <w:sz w:val="18"/>
          <w:szCs w:val="18"/>
        </w:rPr>
        <w:t xml:space="preserve">maior de </w:t>
      </w:r>
      <w:r w:rsidRPr="00926F4D">
        <w:rPr>
          <w:color w:val="365F91" w:themeColor="accent1" w:themeShade="BF"/>
          <w:sz w:val="18"/>
          <w:szCs w:val="18"/>
        </w:rPr>
        <w:t xml:space="preserve">mulheres </w:t>
      </w:r>
      <w:r w:rsidR="00987D01">
        <w:rPr>
          <w:color w:val="365F91" w:themeColor="accent1" w:themeShade="BF"/>
          <w:sz w:val="18"/>
          <w:szCs w:val="18"/>
        </w:rPr>
        <w:t xml:space="preserve">com </w:t>
      </w:r>
      <w:r w:rsidRPr="00926F4D">
        <w:rPr>
          <w:color w:val="365F91" w:themeColor="accent1" w:themeShade="BF"/>
          <w:sz w:val="18"/>
          <w:szCs w:val="18"/>
        </w:rPr>
        <w:t>este valor alterado</w:t>
      </w:r>
      <w:r w:rsidR="000607EB" w:rsidRPr="00926F4D">
        <w:rPr>
          <w:color w:val="365F91" w:themeColor="accent1" w:themeShade="BF"/>
          <w:sz w:val="18"/>
          <w:szCs w:val="18"/>
        </w:rPr>
        <w:t xml:space="preserve"> (no 1º trimestre e valor alterado na PTGO com ou sem outra alteração)</w:t>
      </w:r>
      <w:r w:rsidRPr="00926F4D">
        <w:rPr>
          <w:color w:val="365F91" w:themeColor="accent1" w:themeShade="BF"/>
          <w:sz w:val="18"/>
          <w:szCs w:val="18"/>
        </w:rPr>
        <w:t>.</w:t>
      </w:r>
    </w:p>
    <w:p w:rsidR="008D0913" w:rsidRPr="00926F4D" w:rsidRDefault="008D0913" w:rsidP="008D0913">
      <w:pPr>
        <w:spacing w:after="0" w:line="360" w:lineRule="auto"/>
        <w:ind w:left="567"/>
        <w:rPr>
          <w:color w:val="365F91" w:themeColor="accent1" w:themeShade="BF"/>
          <w:sz w:val="18"/>
          <w:szCs w:val="18"/>
        </w:rPr>
      </w:pPr>
      <w:r w:rsidRPr="00926F4D">
        <w:rPr>
          <w:color w:val="365F91" w:themeColor="accent1" w:themeShade="BF"/>
          <w:sz w:val="18"/>
          <w:szCs w:val="18"/>
        </w:rPr>
        <w:t xml:space="preserve">Os </w:t>
      </w:r>
      <w:r w:rsidR="00987D01">
        <w:rPr>
          <w:color w:val="365F91" w:themeColor="accent1" w:themeShade="BF"/>
          <w:sz w:val="18"/>
          <w:szCs w:val="18"/>
        </w:rPr>
        <w:t>valores considerados normais para a glicémia</w:t>
      </w:r>
      <w:r w:rsidRPr="00926F4D">
        <w:rPr>
          <w:color w:val="365F91" w:themeColor="accent1" w:themeShade="BF"/>
          <w:sz w:val="18"/>
          <w:szCs w:val="18"/>
        </w:rPr>
        <w:t xml:space="preserve"> </w:t>
      </w:r>
      <w:r w:rsidR="00987D01">
        <w:rPr>
          <w:color w:val="365F91" w:themeColor="accent1" w:themeShade="BF"/>
          <w:sz w:val="18"/>
          <w:szCs w:val="18"/>
        </w:rPr>
        <w:t xml:space="preserve">em jejum e 1h após a ingestão de glicose </w:t>
      </w:r>
      <w:r w:rsidR="000607EB" w:rsidRPr="00926F4D">
        <w:rPr>
          <w:color w:val="365F91" w:themeColor="accent1" w:themeShade="BF"/>
          <w:sz w:val="18"/>
          <w:szCs w:val="18"/>
        </w:rPr>
        <w:t>não se modificaram significativamente</w:t>
      </w:r>
      <w:r w:rsidR="00D44A07" w:rsidRPr="00926F4D">
        <w:rPr>
          <w:color w:val="365F91" w:themeColor="accent1" w:themeShade="BF"/>
          <w:sz w:val="18"/>
          <w:szCs w:val="18"/>
        </w:rPr>
        <w:t>, nos últimos 6 anos</w:t>
      </w:r>
      <w:r w:rsidR="000607EB" w:rsidRPr="00926F4D">
        <w:rPr>
          <w:color w:val="365F91" w:themeColor="accent1" w:themeShade="BF"/>
          <w:sz w:val="18"/>
          <w:szCs w:val="18"/>
        </w:rPr>
        <w:t>.</w:t>
      </w:r>
    </w:p>
    <w:p w:rsidR="00D44A07" w:rsidRPr="00926F4D" w:rsidRDefault="009C4D15" w:rsidP="008D0913">
      <w:pPr>
        <w:spacing w:after="0" w:line="360" w:lineRule="auto"/>
        <w:ind w:left="567"/>
        <w:rPr>
          <w:color w:val="365F91" w:themeColor="accent1" w:themeShade="BF"/>
          <w:sz w:val="18"/>
          <w:szCs w:val="18"/>
        </w:rPr>
      </w:pPr>
      <w:r w:rsidRPr="00926F4D">
        <w:rPr>
          <w:color w:val="365F91" w:themeColor="accent1" w:themeShade="BF"/>
          <w:sz w:val="18"/>
          <w:szCs w:val="18"/>
        </w:rPr>
        <w:t xml:space="preserve">A definição de </w:t>
      </w:r>
      <w:proofErr w:type="spellStart"/>
      <w:r w:rsidRPr="00926F4D">
        <w:rPr>
          <w:color w:val="365F91" w:themeColor="accent1" w:themeShade="BF"/>
          <w:sz w:val="18"/>
          <w:szCs w:val="18"/>
        </w:rPr>
        <w:t>normo</w:t>
      </w:r>
      <w:r w:rsidR="00D44A07" w:rsidRPr="00926F4D">
        <w:rPr>
          <w:color w:val="365F91" w:themeColor="accent1" w:themeShade="BF"/>
          <w:sz w:val="18"/>
          <w:szCs w:val="18"/>
        </w:rPr>
        <w:t>glicémia</w:t>
      </w:r>
      <w:proofErr w:type="spellEnd"/>
      <w:r w:rsidR="00D44A07" w:rsidRPr="00926F4D">
        <w:rPr>
          <w:color w:val="365F91" w:themeColor="accent1" w:themeShade="BF"/>
          <w:sz w:val="18"/>
          <w:szCs w:val="18"/>
        </w:rPr>
        <w:t xml:space="preserve"> </w:t>
      </w:r>
      <w:r w:rsidRPr="00926F4D">
        <w:rPr>
          <w:color w:val="365F91" w:themeColor="accent1" w:themeShade="BF"/>
          <w:sz w:val="18"/>
          <w:szCs w:val="18"/>
        </w:rPr>
        <w:t>implica uma glicémia em jejum entre os 60-90 mg/dl [3,3-5,0 mmol/L] e 1hora após a refeição entre os 100-120 mg/dl [5,5-6,6 mmol/L] e não se alterou significativamente, anteriormente os valores de referência eram 60-90 e 110-130 mg/</w:t>
      </w:r>
      <w:proofErr w:type="spellStart"/>
      <w:r w:rsidRPr="00926F4D">
        <w:rPr>
          <w:color w:val="365F91" w:themeColor="accent1" w:themeShade="BF"/>
          <w:sz w:val="18"/>
          <w:szCs w:val="18"/>
        </w:rPr>
        <w:t>dL</w:t>
      </w:r>
      <w:proofErr w:type="spellEnd"/>
      <w:r w:rsidRPr="00926F4D">
        <w:rPr>
          <w:color w:val="365F91" w:themeColor="accent1" w:themeShade="BF"/>
          <w:sz w:val="18"/>
          <w:szCs w:val="18"/>
        </w:rPr>
        <w:t xml:space="preserve"> em jejum. </w:t>
      </w:r>
      <w:r w:rsidR="008D0913" w:rsidRPr="00926F4D">
        <w:rPr>
          <w:color w:val="365F91" w:themeColor="accent1" w:themeShade="BF"/>
          <w:sz w:val="18"/>
          <w:szCs w:val="18"/>
        </w:rPr>
        <w:t xml:space="preserve">A taxa de insulinização </w:t>
      </w:r>
      <w:r w:rsidR="00987D01">
        <w:rPr>
          <w:color w:val="365F91" w:themeColor="accent1" w:themeShade="BF"/>
          <w:sz w:val="18"/>
          <w:szCs w:val="18"/>
        </w:rPr>
        <w:t xml:space="preserve">aumentou porque neste grupo de mulheres </w:t>
      </w:r>
      <w:r w:rsidRPr="00926F4D">
        <w:rPr>
          <w:color w:val="365F91" w:themeColor="accent1" w:themeShade="BF"/>
          <w:sz w:val="18"/>
          <w:szCs w:val="18"/>
        </w:rPr>
        <w:t xml:space="preserve">houve necessidade de </w:t>
      </w:r>
      <w:r w:rsidR="00987D01">
        <w:rPr>
          <w:color w:val="365F91" w:themeColor="accent1" w:themeShade="BF"/>
          <w:sz w:val="18"/>
          <w:szCs w:val="18"/>
        </w:rPr>
        <w:t xml:space="preserve">introduzir a insulina </w:t>
      </w:r>
      <w:r w:rsidRPr="00926F4D">
        <w:rPr>
          <w:color w:val="365F91" w:themeColor="accent1" w:themeShade="BF"/>
          <w:sz w:val="18"/>
          <w:szCs w:val="18"/>
        </w:rPr>
        <w:t>para obte</w:t>
      </w:r>
      <w:r w:rsidR="00987D01">
        <w:rPr>
          <w:color w:val="365F91" w:themeColor="accent1" w:themeShade="BF"/>
          <w:sz w:val="18"/>
          <w:szCs w:val="18"/>
        </w:rPr>
        <w:t>nção</w:t>
      </w:r>
      <w:r w:rsidRPr="00926F4D">
        <w:rPr>
          <w:color w:val="365F91" w:themeColor="accent1" w:themeShade="BF"/>
          <w:sz w:val="18"/>
          <w:szCs w:val="18"/>
        </w:rPr>
        <w:t xml:space="preserve"> </w:t>
      </w:r>
      <w:r w:rsidR="00987D01">
        <w:rPr>
          <w:color w:val="365F91" w:themeColor="accent1" w:themeShade="BF"/>
          <w:sz w:val="18"/>
          <w:szCs w:val="18"/>
        </w:rPr>
        <w:t>d</w:t>
      </w:r>
      <w:r w:rsidRPr="00926F4D">
        <w:rPr>
          <w:color w:val="365F91" w:themeColor="accent1" w:themeShade="BF"/>
          <w:sz w:val="18"/>
          <w:szCs w:val="18"/>
        </w:rPr>
        <w:t>o controlo metabólico</w:t>
      </w:r>
      <w:r w:rsidR="008D0913" w:rsidRPr="00926F4D">
        <w:rPr>
          <w:color w:val="365F91" w:themeColor="accent1" w:themeShade="BF"/>
          <w:sz w:val="18"/>
          <w:szCs w:val="18"/>
        </w:rPr>
        <w:t xml:space="preserve">. </w:t>
      </w:r>
    </w:p>
    <w:p w:rsidR="008D0913" w:rsidRPr="00926F4D" w:rsidRDefault="009C4D15" w:rsidP="008D0913">
      <w:pPr>
        <w:spacing w:after="0" w:line="360" w:lineRule="auto"/>
        <w:ind w:left="567"/>
        <w:rPr>
          <w:color w:val="365F91" w:themeColor="accent1" w:themeShade="BF"/>
          <w:sz w:val="18"/>
          <w:szCs w:val="18"/>
        </w:rPr>
      </w:pPr>
      <w:r w:rsidRPr="00926F4D">
        <w:rPr>
          <w:color w:val="365F91" w:themeColor="accent1" w:themeShade="BF"/>
          <w:sz w:val="18"/>
          <w:szCs w:val="18"/>
        </w:rPr>
        <w:t xml:space="preserve">As alterações efetuadas tiveram apenas como objetivo diagnosticar mais precocemente a DG na </w:t>
      </w:r>
      <w:r w:rsidR="00D93339" w:rsidRPr="00926F4D">
        <w:rPr>
          <w:color w:val="365F91" w:themeColor="accent1" w:themeShade="BF"/>
          <w:sz w:val="18"/>
          <w:szCs w:val="18"/>
        </w:rPr>
        <w:t>gravidez</w:t>
      </w:r>
      <w:r w:rsidRPr="00926F4D">
        <w:rPr>
          <w:color w:val="365F91" w:themeColor="accent1" w:themeShade="BF"/>
          <w:sz w:val="18"/>
          <w:szCs w:val="18"/>
        </w:rPr>
        <w:t xml:space="preserve"> para obter um melhor controlo metabólico. Desde o </w:t>
      </w:r>
      <w:r w:rsidR="00D93339" w:rsidRPr="00926F4D">
        <w:rPr>
          <w:color w:val="365F91" w:themeColor="accent1" w:themeShade="BF"/>
          <w:sz w:val="18"/>
          <w:szCs w:val="18"/>
        </w:rPr>
        <w:t>início</w:t>
      </w:r>
      <w:r w:rsidRPr="00926F4D">
        <w:rPr>
          <w:color w:val="365F91" w:themeColor="accent1" w:themeShade="BF"/>
          <w:sz w:val="18"/>
          <w:szCs w:val="18"/>
        </w:rPr>
        <w:t xml:space="preserve"> que tínhamos consciência que o numero de mulheres iria aumentar.</w:t>
      </w:r>
    </w:p>
    <w:p w:rsidR="008D0913" w:rsidRDefault="008D0913" w:rsidP="008D0913">
      <w:pPr>
        <w:spacing w:after="0" w:line="360" w:lineRule="auto"/>
      </w:pPr>
      <w:r>
        <w:lastRenderedPageBreak/>
        <w:t xml:space="preserve">Neste mesmo segundo parágrafo, as percentagens apresentadas para “filho anterior com malformação” não são coincidentes com as que se apresentam no quadro respetivo. </w:t>
      </w:r>
    </w:p>
    <w:p w:rsidR="008C63D4" w:rsidRPr="008A47BA" w:rsidRDefault="00D93339" w:rsidP="008C63D4">
      <w:pPr>
        <w:spacing w:after="0" w:line="360" w:lineRule="auto"/>
        <w:ind w:left="567"/>
        <w:rPr>
          <w:b/>
          <w:color w:val="365F91" w:themeColor="accent1" w:themeShade="BF"/>
          <w:sz w:val="18"/>
          <w:szCs w:val="18"/>
        </w:rPr>
      </w:pPr>
      <w:r w:rsidRPr="008A47BA">
        <w:rPr>
          <w:b/>
          <w:color w:val="365F91" w:themeColor="accent1" w:themeShade="BF"/>
          <w:sz w:val="18"/>
          <w:szCs w:val="18"/>
        </w:rPr>
        <w:t>Corrigido no texto</w:t>
      </w:r>
    </w:p>
    <w:p w:rsidR="008D0913" w:rsidRDefault="008D0913" w:rsidP="008D0913">
      <w:pPr>
        <w:spacing w:after="0" w:line="360" w:lineRule="auto"/>
      </w:pPr>
      <w:r>
        <w:t>Os dois últimos parágrafos dos resultados suscitam-me dúvidas metodológicas:</w:t>
      </w:r>
    </w:p>
    <w:p w:rsidR="008D0913" w:rsidRDefault="008D0913" w:rsidP="008D0913">
      <w:pPr>
        <w:spacing w:after="0" w:line="360" w:lineRule="auto"/>
      </w:pPr>
      <w:r>
        <w:t xml:space="preserve">Por um lado o que entendem os autores como reclassificação das mães. Essa variável não está prevista nos métodos. </w:t>
      </w:r>
      <w:bookmarkStart w:id="0" w:name="_GoBack"/>
      <w:bookmarkEnd w:id="0"/>
    </w:p>
    <w:p w:rsidR="008C63D4" w:rsidRPr="00926F4D" w:rsidRDefault="008C63D4" w:rsidP="008C63D4">
      <w:pPr>
        <w:spacing w:after="0" w:line="360" w:lineRule="auto"/>
        <w:ind w:left="567"/>
        <w:rPr>
          <w:color w:val="365F91" w:themeColor="accent1" w:themeShade="BF"/>
          <w:sz w:val="18"/>
          <w:szCs w:val="18"/>
        </w:rPr>
      </w:pPr>
      <w:r w:rsidRPr="00926F4D">
        <w:rPr>
          <w:color w:val="365F91" w:themeColor="accent1" w:themeShade="BF"/>
          <w:sz w:val="18"/>
          <w:szCs w:val="18"/>
        </w:rPr>
        <w:t>A reclassificação</w:t>
      </w:r>
      <w:r w:rsidR="00987D01">
        <w:rPr>
          <w:color w:val="365F91" w:themeColor="accent1" w:themeShade="BF"/>
          <w:sz w:val="18"/>
          <w:szCs w:val="18"/>
        </w:rPr>
        <w:t xml:space="preserve"> é uma</w:t>
      </w:r>
      <w:r w:rsidR="00987D01" w:rsidRPr="00926F4D">
        <w:rPr>
          <w:color w:val="365F91" w:themeColor="accent1" w:themeShade="BF"/>
          <w:sz w:val="18"/>
          <w:szCs w:val="18"/>
        </w:rPr>
        <w:t xml:space="preserve"> recomendaç</w:t>
      </w:r>
      <w:r w:rsidR="00987D01">
        <w:rPr>
          <w:color w:val="365F91" w:themeColor="accent1" w:themeShade="BF"/>
          <w:sz w:val="18"/>
          <w:szCs w:val="18"/>
        </w:rPr>
        <w:t>ão</w:t>
      </w:r>
      <w:r w:rsidR="00987D01" w:rsidRPr="00926F4D">
        <w:rPr>
          <w:color w:val="365F91" w:themeColor="accent1" w:themeShade="BF"/>
          <w:sz w:val="18"/>
          <w:szCs w:val="18"/>
        </w:rPr>
        <w:t xml:space="preserve"> da OMS</w:t>
      </w:r>
      <w:r w:rsidRPr="00926F4D">
        <w:rPr>
          <w:color w:val="365F91" w:themeColor="accent1" w:themeShade="BF"/>
          <w:sz w:val="18"/>
          <w:szCs w:val="18"/>
        </w:rPr>
        <w:t xml:space="preserve"> </w:t>
      </w:r>
      <w:r w:rsidR="00987D01">
        <w:rPr>
          <w:color w:val="365F91" w:themeColor="accent1" w:themeShade="BF"/>
          <w:sz w:val="18"/>
          <w:szCs w:val="18"/>
        </w:rPr>
        <w:t xml:space="preserve">e </w:t>
      </w:r>
      <w:r w:rsidRPr="00926F4D">
        <w:rPr>
          <w:color w:val="365F91" w:themeColor="accent1" w:themeShade="BF"/>
          <w:sz w:val="18"/>
          <w:szCs w:val="18"/>
        </w:rPr>
        <w:t xml:space="preserve">consiste na </w:t>
      </w:r>
      <w:r w:rsidR="00412DDF" w:rsidRPr="00926F4D">
        <w:rPr>
          <w:color w:val="365F91" w:themeColor="accent1" w:themeShade="BF"/>
          <w:sz w:val="18"/>
          <w:szCs w:val="18"/>
        </w:rPr>
        <w:t>realização de uma PTGO com 75g de glicose</w:t>
      </w:r>
      <w:r w:rsidR="00987D01">
        <w:rPr>
          <w:color w:val="365F91" w:themeColor="accent1" w:themeShade="BF"/>
          <w:sz w:val="18"/>
          <w:szCs w:val="18"/>
        </w:rPr>
        <w:t xml:space="preserve"> cerca de </w:t>
      </w:r>
      <w:r w:rsidR="00DB4265" w:rsidRPr="00926F4D">
        <w:rPr>
          <w:color w:val="365F91" w:themeColor="accent1" w:themeShade="BF"/>
          <w:sz w:val="18"/>
          <w:szCs w:val="18"/>
        </w:rPr>
        <w:t>4 a 6 semanas</w:t>
      </w:r>
      <w:r w:rsidR="00987D01" w:rsidRPr="00926F4D">
        <w:rPr>
          <w:color w:val="365F91" w:themeColor="accent1" w:themeShade="BF"/>
          <w:sz w:val="18"/>
          <w:szCs w:val="18"/>
        </w:rPr>
        <w:t xml:space="preserve"> após o parto</w:t>
      </w:r>
      <w:r w:rsidRPr="00926F4D">
        <w:rPr>
          <w:color w:val="365F91" w:themeColor="accent1" w:themeShade="BF"/>
          <w:sz w:val="18"/>
          <w:szCs w:val="18"/>
        </w:rPr>
        <w:t>. Só assim é possível afirmar que se trata de uma alteração metabólica com origem ou relacionada com a gravidez e que normaliza após o parto</w:t>
      </w:r>
    </w:p>
    <w:p w:rsidR="008C63D4" w:rsidRPr="00926F4D" w:rsidRDefault="008C63D4" w:rsidP="006C1595">
      <w:pPr>
        <w:tabs>
          <w:tab w:val="left" w:pos="5529"/>
        </w:tabs>
        <w:spacing w:after="0" w:line="360" w:lineRule="auto"/>
        <w:ind w:left="567"/>
        <w:rPr>
          <w:color w:val="365F91" w:themeColor="accent1" w:themeShade="BF"/>
          <w:sz w:val="18"/>
          <w:szCs w:val="18"/>
        </w:rPr>
      </w:pPr>
      <w:r w:rsidRPr="00926F4D">
        <w:rPr>
          <w:color w:val="365F91" w:themeColor="accent1" w:themeShade="BF"/>
          <w:sz w:val="18"/>
          <w:szCs w:val="18"/>
        </w:rPr>
        <w:t xml:space="preserve">Há critérios estrito para classificar a mãe </w:t>
      </w:r>
      <w:r w:rsidR="0008010B" w:rsidRPr="00926F4D">
        <w:rPr>
          <w:color w:val="365F91" w:themeColor="accent1" w:themeShade="BF"/>
          <w:sz w:val="18"/>
          <w:szCs w:val="18"/>
        </w:rPr>
        <w:t>como</w:t>
      </w:r>
      <w:r w:rsidRPr="00926F4D">
        <w:rPr>
          <w:color w:val="365F91" w:themeColor="accent1" w:themeShade="BF"/>
          <w:sz w:val="18"/>
          <w:szCs w:val="18"/>
        </w:rPr>
        <w:t xml:space="preserve"> normal / </w:t>
      </w:r>
      <w:r w:rsidR="0008010B" w:rsidRPr="00926F4D">
        <w:rPr>
          <w:color w:val="365F91" w:themeColor="accent1" w:themeShade="BF"/>
          <w:sz w:val="18"/>
          <w:szCs w:val="18"/>
        </w:rPr>
        <w:t>como tendo uma anomalia da glicémia em jejum, uma t</w:t>
      </w:r>
      <w:r w:rsidRPr="00926F4D">
        <w:rPr>
          <w:color w:val="365F91" w:themeColor="accent1" w:themeShade="BF"/>
          <w:sz w:val="18"/>
          <w:szCs w:val="18"/>
        </w:rPr>
        <w:t>olerância anormal à glico</w:t>
      </w:r>
      <w:r w:rsidR="0008010B" w:rsidRPr="00926F4D">
        <w:rPr>
          <w:color w:val="365F91" w:themeColor="accent1" w:themeShade="BF"/>
          <w:sz w:val="18"/>
          <w:szCs w:val="18"/>
        </w:rPr>
        <w:t xml:space="preserve">se ou </w:t>
      </w:r>
      <w:r w:rsidRPr="00926F4D">
        <w:rPr>
          <w:color w:val="365F91" w:themeColor="accent1" w:themeShade="BF"/>
          <w:sz w:val="18"/>
          <w:szCs w:val="18"/>
        </w:rPr>
        <w:t>Diabetes</w:t>
      </w:r>
    </w:p>
    <w:tbl>
      <w:tblPr>
        <w:tblStyle w:val="Tabelacomgrelha"/>
        <w:tblpPr w:leftFromText="180" w:rightFromText="180" w:vertAnchor="text" w:tblpXSpec="center" w:tblpY="1"/>
        <w:tblOverlap w:val="never"/>
        <w:tblW w:w="6875" w:type="dxa"/>
        <w:jc w:val="center"/>
        <w:tblLook w:val="04A0"/>
      </w:tblPr>
      <w:tblGrid>
        <w:gridCol w:w="2508"/>
        <w:gridCol w:w="780"/>
        <w:gridCol w:w="869"/>
        <w:gridCol w:w="832"/>
        <w:gridCol w:w="944"/>
        <w:gridCol w:w="942"/>
      </w:tblGrid>
      <w:tr w:rsidR="006C1595" w:rsidRPr="00926F4D" w:rsidTr="001F309E">
        <w:trPr>
          <w:jc w:val="center"/>
        </w:trPr>
        <w:tc>
          <w:tcPr>
            <w:tcW w:w="2508" w:type="dxa"/>
            <w:vAlign w:val="center"/>
          </w:tcPr>
          <w:p w:rsidR="006C1595" w:rsidRPr="00926F4D" w:rsidRDefault="006C1595" w:rsidP="001F309E">
            <w:pPr>
              <w:spacing w:line="360" w:lineRule="auto"/>
              <w:rPr>
                <w:rFonts w:eastAsia="Times New Roman" w:cs="Times New Roman"/>
                <w:iCs/>
                <w:color w:val="365F91" w:themeColor="accent1" w:themeShade="BF"/>
                <w:sz w:val="16"/>
                <w:szCs w:val="20"/>
                <w:lang w:eastAsia="pt-PT"/>
              </w:rPr>
            </w:pPr>
          </w:p>
        </w:tc>
        <w:tc>
          <w:tcPr>
            <w:tcW w:w="780" w:type="dxa"/>
            <w:vAlign w:val="center"/>
          </w:tcPr>
          <w:p w:rsidR="006C1595" w:rsidRPr="00926F4D" w:rsidRDefault="006C1595" w:rsidP="001F309E">
            <w:pPr>
              <w:spacing w:line="360" w:lineRule="auto"/>
              <w:jc w:val="center"/>
              <w:rPr>
                <w:rFonts w:eastAsia="Times New Roman" w:cs="Times New Roman"/>
                <w:iCs/>
                <w:color w:val="365F91" w:themeColor="accent1" w:themeShade="BF"/>
                <w:sz w:val="16"/>
                <w:szCs w:val="20"/>
                <w:lang w:eastAsia="pt-PT"/>
              </w:rPr>
            </w:pPr>
          </w:p>
        </w:tc>
        <w:tc>
          <w:tcPr>
            <w:tcW w:w="1701" w:type="dxa"/>
            <w:gridSpan w:val="2"/>
          </w:tcPr>
          <w:p w:rsidR="006C1595" w:rsidRPr="00926F4D" w:rsidRDefault="006C1595" w:rsidP="001F309E">
            <w:pPr>
              <w:spacing w:line="360" w:lineRule="auto"/>
              <w:jc w:val="center"/>
              <w:rPr>
                <w:rFonts w:eastAsia="Times New Roman" w:cs="Times New Roman"/>
                <w:iCs/>
                <w:color w:val="365F91" w:themeColor="accent1" w:themeShade="BF"/>
                <w:sz w:val="16"/>
                <w:szCs w:val="20"/>
                <w:lang w:eastAsia="pt-PT"/>
              </w:rPr>
            </w:pPr>
            <w:r w:rsidRPr="00926F4D">
              <w:rPr>
                <w:rFonts w:eastAsia="Times New Roman" w:cs="Times New Roman"/>
                <w:iCs/>
                <w:color w:val="365F91" w:themeColor="accent1" w:themeShade="BF"/>
                <w:sz w:val="16"/>
                <w:szCs w:val="20"/>
                <w:lang w:eastAsia="pt-PT"/>
              </w:rPr>
              <w:t>2008-2010</w:t>
            </w:r>
          </w:p>
        </w:tc>
        <w:tc>
          <w:tcPr>
            <w:tcW w:w="1886" w:type="dxa"/>
            <w:gridSpan w:val="2"/>
            <w:tcBorders>
              <w:bottom w:val="single" w:sz="4" w:space="0" w:color="auto"/>
            </w:tcBorders>
          </w:tcPr>
          <w:p w:rsidR="006C1595" w:rsidRPr="00926F4D" w:rsidRDefault="006C1595" w:rsidP="001F309E">
            <w:pPr>
              <w:spacing w:line="360" w:lineRule="auto"/>
              <w:jc w:val="center"/>
              <w:rPr>
                <w:rFonts w:eastAsia="Times New Roman" w:cs="Times New Roman"/>
                <w:iCs/>
                <w:color w:val="365F91" w:themeColor="accent1" w:themeShade="BF"/>
                <w:sz w:val="16"/>
                <w:szCs w:val="20"/>
                <w:lang w:eastAsia="pt-PT"/>
              </w:rPr>
            </w:pPr>
            <w:r w:rsidRPr="00926F4D">
              <w:rPr>
                <w:rFonts w:eastAsia="Times New Roman" w:cs="Times New Roman"/>
                <w:iCs/>
                <w:color w:val="365F91" w:themeColor="accent1" w:themeShade="BF"/>
                <w:sz w:val="16"/>
                <w:szCs w:val="20"/>
                <w:lang w:eastAsia="pt-PT"/>
              </w:rPr>
              <w:t>2011-2013</w:t>
            </w:r>
          </w:p>
        </w:tc>
      </w:tr>
      <w:tr w:rsidR="006C1595" w:rsidRPr="00926F4D" w:rsidTr="001F309E">
        <w:trPr>
          <w:jc w:val="center"/>
        </w:trPr>
        <w:tc>
          <w:tcPr>
            <w:tcW w:w="2508" w:type="dxa"/>
            <w:vAlign w:val="center"/>
          </w:tcPr>
          <w:p w:rsidR="006C1595" w:rsidRPr="00926F4D" w:rsidRDefault="006C1595" w:rsidP="001F309E">
            <w:pPr>
              <w:spacing w:line="360" w:lineRule="auto"/>
              <w:rPr>
                <w:rFonts w:eastAsia="Times New Roman" w:cs="Times New Roman"/>
                <w:iCs/>
                <w:color w:val="365F91" w:themeColor="accent1" w:themeShade="BF"/>
                <w:sz w:val="16"/>
                <w:szCs w:val="20"/>
                <w:lang w:eastAsia="pt-PT"/>
              </w:rPr>
            </w:pPr>
          </w:p>
        </w:tc>
        <w:tc>
          <w:tcPr>
            <w:tcW w:w="780" w:type="dxa"/>
            <w:vAlign w:val="center"/>
          </w:tcPr>
          <w:p w:rsidR="006C1595" w:rsidRPr="00926F4D" w:rsidRDefault="006C1595" w:rsidP="001F309E">
            <w:pPr>
              <w:spacing w:line="360" w:lineRule="auto"/>
              <w:jc w:val="center"/>
              <w:rPr>
                <w:rFonts w:eastAsia="Times New Roman" w:cs="Times New Roman"/>
                <w:iCs/>
                <w:color w:val="365F91" w:themeColor="accent1" w:themeShade="BF"/>
                <w:sz w:val="16"/>
                <w:szCs w:val="20"/>
                <w:lang w:eastAsia="pt-PT"/>
              </w:rPr>
            </w:pPr>
          </w:p>
        </w:tc>
        <w:tc>
          <w:tcPr>
            <w:tcW w:w="869" w:type="dxa"/>
            <w:tcBorders>
              <w:bottom w:val="single" w:sz="4" w:space="0" w:color="auto"/>
              <w:right w:val="nil"/>
            </w:tcBorders>
          </w:tcPr>
          <w:p w:rsidR="006C1595" w:rsidRPr="00926F4D" w:rsidRDefault="006C1595" w:rsidP="001F309E">
            <w:pPr>
              <w:spacing w:line="360" w:lineRule="auto"/>
              <w:jc w:val="center"/>
              <w:rPr>
                <w:rFonts w:eastAsia="Times New Roman" w:cs="Times New Roman"/>
                <w:iCs/>
                <w:color w:val="365F91" w:themeColor="accent1" w:themeShade="BF"/>
                <w:sz w:val="16"/>
                <w:szCs w:val="20"/>
                <w:lang w:eastAsia="pt-PT"/>
              </w:rPr>
            </w:pPr>
            <w:r w:rsidRPr="00926F4D">
              <w:rPr>
                <w:rFonts w:eastAsia="Times New Roman" w:cs="Times New Roman"/>
                <w:iCs/>
                <w:color w:val="365F91" w:themeColor="accent1" w:themeShade="BF"/>
                <w:sz w:val="16"/>
                <w:szCs w:val="20"/>
                <w:lang w:eastAsia="pt-PT"/>
              </w:rPr>
              <w:t>mg/dl</w:t>
            </w:r>
          </w:p>
        </w:tc>
        <w:tc>
          <w:tcPr>
            <w:tcW w:w="832" w:type="dxa"/>
            <w:tcBorders>
              <w:left w:val="nil"/>
              <w:bottom w:val="single" w:sz="4" w:space="0" w:color="auto"/>
            </w:tcBorders>
          </w:tcPr>
          <w:p w:rsidR="006C1595" w:rsidRPr="00926F4D" w:rsidRDefault="006C1595" w:rsidP="001F309E">
            <w:pPr>
              <w:spacing w:line="360" w:lineRule="auto"/>
              <w:jc w:val="center"/>
              <w:rPr>
                <w:rFonts w:eastAsia="Times New Roman" w:cs="Times New Roman"/>
                <w:iCs/>
                <w:color w:val="365F91" w:themeColor="accent1" w:themeShade="BF"/>
                <w:sz w:val="16"/>
                <w:szCs w:val="20"/>
                <w:lang w:eastAsia="pt-PT"/>
              </w:rPr>
            </w:pPr>
            <w:r w:rsidRPr="00926F4D">
              <w:rPr>
                <w:rFonts w:eastAsia="Times New Roman" w:cs="Times New Roman"/>
                <w:iCs/>
                <w:color w:val="365F91" w:themeColor="accent1" w:themeShade="BF"/>
                <w:sz w:val="16"/>
                <w:szCs w:val="20"/>
                <w:lang w:eastAsia="pt-PT"/>
              </w:rPr>
              <w:t>mmol/L</w:t>
            </w:r>
          </w:p>
        </w:tc>
        <w:tc>
          <w:tcPr>
            <w:tcW w:w="944" w:type="dxa"/>
            <w:tcBorders>
              <w:right w:val="nil"/>
            </w:tcBorders>
          </w:tcPr>
          <w:p w:rsidR="006C1595" w:rsidRPr="00926F4D" w:rsidRDefault="006C1595" w:rsidP="001F309E">
            <w:pPr>
              <w:spacing w:line="360" w:lineRule="auto"/>
              <w:jc w:val="center"/>
              <w:rPr>
                <w:rFonts w:eastAsia="Times New Roman" w:cs="Times New Roman"/>
                <w:iCs/>
                <w:color w:val="365F91" w:themeColor="accent1" w:themeShade="BF"/>
                <w:sz w:val="16"/>
                <w:szCs w:val="20"/>
                <w:lang w:eastAsia="pt-PT"/>
              </w:rPr>
            </w:pPr>
            <w:r w:rsidRPr="00926F4D">
              <w:rPr>
                <w:rFonts w:eastAsia="Times New Roman" w:cs="Times New Roman"/>
                <w:iCs/>
                <w:color w:val="365F91" w:themeColor="accent1" w:themeShade="BF"/>
                <w:sz w:val="16"/>
                <w:szCs w:val="20"/>
                <w:lang w:eastAsia="pt-PT"/>
              </w:rPr>
              <w:t>mg/dl</w:t>
            </w:r>
          </w:p>
        </w:tc>
        <w:tc>
          <w:tcPr>
            <w:tcW w:w="942" w:type="dxa"/>
            <w:tcBorders>
              <w:left w:val="nil"/>
            </w:tcBorders>
          </w:tcPr>
          <w:p w:rsidR="006C1595" w:rsidRPr="00926F4D" w:rsidRDefault="006C1595" w:rsidP="001F309E">
            <w:pPr>
              <w:spacing w:line="360" w:lineRule="auto"/>
              <w:jc w:val="center"/>
              <w:rPr>
                <w:rFonts w:eastAsia="Times New Roman" w:cs="Times New Roman"/>
                <w:iCs/>
                <w:color w:val="365F91" w:themeColor="accent1" w:themeShade="BF"/>
                <w:sz w:val="16"/>
                <w:szCs w:val="20"/>
                <w:lang w:eastAsia="pt-PT"/>
              </w:rPr>
            </w:pPr>
            <w:r w:rsidRPr="00926F4D">
              <w:rPr>
                <w:rFonts w:eastAsia="Times New Roman" w:cs="Times New Roman"/>
                <w:iCs/>
                <w:color w:val="365F91" w:themeColor="accent1" w:themeShade="BF"/>
                <w:sz w:val="16"/>
                <w:szCs w:val="20"/>
                <w:lang w:eastAsia="pt-PT"/>
              </w:rPr>
              <w:t>mmol/L</w:t>
            </w:r>
          </w:p>
        </w:tc>
      </w:tr>
      <w:tr w:rsidR="006C1595" w:rsidRPr="00926F4D" w:rsidTr="001F309E">
        <w:trPr>
          <w:jc w:val="center"/>
        </w:trPr>
        <w:tc>
          <w:tcPr>
            <w:tcW w:w="2508" w:type="dxa"/>
            <w:vMerge w:val="restart"/>
            <w:vAlign w:val="center"/>
          </w:tcPr>
          <w:p w:rsidR="006C1595" w:rsidRPr="00926F4D" w:rsidRDefault="006C1595" w:rsidP="001F309E">
            <w:pPr>
              <w:spacing w:line="360" w:lineRule="auto"/>
              <w:rPr>
                <w:rFonts w:eastAsia="Times New Roman" w:cs="Times New Roman"/>
                <w:iCs/>
                <w:color w:val="365F91" w:themeColor="accent1" w:themeShade="BF"/>
                <w:sz w:val="16"/>
                <w:szCs w:val="20"/>
                <w:lang w:eastAsia="pt-PT"/>
              </w:rPr>
            </w:pPr>
            <w:r w:rsidRPr="00926F4D">
              <w:rPr>
                <w:rFonts w:eastAsia="Times New Roman" w:cs="Times New Roman"/>
                <w:iCs/>
                <w:color w:val="365F91" w:themeColor="accent1" w:themeShade="BF"/>
                <w:sz w:val="16"/>
                <w:szCs w:val="20"/>
                <w:lang w:eastAsia="pt-PT"/>
              </w:rPr>
              <w:t>Diabetes Mellitus</w:t>
            </w:r>
          </w:p>
        </w:tc>
        <w:tc>
          <w:tcPr>
            <w:tcW w:w="780" w:type="dxa"/>
            <w:vAlign w:val="center"/>
          </w:tcPr>
          <w:p w:rsidR="006C1595" w:rsidRPr="00926F4D" w:rsidRDefault="006C1595" w:rsidP="001F309E">
            <w:pPr>
              <w:spacing w:line="360" w:lineRule="auto"/>
              <w:jc w:val="center"/>
              <w:rPr>
                <w:rFonts w:eastAsia="Times New Roman" w:cs="Times New Roman"/>
                <w:iCs/>
                <w:color w:val="365F91" w:themeColor="accent1" w:themeShade="BF"/>
                <w:sz w:val="16"/>
                <w:szCs w:val="20"/>
                <w:lang w:eastAsia="pt-PT"/>
              </w:rPr>
            </w:pPr>
            <w:r w:rsidRPr="00926F4D">
              <w:rPr>
                <w:rFonts w:eastAsia="Times New Roman" w:cs="Times New Roman"/>
                <w:iCs/>
                <w:color w:val="365F91" w:themeColor="accent1" w:themeShade="BF"/>
                <w:sz w:val="16"/>
                <w:szCs w:val="20"/>
                <w:lang w:eastAsia="pt-PT"/>
              </w:rPr>
              <w:t>Jejum</w:t>
            </w:r>
          </w:p>
        </w:tc>
        <w:tc>
          <w:tcPr>
            <w:tcW w:w="869" w:type="dxa"/>
            <w:tcBorders>
              <w:right w:val="nil"/>
            </w:tcBorders>
            <w:vAlign w:val="center"/>
          </w:tcPr>
          <w:p w:rsidR="006C1595" w:rsidRPr="00926F4D" w:rsidRDefault="006C1595" w:rsidP="001F309E">
            <w:pPr>
              <w:spacing w:line="360" w:lineRule="auto"/>
              <w:jc w:val="center"/>
              <w:rPr>
                <w:rFonts w:eastAsia="Times New Roman" w:cs="Times New Roman"/>
                <w:iCs/>
                <w:color w:val="365F91" w:themeColor="accent1" w:themeShade="BF"/>
                <w:sz w:val="16"/>
                <w:szCs w:val="20"/>
                <w:lang w:eastAsia="pt-PT"/>
              </w:rPr>
            </w:pPr>
            <w:r w:rsidRPr="00926F4D">
              <w:rPr>
                <w:rFonts w:eastAsia="Times New Roman" w:cs="Times New Roman"/>
                <w:iCs/>
                <w:color w:val="365F91" w:themeColor="accent1" w:themeShade="BF"/>
                <w:sz w:val="16"/>
                <w:szCs w:val="20"/>
                <w:lang w:eastAsia="pt-PT"/>
              </w:rPr>
              <w:t>≥ 140</w:t>
            </w:r>
          </w:p>
        </w:tc>
        <w:tc>
          <w:tcPr>
            <w:tcW w:w="832" w:type="dxa"/>
            <w:tcBorders>
              <w:left w:val="nil"/>
            </w:tcBorders>
            <w:vAlign w:val="center"/>
          </w:tcPr>
          <w:p w:rsidR="006C1595" w:rsidRPr="00926F4D" w:rsidRDefault="006C1595" w:rsidP="001F309E">
            <w:pPr>
              <w:spacing w:line="360" w:lineRule="auto"/>
              <w:jc w:val="center"/>
              <w:rPr>
                <w:rFonts w:eastAsia="Times New Roman" w:cs="Times New Roman"/>
                <w:iCs/>
                <w:color w:val="365F91" w:themeColor="accent1" w:themeShade="BF"/>
                <w:sz w:val="16"/>
                <w:szCs w:val="20"/>
                <w:lang w:eastAsia="pt-PT"/>
              </w:rPr>
            </w:pPr>
            <w:r w:rsidRPr="00926F4D">
              <w:rPr>
                <w:rFonts w:eastAsia="Times New Roman" w:cs="Times New Roman"/>
                <w:iCs/>
                <w:color w:val="365F91" w:themeColor="accent1" w:themeShade="BF"/>
                <w:sz w:val="16"/>
                <w:szCs w:val="20"/>
                <w:lang w:eastAsia="pt-PT"/>
              </w:rPr>
              <w:t>≥7,8</w:t>
            </w:r>
          </w:p>
        </w:tc>
        <w:tc>
          <w:tcPr>
            <w:tcW w:w="944" w:type="dxa"/>
            <w:tcBorders>
              <w:right w:val="nil"/>
            </w:tcBorders>
            <w:vAlign w:val="center"/>
          </w:tcPr>
          <w:p w:rsidR="006C1595" w:rsidRPr="00926F4D" w:rsidRDefault="006C1595" w:rsidP="001F309E">
            <w:pPr>
              <w:spacing w:line="360" w:lineRule="auto"/>
              <w:jc w:val="center"/>
              <w:rPr>
                <w:rFonts w:eastAsia="Times New Roman" w:cs="Times New Roman"/>
                <w:iCs/>
                <w:color w:val="365F91" w:themeColor="accent1" w:themeShade="BF"/>
                <w:sz w:val="16"/>
                <w:szCs w:val="20"/>
                <w:lang w:eastAsia="pt-PT"/>
              </w:rPr>
            </w:pPr>
            <w:r w:rsidRPr="00926F4D">
              <w:rPr>
                <w:rFonts w:eastAsia="Times New Roman" w:cs="Times New Roman"/>
                <w:iCs/>
                <w:color w:val="365F91" w:themeColor="accent1" w:themeShade="BF"/>
                <w:sz w:val="16"/>
                <w:szCs w:val="20"/>
                <w:lang w:eastAsia="pt-PT"/>
              </w:rPr>
              <w:t>≥ 126</w:t>
            </w:r>
          </w:p>
        </w:tc>
        <w:tc>
          <w:tcPr>
            <w:tcW w:w="942" w:type="dxa"/>
            <w:tcBorders>
              <w:left w:val="nil"/>
            </w:tcBorders>
            <w:vAlign w:val="center"/>
          </w:tcPr>
          <w:p w:rsidR="006C1595" w:rsidRPr="00926F4D" w:rsidRDefault="006C1595" w:rsidP="001F309E">
            <w:pPr>
              <w:spacing w:line="360" w:lineRule="auto"/>
              <w:jc w:val="center"/>
              <w:rPr>
                <w:rFonts w:eastAsia="Times New Roman" w:cs="Times New Roman"/>
                <w:iCs/>
                <w:color w:val="365F91" w:themeColor="accent1" w:themeShade="BF"/>
                <w:sz w:val="16"/>
                <w:szCs w:val="20"/>
                <w:lang w:eastAsia="pt-PT"/>
              </w:rPr>
            </w:pPr>
            <w:r w:rsidRPr="00926F4D">
              <w:rPr>
                <w:rFonts w:eastAsia="Times New Roman" w:cs="Times New Roman"/>
                <w:iCs/>
                <w:color w:val="365F91" w:themeColor="accent1" w:themeShade="BF"/>
                <w:sz w:val="16"/>
                <w:szCs w:val="20"/>
                <w:lang w:eastAsia="pt-PT"/>
              </w:rPr>
              <w:t>≥7,0</w:t>
            </w:r>
          </w:p>
        </w:tc>
      </w:tr>
      <w:tr w:rsidR="006C1595" w:rsidRPr="00926F4D" w:rsidTr="001F309E">
        <w:trPr>
          <w:jc w:val="center"/>
        </w:trPr>
        <w:tc>
          <w:tcPr>
            <w:tcW w:w="2508" w:type="dxa"/>
            <w:vMerge/>
          </w:tcPr>
          <w:p w:rsidR="006C1595" w:rsidRPr="00926F4D" w:rsidRDefault="006C1595" w:rsidP="001F309E">
            <w:pPr>
              <w:spacing w:line="360" w:lineRule="auto"/>
              <w:rPr>
                <w:rFonts w:eastAsia="Times New Roman" w:cs="Times New Roman"/>
                <w:iCs/>
                <w:color w:val="365F91" w:themeColor="accent1" w:themeShade="BF"/>
                <w:sz w:val="16"/>
                <w:szCs w:val="20"/>
                <w:lang w:eastAsia="pt-PT"/>
              </w:rPr>
            </w:pPr>
          </w:p>
        </w:tc>
        <w:tc>
          <w:tcPr>
            <w:tcW w:w="780" w:type="dxa"/>
            <w:vAlign w:val="center"/>
          </w:tcPr>
          <w:p w:rsidR="006C1595" w:rsidRPr="00926F4D" w:rsidRDefault="006C1595" w:rsidP="001F309E">
            <w:pPr>
              <w:spacing w:line="360" w:lineRule="auto"/>
              <w:jc w:val="center"/>
              <w:rPr>
                <w:rFonts w:eastAsia="Times New Roman" w:cs="Times New Roman"/>
                <w:iCs/>
                <w:color w:val="365F91" w:themeColor="accent1" w:themeShade="BF"/>
                <w:sz w:val="16"/>
                <w:szCs w:val="20"/>
                <w:lang w:eastAsia="pt-PT"/>
              </w:rPr>
            </w:pPr>
            <w:r w:rsidRPr="00926F4D">
              <w:rPr>
                <w:rFonts w:eastAsia="Times New Roman" w:cs="Times New Roman"/>
                <w:iCs/>
                <w:color w:val="365F91" w:themeColor="accent1" w:themeShade="BF"/>
                <w:sz w:val="16"/>
                <w:szCs w:val="20"/>
                <w:lang w:eastAsia="pt-PT"/>
              </w:rPr>
              <w:t>2ª hora</w:t>
            </w:r>
          </w:p>
        </w:tc>
        <w:tc>
          <w:tcPr>
            <w:tcW w:w="869" w:type="dxa"/>
            <w:tcBorders>
              <w:right w:val="nil"/>
            </w:tcBorders>
            <w:vAlign w:val="center"/>
          </w:tcPr>
          <w:p w:rsidR="006C1595" w:rsidRPr="00926F4D" w:rsidRDefault="006C1595" w:rsidP="001F309E">
            <w:pPr>
              <w:spacing w:line="360" w:lineRule="auto"/>
              <w:jc w:val="center"/>
              <w:rPr>
                <w:rFonts w:eastAsia="Times New Roman" w:cs="Times New Roman"/>
                <w:iCs/>
                <w:color w:val="365F91" w:themeColor="accent1" w:themeShade="BF"/>
                <w:sz w:val="16"/>
                <w:szCs w:val="20"/>
                <w:lang w:eastAsia="pt-PT"/>
              </w:rPr>
            </w:pPr>
            <w:r w:rsidRPr="00926F4D">
              <w:rPr>
                <w:rFonts w:eastAsia="Times New Roman" w:cs="Times New Roman"/>
                <w:iCs/>
                <w:color w:val="365F91" w:themeColor="accent1" w:themeShade="BF"/>
                <w:sz w:val="16"/>
                <w:szCs w:val="20"/>
                <w:lang w:eastAsia="pt-PT"/>
              </w:rPr>
              <w:t>≥ 200</w:t>
            </w:r>
          </w:p>
        </w:tc>
        <w:tc>
          <w:tcPr>
            <w:tcW w:w="832" w:type="dxa"/>
            <w:tcBorders>
              <w:left w:val="nil"/>
            </w:tcBorders>
            <w:vAlign w:val="center"/>
          </w:tcPr>
          <w:p w:rsidR="006C1595" w:rsidRPr="00926F4D" w:rsidRDefault="006C1595" w:rsidP="001F309E">
            <w:pPr>
              <w:spacing w:line="360" w:lineRule="auto"/>
              <w:jc w:val="center"/>
              <w:rPr>
                <w:rFonts w:eastAsia="Times New Roman" w:cs="Times New Roman"/>
                <w:iCs/>
                <w:color w:val="365F91" w:themeColor="accent1" w:themeShade="BF"/>
                <w:sz w:val="16"/>
                <w:szCs w:val="20"/>
                <w:lang w:eastAsia="pt-PT"/>
              </w:rPr>
            </w:pPr>
            <w:r w:rsidRPr="00926F4D">
              <w:rPr>
                <w:rFonts w:eastAsia="Times New Roman" w:cs="Times New Roman"/>
                <w:iCs/>
                <w:color w:val="365F91" w:themeColor="accent1" w:themeShade="BF"/>
                <w:sz w:val="16"/>
                <w:szCs w:val="20"/>
                <w:lang w:eastAsia="pt-PT"/>
              </w:rPr>
              <w:t>≥11,1</w:t>
            </w:r>
          </w:p>
        </w:tc>
        <w:tc>
          <w:tcPr>
            <w:tcW w:w="944" w:type="dxa"/>
            <w:tcBorders>
              <w:right w:val="nil"/>
            </w:tcBorders>
            <w:vAlign w:val="center"/>
          </w:tcPr>
          <w:p w:rsidR="006C1595" w:rsidRPr="00926F4D" w:rsidRDefault="006C1595" w:rsidP="001F309E">
            <w:pPr>
              <w:spacing w:line="360" w:lineRule="auto"/>
              <w:jc w:val="center"/>
              <w:rPr>
                <w:rFonts w:eastAsia="Times New Roman" w:cs="Times New Roman"/>
                <w:iCs/>
                <w:color w:val="365F91" w:themeColor="accent1" w:themeShade="BF"/>
                <w:sz w:val="16"/>
                <w:szCs w:val="20"/>
                <w:lang w:eastAsia="pt-PT"/>
              </w:rPr>
            </w:pPr>
            <w:r w:rsidRPr="00926F4D">
              <w:rPr>
                <w:rFonts w:eastAsia="Times New Roman" w:cs="Times New Roman"/>
                <w:iCs/>
                <w:color w:val="365F91" w:themeColor="accent1" w:themeShade="BF"/>
                <w:sz w:val="16"/>
                <w:szCs w:val="20"/>
                <w:lang w:eastAsia="pt-PT"/>
              </w:rPr>
              <w:t>≥ 200</w:t>
            </w:r>
          </w:p>
        </w:tc>
        <w:tc>
          <w:tcPr>
            <w:tcW w:w="942" w:type="dxa"/>
            <w:tcBorders>
              <w:left w:val="nil"/>
            </w:tcBorders>
            <w:vAlign w:val="center"/>
          </w:tcPr>
          <w:p w:rsidR="006C1595" w:rsidRPr="00926F4D" w:rsidRDefault="006C1595" w:rsidP="001F309E">
            <w:pPr>
              <w:spacing w:line="360" w:lineRule="auto"/>
              <w:jc w:val="center"/>
              <w:rPr>
                <w:rFonts w:eastAsia="Times New Roman" w:cs="Times New Roman"/>
                <w:iCs/>
                <w:color w:val="365F91" w:themeColor="accent1" w:themeShade="BF"/>
                <w:sz w:val="16"/>
                <w:szCs w:val="20"/>
                <w:lang w:eastAsia="pt-PT"/>
              </w:rPr>
            </w:pPr>
            <w:r w:rsidRPr="00926F4D">
              <w:rPr>
                <w:rFonts w:eastAsia="Times New Roman" w:cs="Times New Roman"/>
                <w:iCs/>
                <w:color w:val="365F91" w:themeColor="accent1" w:themeShade="BF"/>
                <w:sz w:val="16"/>
                <w:szCs w:val="20"/>
                <w:lang w:eastAsia="pt-PT"/>
              </w:rPr>
              <w:t>≥11,1</w:t>
            </w:r>
          </w:p>
        </w:tc>
      </w:tr>
      <w:tr w:rsidR="006C1595" w:rsidRPr="00926F4D" w:rsidTr="001F309E">
        <w:trPr>
          <w:jc w:val="center"/>
        </w:trPr>
        <w:tc>
          <w:tcPr>
            <w:tcW w:w="2508" w:type="dxa"/>
            <w:vMerge w:val="restart"/>
            <w:vAlign w:val="center"/>
          </w:tcPr>
          <w:p w:rsidR="006C1595" w:rsidRPr="00926F4D" w:rsidRDefault="006C1595" w:rsidP="001F309E">
            <w:pPr>
              <w:spacing w:line="360" w:lineRule="auto"/>
              <w:rPr>
                <w:rFonts w:eastAsia="Times New Roman" w:cs="Times New Roman"/>
                <w:iCs/>
                <w:color w:val="365F91" w:themeColor="accent1" w:themeShade="BF"/>
                <w:sz w:val="16"/>
                <w:szCs w:val="20"/>
                <w:lang w:eastAsia="pt-PT"/>
              </w:rPr>
            </w:pPr>
            <w:r w:rsidRPr="00926F4D">
              <w:rPr>
                <w:rFonts w:eastAsia="Times New Roman" w:cs="Times New Roman"/>
                <w:iCs/>
                <w:color w:val="365F91" w:themeColor="accent1" w:themeShade="BF"/>
                <w:sz w:val="16"/>
                <w:szCs w:val="20"/>
                <w:lang w:eastAsia="pt-PT"/>
              </w:rPr>
              <w:t>Diminuição da tolerância à glicose</w:t>
            </w:r>
          </w:p>
        </w:tc>
        <w:tc>
          <w:tcPr>
            <w:tcW w:w="780" w:type="dxa"/>
            <w:vAlign w:val="center"/>
          </w:tcPr>
          <w:p w:rsidR="006C1595" w:rsidRPr="00926F4D" w:rsidRDefault="006C1595" w:rsidP="001F309E">
            <w:pPr>
              <w:spacing w:line="360" w:lineRule="auto"/>
              <w:jc w:val="center"/>
              <w:rPr>
                <w:rFonts w:eastAsia="Times New Roman" w:cs="Times New Roman"/>
                <w:iCs/>
                <w:color w:val="365F91" w:themeColor="accent1" w:themeShade="BF"/>
                <w:sz w:val="16"/>
                <w:szCs w:val="20"/>
                <w:lang w:eastAsia="pt-PT"/>
              </w:rPr>
            </w:pPr>
            <w:r w:rsidRPr="00926F4D">
              <w:rPr>
                <w:rFonts w:eastAsia="Times New Roman" w:cs="Times New Roman"/>
                <w:iCs/>
                <w:color w:val="365F91" w:themeColor="accent1" w:themeShade="BF"/>
                <w:sz w:val="16"/>
                <w:szCs w:val="20"/>
                <w:lang w:eastAsia="pt-PT"/>
              </w:rPr>
              <w:t>Jejum</w:t>
            </w:r>
          </w:p>
        </w:tc>
        <w:tc>
          <w:tcPr>
            <w:tcW w:w="869" w:type="dxa"/>
            <w:tcBorders>
              <w:right w:val="nil"/>
            </w:tcBorders>
            <w:vAlign w:val="center"/>
          </w:tcPr>
          <w:p w:rsidR="006C1595" w:rsidRPr="00926F4D" w:rsidRDefault="006C1595" w:rsidP="001F309E">
            <w:pPr>
              <w:spacing w:line="360" w:lineRule="auto"/>
              <w:jc w:val="center"/>
              <w:rPr>
                <w:rFonts w:eastAsia="Times New Roman" w:cs="Times New Roman"/>
                <w:iCs/>
                <w:color w:val="365F91" w:themeColor="accent1" w:themeShade="BF"/>
                <w:sz w:val="16"/>
                <w:szCs w:val="20"/>
                <w:lang w:eastAsia="pt-PT"/>
              </w:rPr>
            </w:pPr>
            <w:r w:rsidRPr="00926F4D">
              <w:rPr>
                <w:rFonts w:eastAsia="Times New Roman" w:cs="Times New Roman"/>
                <w:iCs/>
                <w:color w:val="365F91" w:themeColor="accent1" w:themeShade="BF"/>
                <w:sz w:val="16"/>
                <w:szCs w:val="20"/>
                <w:lang w:eastAsia="pt-PT"/>
              </w:rPr>
              <w:t>&lt; 140</w:t>
            </w:r>
          </w:p>
        </w:tc>
        <w:tc>
          <w:tcPr>
            <w:tcW w:w="832" w:type="dxa"/>
            <w:tcBorders>
              <w:left w:val="nil"/>
            </w:tcBorders>
            <w:vAlign w:val="center"/>
          </w:tcPr>
          <w:p w:rsidR="006C1595" w:rsidRPr="00926F4D" w:rsidRDefault="006C1595" w:rsidP="001F309E">
            <w:pPr>
              <w:spacing w:line="360" w:lineRule="auto"/>
              <w:jc w:val="center"/>
              <w:rPr>
                <w:rFonts w:eastAsia="Times New Roman" w:cs="Times New Roman"/>
                <w:iCs/>
                <w:color w:val="365F91" w:themeColor="accent1" w:themeShade="BF"/>
                <w:sz w:val="16"/>
                <w:szCs w:val="20"/>
                <w:lang w:eastAsia="pt-PT"/>
              </w:rPr>
            </w:pPr>
            <w:r w:rsidRPr="00926F4D">
              <w:rPr>
                <w:rFonts w:eastAsia="Times New Roman" w:cs="Times New Roman"/>
                <w:iCs/>
                <w:color w:val="365F91" w:themeColor="accent1" w:themeShade="BF"/>
                <w:sz w:val="16"/>
                <w:szCs w:val="20"/>
                <w:lang w:eastAsia="pt-PT"/>
              </w:rPr>
              <w:t>&lt;7,8</w:t>
            </w:r>
          </w:p>
        </w:tc>
        <w:tc>
          <w:tcPr>
            <w:tcW w:w="944" w:type="dxa"/>
            <w:tcBorders>
              <w:right w:val="nil"/>
            </w:tcBorders>
            <w:vAlign w:val="center"/>
          </w:tcPr>
          <w:p w:rsidR="006C1595" w:rsidRPr="00926F4D" w:rsidRDefault="006C1595" w:rsidP="001F309E">
            <w:pPr>
              <w:spacing w:line="360" w:lineRule="auto"/>
              <w:jc w:val="center"/>
              <w:rPr>
                <w:rFonts w:eastAsia="Times New Roman" w:cs="Times New Roman"/>
                <w:iCs/>
                <w:color w:val="365F91" w:themeColor="accent1" w:themeShade="BF"/>
                <w:sz w:val="16"/>
                <w:szCs w:val="20"/>
                <w:lang w:eastAsia="pt-PT"/>
              </w:rPr>
            </w:pPr>
            <w:r w:rsidRPr="00926F4D">
              <w:rPr>
                <w:rFonts w:eastAsia="Times New Roman" w:cs="Times New Roman"/>
                <w:iCs/>
                <w:color w:val="365F91" w:themeColor="accent1" w:themeShade="BF"/>
                <w:sz w:val="16"/>
                <w:szCs w:val="20"/>
                <w:lang w:eastAsia="pt-PT"/>
              </w:rPr>
              <w:t>&lt; 126</w:t>
            </w:r>
          </w:p>
        </w:tc>
        <w:tc>
          <w:tcPr>
            <w:tcW w:w="942" w:type="dxa"/>
            <w:tcBorders>
              <w:left w:val="nil"/>
            </w:tcBorders>
            <w:vAlign w:val="center"/>
          </w:tcPr>
          <w:p w:rsidR="006C1595" w:rsidRPr="00926F4D" w:rsidRDefault="006C1595" w:rsidP="001F309E">
            <w:pPr>
              <w:spacing w:line="360" w:lineRule="auto"/>
              <w:jc w:val="center"/>
              <w:rPr>
                <w:rFonts w:eastAsia="Times New Roman" w:cs="Times New Roman"/>
                <w:iCs/>
                <w:color w:val="365F91" w:themeColor="accent1" w:themeShade="BF"/>
                <w:sz w:val="16"/>
                <w:szCs w:val="20"/>
                <w:lang w:eastAsia="pt-PT"/>
              </w:rPr>
            </w:pPr>
            <w:r w:rsidRPr="00926F4D">
              <w:rPr>
                <w:rFonts w:eastAsia="Times New Roman" w:cs="Times New Roman"/>
                <w:iCs/>
                <w:color w:val="365F91" w:themeColor="accent1" w:themeShade="BF"/>
                <w:sz w:val="16"/>
                <w:szCs w:val="20"/>
                <w:lang w:eastAsia="pt-PT"/>
              </w:rPr>
              <w:t>&lt;7,0</w:t>
            </w:r>
          </w:p>
        </w:tc>
      </w:tr>
      <w:tr w:rsidR="006C1595" w:rsidRPr="00926F4D" w:rsidTr="001F309E">
        <w:trPr>
          <w:jc w:val="center"/>
        </w:trPr>
        <w:tc>
          <w:tcPr>
            <w:tcW w:w="2508" w:type="dxa"/>
            <w:vMerge/>
          </w:tcPr>
          <w:p w:rsidR="006C1595" w:rsidRPr="00926F4D" w:rsidRDefault="006C1595" w:rsidP="001F309E">
            <w:pPr>
              <w:spacing w:line="360" w:lineRule="auto"/>
              <w:rPr>
                <w:rFonts w:eastAsia="Times New Roman" w:cs="Times New Roman"/>
                <w:iCs/>
                <w:color w:val="365F91" w:themeColor="accent1" w:themeShade="BF"/>
                <w:sz w:val="16"/>
                <w:szCs w:val="20"/>
                <w:lang w:eastAsia="pt-PT"/>
              </w:rPr>
            </w:pPr>
          </w:p>
        </w:tc>
        <w:tc>
          <w:tcPr>
            <w:tcW w:w="780" w:type="dxa"/>
            <w:vAlign w:val="center"/>
          </w:tcPr>
          <w:p w:rsidR="006C1595" w:rsidRPr="00926F4D" w:rsidRDefault="006C1595" w:rsidP="001F309E">
            <w:pPr>
              <w:spacing w:line="360" w:lineRule="auto"/>
              <w:jc w:val="center"/>
              <w:rPr>
                <w:rFonts w:eastAsia="Times New Roman" w:cs="Times New Roman"/>
                <w:iCs/>
                <w:color w:val="365F91" w:themeColor="accent1" w:themeShade="BF"/>
                <w:sz w:val="16"/>
                <w:szCs w:val="20"/>
                <w:lang w:eastAsia="pt-PT"/>
              </w:rPr>
            </w:pPr>
            <w:r w:rsidRPr="00926F4D">
              <w:rPr>
                <w:rFonts w:eastAsia="Times New Roman" w:cs="Times New Roman"/>
                <w:iCs/>
                <w:color w:val="365F91" w:themeColor="accent1" w:themeShade="BF"/>
                <w:sz w:val="16"/>
                <w:szCs w:val="20"/>
                <w:lang w:eastAsia="pt-PT"/>
              </w:rPr>
              <w:t>2ª hora</w:t>
            </w:r>
          </w:p>
        </w:tc>
        <w:tc>
          <w:tcPr>
            <w:tcW w:w="869" w:type="dxa"/>
            <w:tcBorders>
              <w:right w:val="nil"/>
            </w:tcBorders>
            <w:vAlign w:val="center"/>
          </w:tcPr>
          <w:p w:rsidR="006C1595" w:rsidRPr="00926F4D" w:rsidRDefault="006C1595" w:rsidP="001F309E">
            <w:pPr>
              <w:spacing w:line="360" w:lineRule="auto"/>
              <w:jc w:val="center"/>
              <w:rPr>
                <w:rFonts w:eastAsia="Times New Roman" w:cs="Times New Roman"/>
                <w:iCs/>
                <w:color w:val="365F91" w:themeColor="accent1" w:themeShade="BF"/>
                <w:sz w:val="16"/>
                <w:szCs w:val="20"/>
                <w:lang w:eastAsia="pt-PT"/>
              </w:rPr>
            </w:pPr>
            <w:r w:rsidRPr="00926F4D">
              <w:rPr>
                <w:rFonts w:eastAsia="Times New Roman" w:cs="Times New Roman"/>
                <w:iCs/>
                <w:color w:val="365F91" w:themeColor="accent1" w:themeShade="BF"/>
                <w:sz w:val="16"/>
                <w:szCs w:val="20"/>
                <w:lang w:eastAsia="pt-PT"/>
              </w:rPr>
              <w:t>140- 200</w:t>
            </w:r>
          </w:p>
        </w:tc>
        <w:tc>
          <w:tcPr>
            <w:tcW w:w="832" w:type="dxa"/>
            <w:tcBorders>
              <w:left w:val="nil"/>
            </w:tcBorders>
            <w:vAlign w:val="center"/>
          </w:tcPr>
          <w:p w:rsidR="006C1595" w:rsidRPr="00926F4D" w:rsidRDefault="006C1595" w:rsidP="001F309E">
            <w:pPr>
              <w:spacing w:line="360" w:lineRule="auto"/>
              <w:jc w:val="center"/>
              <w:rPr>
                <w:rFonts w:eastAsia="Times New Roman" w:cs="Times New Roman"/>
                <w:iCs/>
                <w:color w:val="365F91" w:themeColor="accent1" w:themeShade="BF"/>
                <w:sz w:val="16"/>
                <w:szCs w:val="20"/>
                <w:lang w:eastAsia="pt-PT"/>
              </w:rPr>
            </w:pPr>
            <w:r w:rsidRPr="00926F4D">
              <w:rPr>
                <w:rFonts w:eastAsia="Times New Roman" w:cs="Times New Roman"/>
                <w:iCs/>
                <w:color w:val="365F91" w:themeColor="accent1" w:themeShade="BF"/>
                <w:sz w:val="16"/>
                <w:szCs w:val="20"/>
                <w:lang w:eastAsia="pt-PT"/>
              </w:rPr>
              <w:t>7,8-11,1</w:t>
            </w:r>
          </w:p>
        </w:tc>
        <w:tc>
          <w:tcPr>
            <w:tcW w:w="944" w:type="dxa"/>
            <w:tcBorders>
              <w:right w:val="nil"/>
            </w:tcBorders>
            <w:vAlign w:val="center"/>
          </w:tcPr>
          <w:p w:rsidR="006C1595" w:rsidRPr="00926F4D" w:rsidRDefault="006C1595" w:rsidP="001F309E">
            <w:pPr>
              <w:spacing w:line="360" w:lineRule="auto"/>
              <w:jc w:val="center"/>
              <w:rPr>
                <w:rFonts w:eastAsia="Times New Roman" w:cs="Times New Roman"/>
                <w:iCs/>
                <w:color w:val="365F91" w:themeColor="accent1" w:themeShade="BF"/>
                <w:sz w:val="16"/>
                <w:szCs w:val="20"/>
                <w:lang w:eastAsia="pt-PT"/>
              </w:rPr>
            </w:pPr>
            <w:r w:rsidRPr="00926F4D">
              <w:rPr>
                <w:rFonts w:eastAsia="Times New Roman" w:cs="Times New Roman"/>
                <w:iCs/>
                <w:color w:val="365F91" w:themeColor="accent1" w:themeShade="BF"/>
                <w:sz w:val="16"/>
                <w:szCs w:val="20"/>
                <w:lang w:eastAsia="pt-PT"/>
              </w:rPr>
              <w:t>≥140&lt;200</w:t>
            </w:r>
          </w:p>
        </w:tc>
        <w:tc>
          <w:tcPr>
            <w:tcW w:w="942" w:type="dxa"/>
            <w:tcBorders>
              <w:left w:val="nil"/>
            </w:tcBorders>
            <w:vAlign w:val="center"/>
          </w:tcPr>
          <w:p w:rsidR="006C1595" w:rsidRPr="00926F4D" w:rsidRDefault="006C1595" w:rsidP="001F309E">
            <w:pPr>
              <w:spacing w:line="360" w:lineRule="auto"/>
              <w:jc w:val="center"/>
              <w:rPr>
                <w:rFonts w:eastAsia="Times New Roman" w:cs="Times New Roman"/>
                <w:iCs/>
                <w:color w:val="365F91" w:themeColor="accent1" w:themeShade="BF"/>
                <w:sz w:val="16"/>
                <w:szCs w:val="20"/>
                <w:lang w:eastAsia="pt-PT"/>
              </w:rPr>
            </w:pPr>
            <w:r w:rsidRPr="00926F4D">
              <w:rPr>
                <w:rFonts w:eastAsia="Times New Roman" w:cs="Times New Roman"/>
                <w:iCs/>
                <w:color w:val="365F91" w:themeColor="accent1" w:themeShade="BF"/>
                <w:sz w:val="16"/>
                <w:szCs w:val="20"/>
                <w:lang w:eastAsia="pt-PT"/>
              </w:rPr>
              <w:t>&gt;7,8&lt;11,1</w:t>
            </w:r>
          </w:p>
        </w:tc>
      </w:tr>
      <w:tr w:rsidR="006C1595" w:rsidRPr="00926F4D" w:rsidTr="001F309E">
        <w:trPr>
          <w:trHeight w:val="417"/>
          <w:jc w:val="center"/>
        </w:trPr>
        <w:tc>
          <w:tcPr>
            <w:tcW w:w="2508" w:type="dxa"/>
            <w:vAlign w:val="center"/>
          </w:tcPr>
          <w:p w:rsidR="006C1595" w:rsidRPr="00926F4D" w:rsidRDefault="006C1595" w:rsidP="001F309E">
            <w:pPr>
              <w:spacing w:line="360" w:lineRule="auto"/>
              <w:rPr>
                <w:rFonts w:eastAsia="Times New Roman" w:cs="Times New Roman"/>
                <w:iCs/>
                <w:color w:val="365F91" w:themeColor="accent1" w:themeShade="BF"/>
                <w:sz w:val="16"/>
                <w:szCs w:val="20"/>
                <w:lang w:eastAsia="pt-PT"/>
              </w:rPr>
            </w:pPr>
            <w:r w:rsidRPr="00926F4D">
              <w:rPr>
                <w:rFonts w:eastAsia="Times New Roman" w:cs="Times New Roman"/>
                <w:iCs/>
                <w:color w:val="365F91" w:themeColor="accent1" w:themeShade="BF"/>
                <w:sz w:val="16"/>
                <w:szCs w:val="20"/>
                <w:lang w:eastAsia="pt-PT"/>
              </w:rPr>
              <w:t>Anomalia da glicémia em jejum</w:t>
            </w:r>
          </w:p>
        </w:tc>
        <w:tc>
          <w:tcPr>
            <w:tcW w:w="780" w:type="dxa"/>
            <w:vAlign w:val="center"/>
          </w:tcPr>
          <w:p w:rsidR="006C1595" w:rsidRPr="00926F4D" w:rsidRDefault="006C1595" w:rsidP="001F309E">
            <w:pPr>
              <w:spacing w:line="360" w:lineRule="auto"/>
              <w:jc w:val="center"/>
              <w:rPr>
                <w:rFonts w:eastAsia="Times New Roman" w:cs="Times New Roman"/>
                <w:iCs/>
                <w:color w:val="365F91" w:themeColor="accent1" w:themeShade="BF"/>
                <w:sz w:val="16"/>
                <w:szCs w:val="20"/>
                <w:lang w:eastAsia="pt-PT"/>
              </w:rPr>
            </w:pPr>
            <w:r w:rsidRPr="00926F4D">
              <w:rPr>
                <w:rFonts w:eastAsia="Times New Roman" w:cs="Times New Roman"/>
                <w:iCs/>
                <w:color w:val="365F91" w:themeColor="accent1" w:themeShade="BF"/>
                <w:sz w:val="16"/>
                <w:szCs w:val="20"/>
                <w:lang w:eastAsia="pt-PT"/>
              </w:rPr>
              <w:t>Jejum</w:t>
            </w:r>
          </w:p>
        </w:tc>
        <w:tc>
          <w:tcPr>
            <w:tcW w:w="1701" w:type="dxa"/>
            <w:gridSpan w:val="2"/>
            <w:vAlign w:val="center"/>
          </w:tcPr>
          <w:p w:rsidR="006C1595" w:rsidRPr="00926F4D" w:rsidRDefault="006C1595" w:rsidP="001F309E">
            <w:pPr>
              <w:spacing w:line="360" w:lineRule="auto"/>
              <w:jc w:val="center"/>
              <w:rPr>
                <w:rFonts w:eastAsia="Times New Roman" w:cs="Times New Roman"/>
                <w:iCs/>
                <w:color w:val="365F91" w:themeColor="accent1" w:themeShade="BF"/>
                <w:sz w:val="16"/>
                <w:szCs w:val="20"/>
                <w:lang w:eastAsia="pt-PT"/>
              </w:rPr>
            </w:pPr>
          </w:p>
        </w:tc>
        <w:tc>
          <w:tcPr>
            <w:tcW w:w="944" w:type="dxa"/>
            <w:tcBorders>
              <w:right w:val="nil"/>
            </w:tcBorders>
            <w:vAlign w:val="center"/>
          </w:tcPr>
          <w:p w:rsidR="006C1595" w:rsidRPr="00926F4D" w:rsidRDefault="006C1595" w:rsidP="001F309E">
            <w:pPr>
              <w:spacing w:line="360" w:lineRule="auto"/>
              <w:jc w:val="center"/>
              <w:rPr>
                <w:rFonts w:eastAsia="Times New Roman" w:cs="Times New Roman"/>
                <w:iCs/>
                <w:color w:val="365F91" w:themeColor="accent1" w:themeShade="BF"/>
                <w:sz w:val="16"/>
                <w:szCs w:val="20"/>
                <w:lang w:eastAsia="pt-PT"/>
              </w:rPr>
            </w:pPr>
            <w:r w:rsidRPr="00926F4D">
              <w:rPr>
                <w:rFonts w:eastAsia="Times New Roman" w:cs="Times New Roman"/>
                <w:iCs/>
                <w:color w:val="365F91" w:themeColor="accent1" w:themeShade="BF"/>
                <w:sz w:val="16"/>
                <w:szCs w:val="20"/>
                <w:lang w:eastAsia="pt-PT"/>
              </w:rPr>
              <w:t>≥110&lt;126</w:t>
            </w:r>
          </w:p>
        </w:tc>
        <w:tc>
          <w:tcPr>
            <w:tcW w:w="942" w:type="dxa"/>
            <w:tcBorders>
              <w:left w:val="nil"/>
            </w:tcBorders>
            <w:vAlign w:val="center"/>
          </w:tcPr>
          <w:p w:rsidR="006C1595" w:rsidRPr="00926F4D" w:rsidRDefault="006C1595" w:rsidP="001F309E">
            <w:pPr>
              <w:spacing w:line="360" w:lineRule="auto"/>
              <w:jc w:val="center"/>
              <w:rPr>
                <w:rFonts w:eastAsia="Times New Roman" w:cs="Times New Roman"/>
                <w:iCs/>
                <w:color w:val="365F91" w:themeColor="accent1" w:themeShade="BF"/>
                <w:sz w:val="16"/>
                <w:szCs w:val="20"/>
                <w:lang w:eastAsia="pt-PT"/>
              </w:rPr>
            </w:pPr>
            <w:r w:rsidRPr="00926F4D">
              <w:rPr>
                <w:rFonts w:eastAsia="Times New Roman" w:cs="Times New Roman"/>
                <w:iCs/>
                <w:color w:val="365F91" w:themeColor="accent1" w:themeShade="BF"/>
                <w:sz w:val="16"/>
                <w:szCs w:val="20"/>
                <w:lang w:eastAsia="pt-PT"/>
              </w:rPr>
              <w:t>&gt;6,1&lt;7,0</w:t>
            </w:r>
          </w:p>
        </w:tc>
      </w:tr>
      <w:tr w:rsidR="006C1595" w:rsidRPr="00926F4D" w:rsidTr="001F309E">
        <w:trPr>
          <w:jc w:val="center"/>
        </w:trPr>
        <w:tc>
          <w:tcPr>
            <w:tcW w:w="2508" w:type="dxa"/>
            <w:vMerge w:val="restart"/>
            <w:vAlign w:val="center"/>
          </w:tcPr>
          <w:p w:rsidR="006C1595" w:rsidRPr="00926F4D" w:rsidRDefault="006C1595" w:rsidP="001F309E">
            <w:pPr>
              <w:spacing w:line="360" w:lineRule="auto"/>
              <w:rPr>
                <w:rFonts w:eastAsia="Times New Roman" w:cs="Times New Roman"/>
                <w:iCs/>
                <w:color w:val="365F91" w:themeColor="accent1" w:themeShade="BF"/>
                <w:sz w:val="16"/>
                <w:szCs w:val="20"/>
                <w:lang w:eastAsia="pt-PT"/>
              </w:rPr>
            </w:pPr>
            <w:r w:rsidRPr="00926F4D">
              <w:rPr>
                <w:rFonts w:eastAsia="Times New Roman" w:cs="Times New Roman"/>
                <w:iCs/>
                <w:color w:val="365F91" w:themeColor="accent1" w:themeShade="BF"/>
                <w:sz w:val="16"/>
                <w:szCs w:val="20"/>
                <w:lang w:eastAsia="pt-PT"/>
              </w:rPr>
              <w:t>Prova normal</w:t>
            </w:r>
          </w:p>
        </w:tc>
        <w:tc>
          <w:tcPr>
            <w:tcW w:w="780" w:type="dxa"/>
            <w:vAlign w:val="center"/>
          </w:tcPr>
          <w:p w:rsidR="006C1595" w:rsidRPr="00926F4D" w:rsidRDefault="006C1595" w:rsidP="001F309E">
            <w:pPr>
              <w:spacing w:line="360" w:lineRule="auto"/>
              <w:jc w:val="center"/>
              <w:rPr>
                <w:rFonts w:eastAsia="Times New Roman" w:cs="Times New Roman"/>
                <w:iCs/>
                <w:color w:val="365F91" w:themeColor="accent1" w:themeShade="BF"/>
                <w:sz w:val="16"/>
                <w:szCs w:val="20"/>
                <w:lang w:eastAsia="pt-PT"/>
              </w:rPr>
            </w:pPr>
            <w:r w:rsidRPr="00926F4D">
              <w:rPr>
                <w:rFonts w:eastAsia="Times New Roman" w:cs="Times New Roman"/>
                <w:iCs/>
                <w:color w:val="365F91" w:themeColor="accent1" w:themeShade="BF"/>
                <w:sz w:val="16"/>
                <w:szCs w:val="20"/>
                <w:lang w:eastAsia="pt-PT"/>
              </w:rPr>
              <w:t>Jejum</w:t>
            </w:r>
          </w:p>
        </w:tc>
        <w:tc>
          <w:tcPr>
            <w:tcW w:w="1701" w:type="dxa"/>
            <w:gridSpan w:val="2"/>
            <w:vMerge w:val="restart"/>
            <w:vAlign w:val="center"/>
          </w:tcPr>
          <w:p w:rsidR="006C1595" w:rsidRPr="00926F4D" w:rsidRDefault="006C1595" w:rsidP="001F309E">
            <w:pPr>
              <w:spacing w:line="360" w:lineRule="auto"/>
              <w:jc w:val="center"/>
              <w:rPr>
                <w:rFonts w:eastAsia="Times New Roman" w:cs="Times New Roman"/>
                <w:iCs/>
                <w:color w:val="365F91" w:themeColor="accent1" w:themeShade="BF"/>
                <w:sz w:val="16"/>
                <w:szCs w:val="20"/>
                <w:vertAlign w:val="superscript"/>
                <w:lang w:eastAsia="pt-PT"/>
              </w:rPr>
            </w:pPr>
            <w:r w:rsidRPr="00926F4D">
              <w:rPr>
                <w:rFonts w:eastAsia="Times New Roman" w:cs="Times New Roman"/>
                <w:iCs/>
                <w:color w:val="365F91" w:themeColor="accent1" w:themeShade="BF"/>
                <w:sz w:val="16"/>
                <w:szCs w:val="20"/>
                <w:vertAlign w:val="superscript"/>
                <w:lang w:eastAsia="pt-PT"/>
              </w:rPr>
              <w:t>(*)</w:t>
            </w:r>
          </w:p>
        </w:tc>
        <w:tc>
          <w:tcPr>
            <w:tcW w:w="944" w:type="dxa"/>
            <w:tcBorders>
              <w:right w:val="nil"/>
            </w:tcBorders>
            <w:vAlign w:val="center"/>
          </w:tcPr>
          <w:p w:rsidR="006C1595" w:rsidRPr="00926F4D" w:rsidRDefault="006C1595" w:rsidP="001F309E">
            <w:pPr>
              <w:tabs>
                <w:tab w:val="center" w:pos="1224"/>
                <w:tab w:val="right" w:pos="2449"/>
              </w:tabs>
              <w:spacing w:line="360" w:lineRule="auto"/>
              <w:jc w:val="center"/>
              <w:rPr>
                <w:rFonts w:eastAsia="Times New Roman" w:cs="Times New Roman"/>
                <w:iCs/>
                <w:color w:val="365F91" w:themeColor="accent1" w:themeShade="BF"/>
                <w:sz w:val="16"/>
                <w:szCs w:val="20"/>
                <w:lang w:eastAsia="pt-PT"/>
              </w:rPr>
            </w:pPr>
            <w:r w:rsidRPr="00926F4D">
              <w:rPr>
                <w:rFonts w:eastAsia="Times New Roman" w:cs="Times New Roman"/>
                <w:iCs/>
                <w:color w:val="365F91" w:themeColor="accent1" w:themeShade="BF"/>
                <w:sz w:val="16"/>
                <w:szCs w:val="20"/>
                <w:lang w:eastAsia="pt-PT"/>
              </w:rPr>
              <w:t>&lt; 110</w:t>
            </w:r>
          </w:p>
        </w:tc>
        <w:tc>
          <w:tcPr>
            <w:tcW w:w="942" w:type="dxa"/>
            <w:tcBorders>
              <w:left w:val="nil"/>
            </w:tcBorders>
            <w:vAlign w:val="center"/>
          </w:tcPr>
          <w:p w:rsidR="006C1595" w:rsidRPr="00926F4D" w:rsidRDefault="006C1595" w:rsidP="001F309E">
            <w:pPr>
              <w:tabs>
                <w:tab w:val="center" w:pos="1224"/>
                <w:tab w:val="right" w:pos="2449"/>
              </w:tabs>
              <w:spacing w:line="360" w:lineRule="auto"/>
              <w:jc w:val="center"/>
              <w:rPr>
                <w:rFonts w:eastAsia="Times New Roman" w:cs="Times New Roman"/>
                <w:iCs/>
                <w:color w:val="365F91" w:themeColor="accent1" w:themeShade="BF"/>
                <w:sz w:val="16"/>
                <w:szCs w:val="20"/>
                <w:lang w:eastAsia="pt-PT"/>
              </w:rPr>
            </w:pPr>
            <w:r w:rsidRPr="00926F4D">
              <w:rPr>
                <w:rFonts w:eastAsia="Times New Roman" w:cs="Times New Roman"/>
                <w:iCs/>
                <w:color w:val="365F91" w:themeColor="accent1" w:themeShade="BF"/>
                <w:sz w:val="16"/>
                <w:szCs w:val="20"/>
                <w:lang w:eastAsia="pt-PT"/>
              </w:rPr>
              <w:t>&lt;6,1</w:t>
            </w:r>
          </w:p>
        </w:tc>
      </w:tr>
      <w:tr w:rsidR="006C1595" w:rsidRPr="00926F4D" w:rsidTr="001F309E">
        <w:trPr>
          <w:jc w:val="center"/>
        </w:trPr>
        <w:tc>
          <w:tcPr>
            <w:tcW w:w="2508" w:type="dxa"/>
            <w:vMerge/>
          </w:tcPr>
          <w:p w:rsidR="006C1595" w:rsidRPr="00926F4D" w:rsidRDefault="006C1595" w:rsidP="001F309E">
            <w:pPr>
              <w:spacing w:line="360" w:lineRule="auto"/>
              <w:rPr>
                <w:rFonts w:eastAsia="Times New Roman" w:cs="Times New Roman"/>
                <w:iCs/>
                <w:color w:val="365F91" w:themeColor="accent1" w:themeShade="BF"/>
                <w:sz w:val="16"/>
                <w:szCs w:val="20"/>
                <w:lang w:eastAsia="pt-PT"/>
              </w:rPr>
            </w:pPr>
          </w:p>
        </w:tc>
        <w:tc>
          <w:tcPr>
            <w:tcW w:w="780" w:type="dxa"/>
            <w:vAlign w:val="center"/>
          </w:tcPr>
          <w:p w:rsidR="006C1595" w:rsidRPr="00926F4D" w:rsidRDefault="006C1595" w:rsidP="001F309E">
            <w:pPr>
              <w:spacing w:line="360" w:lineRule="auto"/>
              <w:jc w:val="center"/>
              <w:rPr>
                <w:rFonts w:eastAsia="Times New Roman" w:cs="Times New Roman"/>
                <w:iCs/>
                <w:color w:val="365F91" w:themeColor="accent1" w:themeShade="BF"/>
                <w:sz w:val="16"/>
                <w:szCs w:val="20"/>
                <w:lang w:eastAsia="pt-PT"/>
              </w:rPr>
            </w:pPr>
            <w:r w:rsidRPr="00926F4D">
              <w:rPr>
                <w:rFonts w:eastAsia="Times New Roman" w:cs="Times New Roman"/>
                <w:iCs/>
                <w:color w:val="365F91" w:themeColor="accent1" w:themeShade="BF"/>
                <w:sz w:val="16"/>
                <w:szCs w:val="20"/>
                <w:lang w:eastAsia="pt-PT"/>
              </w:rPr>
              <w:t>2ª hora</w:t>
            </w:r>
          </w:p>
        </w:tc>
        <w:tc>
          <w:tcPr>
            <w:tcW w:w="1701" w:type="dxa"/>
            <w:gridSpan w:val="2"/>
            <w:vMerge/>
            <w:vAlign w:val="center"/>
          </w:tcPr>
          <w:p w:rsidR="006C1595" w:rsidRPr="00926F4D" w:rsidRDefault="006C1595" w:rsidP="001F309E">
            <w:pPr>
              <w:spacing w:line="360" w:lineRule="auto"/>
              <w:jc w:val="center"/>
              <w:rPr>
                <w:rFonts w:eastAsia="Times New Roman" w:cs="Times New Roman"/>
                <w:iCs/>
                <w:color w:val="365F91" w:themeColor="accent1" w:themeShade="BF"/>
                <w:sz w:val="16"/>
                <w:szCs w:val="20"/>
                <w:vertAlign w:val="superscript"/>
                <w:lang w:eastAsia="pt-PT"/>
              </w:rPr>
            </w:pPr>
          </w:p>
        </w:tc>
        <w:tc>
          <w:tcPr>
            <w:tcW w:w="944" w:type="dxa"/>
            <w:tcBorders>
              <w:right w:val="nil"/>
            </w:tcBorders>
            <w:vAlign w:val="center"/>
          </w:tcPr>
          <w:p w:rsidR="006C1595" w:rsidRPr="00926F4D" w:rsidRDefault="006C1595" w:rsidP="001F309E">
            <w:pPr>
              <w:spacing w:line="360" w:lineRule="auto"/>
              <w:jc w:val="center"/>
              <w:rPr>
                <w:rFonts w:eastAsia="Times New Roman" w:cs="Times New Roman"/>
                <w:iCs/>
                <w:color w:val="365F91" w:themeColor="accent1" w:themeShade="BF"/>
                <w:sz w:val="16"/>
                <w:szCs w:val="20"/>
                <w:lang w:eastAsia="pt-PT"/>
              </w:rPr>
            </w:pPr>
            <w:r w:rsidRPr="00926F4D">
              <w:rPr>
                <w:rFonts w:eastAsia="Times New Roman" w:cs="Times New Roman"/>
                <w:iCs/>
                <w:color w:val="365F91" w:themeColor="accent1" w:themeShade="BF"/>
                <w:sz w:val="16"/>
                <w:szCs w:val="20"/>
                <w:lang w:eastAsia="pt-PT"/>
              </w:rPr>
              <w:t>&lt; 140</w:t>
            </w:r>
          </w:p>
        </w:tc>
        <w:tc>
          <w:tcPr>
            <w:tcW w:w="942" w:type="dxa"/>
            <w:tcBorders>
              <w:left w:val="nil"/>
            </w:tcBorders>
            <w:vAlign w:val="center"/>
          </w:tcPr>
          <w:p w:rsidR="006C1595" w:rsidRPr="00926F4D" w:rsidRDefault="006C1595" w:rsidP="001F309E">
            <w:pPr>
              <w:spacing w:line="360" w:lineRule="auto"/>
              <w:jc w:val="center"/>
              <w:rPr>
                <w:rFonts w:eastAsia="Times New Roman" w:cs="Times New Roman"/>
                <w:iCs/>
                <w:color w:val="365F91" w:themeColor="accent1" w:themeShade="BF"/>
                <w:sz w:val="16"/>
                <w:szCs w:val="20"/>
                <w:lang w:eastAsia="pt-PT"/>
              </w:rPr>
            </w:pPr>
            <w:r w:rsidRPr="00926F4D">
              <w:rPr>
                <w:rFonts w:eastAsia="Times New Roman" w:cs="Times New Roman"/>
                <w:iCs/>
                <w:color w:val="365F91" w:themeColor="accent1" w:themeShade="BF"/>
                <w:sz w:val="16"/>
                <w:szCs w:val="20"/>
                <w:lang w:eastAsia="pt-PT"/>
              </w:rPr>
              <w:t>&lt;7,8</w:t>
            </w:r>
          </w:p>
        </w:tc>
      </w:tr>
    </w:tbl>
    <w:p w:rsidR="006C1595" w:rsidRPr="00926F4D" w:rsidRDefault="006C1595" w:rsidP="001F309E">
      <w:pPr>
        <w:spacing w:line="240" w:lineRule="auto"/>
        <w:ind w:left="1843"/>
        <w:rPr>
          <w:rFonts w:eastAsia="Times New Roman" w:cs="Times New Roman"/>
          <w:iCs/>
          <w:color w:val="365F91" w:themeColor="accent1" w:themeShade="BF"/>
          <w:sz w:val="16"/>
          <w:szCs w:val="20"/>
          <w:lang w:eastAsia="pt-PT"/>
        </w:rPr>
      </w:pPr>
      <w:r w:rsidRPr="00926F4D">
        <w:rPr>
          <w:rFonts w:ascii="Times New Roman" w:eastAsia="Times New Roman" w:hAnsi="Times New Roman" w:cs="Times New Roman"/>
          <w:iCs/>
          <w:color w:val="365F91" w:themeColor="accent1" w:themeShade="BF"/>
          <w:sz w:val="20"/>
          <w:szCs w:val="20"/>
          <w:vertAlign w:val="superscript"/>
          <w:lang w:eastAsia="pt-PT"/>
        </w:rPr>
        <w:br w:type="textWrapping" w:clear="all"/>
      </w:r>
      <w:r w:rsidRPr="00926F4D">
        <w:rPr>
          <w:rFonts w:eastAsia="Times New Roman" w:cs="Times New Roman"/>
          <w:iCs/>
          <w:color w:val="365F91" w:themeColor="accent1" w:themeShade="BF"/>
          <w:sz w:val="16"/>
          <w:szCs w:val="20"/>
          <w:vertAlign w:val="superscript"/>
          <w:lang w:eastAsia="pt-PT"/>
        </w:rPr>
        <w:t xml:space="preserve">(*) - </w:t>
      </w:r>
      <w:r w:rsidRPr="00926F4D">
        <w:rPr>
          <w:rFonts w:eastAsia="Times New Roman" w:cs="Times New Roman"/>
          <w:iCs/>
          <w:color w:val="365F91" w:themeColor="accent1" w:themeShade="BF"/>
          <w:sz w:val="16"/>
          <w:szCs w:val="20"/>
          <w:lang w:eastAsia="pt-PT"/>
        </w:rPr>
        <w:t>Prova normal - classificar como anormalidade prévia de tolerância à glicose</w:t>
      </w:r>
    </w:p>
    <w:p w:rsidR="008C63D4" w:rsidRPr="00926F4D" w:rsidRDefault="008C63D4" w:rsidP="008C63D4">
      <w:pPr>
        <w:spacing w:after="0" w:line="360" w:lineRule="auto"/>
        <w:ind w:left="567"/>
        <w:rPr>
          <w:color w:val="365F91" w:themeColor="accent1" w:themeShade="BF"/>
          <w:sz w:val="18"/>
          <w:szCs w:val="18"/>
        </w:rPr>
      </w:pPr>
      <w:r w:rsidRPr="00926F4D">
        <w:rPr>
          <w:color w:val="365F91" w:themeColor="accent1" w:themeShade="BF"/>
          <w:sz w:val="18"/>
          <w:szCs w:val="18"/>
        </w:rPr>
        <w:t>Não foi incluída a tabela por exceder o número de tabelas permitidas neste tipo de estudo</w:t>
      </w:r>
      <w:r w:rsidR="00412DDF" w:rsidRPr="00926F4D">
        <w:rPr>
          <w:color w:val="365F91" w:themeColor="accent1" w:themeShade="BF"/>
          <w:sz w:val="18"/>
          <w:szCs w:val="18"/>
        </w:rPr>
        <w:t>. Se tal me for permitido poderá ser incluída em anexo, tal como os critérios diagnóstico.</w:t>
      </w:r>
    </w:p>
    <w:p w:rsidR="00412DDF" w:rsidRPr="008C63D4" w:rsidRDefault="00412DDF" w:rsidP="008C63D4">
      <w:pPr>
        <w:spacing w:after="0" w:line="360" w:lineRule="auto"/>
        <w:ind w:left="567"/>
        <w:rPr>
          <w:color w:val="0F243E" w:themeColor="text2" w:themeShade="80"/>
          <w:sz w:val="18"/>
          <w:szCs w:val="18"/>
        </w:rPr>
      </w:pPr>
    </w:p>
    <w:p w:rsidR="008D0913" w:rsidRDefault="008D0913" w:rsidP="008D0913">
      <w:pPr>
        <w:spacing w:after="0" w:line="360" w:lineRule="auto"/>
      </w:pPr>
      <w:r>
        <w:t>No último parágrafo fazem a comparação dos RN filhos de mãe diabéticas com os filhos de mães não diabéticas internados na UCIN da vossa maternidade. Que interesse pode isso ter se os estão a comparar com um grupo tão heterogéneo de doentes? (imagino que desde a prematuridade extrema até ao RN clinicamente bem). Da leitura do quadro 5 transparece que ser filho de mãe diabético pode ser protetor na UCIN. Se houve algum propósito nesta comparação ele deve estar explicitamente referido na discussão, o que não acontece.</w:t>
      </w:r>
    </w:p>
    <w:p w:rsidR="008C63D4" w:rsidRPr="00926F4D" w:rsidRDefault="008C63D4" w:rsidP="008C63D4">
      <w:pPr>
        <w:spacing w:after="0" w:line="360" w:lineRule="auto"/>
        <w:ind w:left="567"/>
        <w:rPr>
          <w:color w:val="365F91" w:themeColor="accent1" w:themeShade="BF"/>
          <w:sz w:val="18"/>
          <w:szCs w:val="18"/>
        </w:rPr>
      </w:pPr>
      <w:r w:rsidRPr="00926F4D">
        <w:rPr>
          <w:color w:val="365F91" w:themeColor="accent1" w:themeShade="BF"/>
          <w:sz w:val="18"/>
          <w:szCs w:val="18"/>
        </w:rPr>
        <w:t>O interesse desta comparação reside no facto de, apesar do melhor controlo metabólico, estes RN continuarem a ter um</w:t>
      </w:r>
      <w:r w:rsidR="005B71B4" w:rsidRPr="00926F4D">
        <w:rPr>
          <w:color w:val="365F91" w:themeColor="accent1" w:themeShade="BF"/>
          <w:sz w:val="18"/>
          <w:szCs w:val="18"/>
        </w:rPr>
        <w:t>a</w:t>
      </w:r>
      <w:r w:rsidRPr="00926F4D">
        <w:rPr>
          <w:color w:val="365F91" w:themeColor="accent1" w:themeShade="BF"/>
          <w:sz w:val="18"/>
          <w:szCs w:val="18"/>
        </w:rPr>
        <w:t xml:space="preserve"> morbi</w:t>
      </w:r>
      <w:r w:rsidR="00412DDF" w:rsidRPr="00926F4D">
        <w:rPr>
          <w:color w:val="365F91" w:themeColor="accent1" w:themeShade="BF"/>
          <w:sz w:val="18"/>
          <w:szCs w:val="18"/>
        </w:rPr>
        <w:t>lidade superior à dos outros RN, morbilidade essa que por ser ligeira não justifica internamento na UCIN.</w:t>
      </w:r>
    </w:p>
    <w:p w:rsidR="008C63D4" w:rsidRPr="00926F4D" w:rsidRDefault="008C63D4" w:rsidP="008C63D4">
      <w:pPr>
        <w:spacing w:after="0" w:line="360" w:lineRule="auto"/>
        <w:ind w:left="567"/>
        <w:rPr>
          <w:color w:val="365F91" w:themeColor="accent1" w:themeShade="BF"/>
          <w:sz w:val="18"/>
          <w:szCs w:val="18"/>
        </w:rPr>
      </w:pPr>
      <w:r w:rsidRPr="00926F4D">
        <w:rPr>
          <w:color w:val="365F91" w:themeColor="accent1" w:themeShade="BF"/>
          <w:sz w:val="18"/>
          <w:szCs w:val="18"/>
        </w:rPr>
        <w:t>Por outro lado as alterações encontradas: ser menos macrossómico e mais LIG, ter mais hipoglicémia ou mais anomalias congénitas poderiam ser também encontradas nos outros RN. Em ambos os grupos se optou por não excluir os grandes PT. Na avaliação da hiper</w:t>
      </w:r>
      <w:r w:rsidR="00412DDF" w:rsidRPr="00926F4D">
        <w:rPr>
          <w:color w:val="365F91" w:themeColor="accent1" w:themeShade="BF"/>
          <w:sz w:val="18"/>
          <w:szCs w:val="18"/>
        </w:rPr>
        <w:t>bilirrubinémia</w:t>
      </w:r>
      <w:r w:rsidRPr="00926F4D">
        <w:rPr>
          <w:color w:val="365F91" w:themeColor="accent1" w:themeShade="BF"/>
          <w:sz w:val="18"/>
          <w:szCs w:val="18"/>
        </w:rPr>
        <w:t xml:space="preserve"> excluíram-se sim as causadas por doença hemolítica do RN e portanto não atribuíveis à DG em si.</w:t>
      </w:r>
    </w:p>
    <w:p w:rsidR="008D0913" w:rsidRDefault="008D0913" w:rsidP="008D0913">
      <w:pPr>
        <w:spacing w:after="0" w:line="360" w:lineRule="auto"/>
      </w:pPr>
    </w:p>
    <w:p w:rsidR="008D0913" w:rsidRDefault="008D0913" w:rsidP="008D0913">
      <w:pPr>
        <w:spacing w:after="0" w:line="360" w:lineRule="auto"/>
      </w:pPr>
      <w:r>
        <w:t>Discussão</w:t>
      </w:r>
    </w:p>
    <w:p w:rsidR="008D0913" w:rsidRDefault="008D0913" w:rsidP="008D0913">
      <w:pPr>
        <w:spacing w:after="0" w:line="360" w:lineRule="auto"/>
      </w:pPr>
      <w:r>
        <w:t>Deveria ser extensamente discutida a percentagem de glicemia em jejum alterada passar de 4,6% para 40,8% em dois períodos consecutivos tão próximos. Se este aumento “brutal” se deve a uma reclassificação dos doentes, então estamos a falar de grupos muito diferentes e por isso o trabalho perde parte do seu valor.</w:t>
      </w:r>
    </w:p>
    <w:p w:rsidR="00446A31" w:rsidRPr="00926F4D" w:rsidRDefault="00446A31" w:rsidP="00446A31">
      <w:pPr>
        <w:spacing w:after="0" w:line="360" w:lineRule="auto"/>
        <w:ind w:left="567"/>
        <w:rPr>
          <w:color w:val="365F91" w:themeColor="accent1" w:themeShade="BF"/>
          <w:sz w:val="18"/>
          <w:szCs w:val="18"/>
        </w:rPr>
      </w:pPr>
      <w:r w:rsidRPr="00926F4D">
        <w:rPr>
          <w:color w:val="365F91" w:themeColor="accent1" w:themeShade="BF"/>
          <w:sz w:val="18"/>
          <w:szCs w:val="18"/>
        </w:rPr>
        <w:t xml:space="preserve">Como referido questão anterior, os critérios de diagnóstico de DG foram alterados entre os dois períodos. A principal alteração consistiu na recomendação da realização de uma determinação da glicémia em jejum no 1º trimestre, o que não era feito anteriormente. Compreende-se </w:t>
      </w:r>
      <w:r w:rsidR="00412DDF" w:rsidRPr="00926F4D">
        <w:rPr>
          <w:color w:val="365F91" w:themeColor="accent1" w:themeShade="BF"/>
          <w:sz w:val="18"/>
          <w:szCs w:val="18"/>
        </w:rPr>
        <w:t xml:space="preserve">assim que um grupo superior </w:t>
      </w:r>
      <w:r w:rsidRPr="00926F4D">
        <w:rPr>
          <w:color w:val="365F91" w:themeColor="accent1" w:themeShade="BF"/>
          <w:sz w:val="18"/>
          <w:szCs w:val="18"/>
        </w:rPr>
        <w:t>de mulheres ten</w:t>
      </w:r>
      <w:r w:rsidR="00A0606E">
        <w:rPr>
          <w:color w:val="365F91" w:themeColor="accent1" w:themeShade="BF"/>
          <w:sz w:val="18"/>
          <w:szCs w:val="18"/>
        </w:rPr>
        <w:t>ha</w:t>
      </w:r>
      <w:r w:rsidRPr="00926F4D">
        <w:rPr>
          <w:color w:val="365F91" w:themeColor="accent1" w:themeShade="BF"/>
          <w:sz w:val="18"/>
          <w:szCs w:val="18"/>
        </w:rPr>
        <w:t xml:space="preserve"> este valor alterado.</w:t>
      </w:r>
      <w:r w:rsidR="00987D01">
        <w:rPr>
          <w:color w:val="365F91" w:themeColor="accent1" w:themeShade="BF"/>
          <w:sz w:val="18"/>
          <w:szCs w:val="18"/>
        </w:rPr>
        <w:t xml:space="preserve"> Em número absoluto não houve um aumento muito significativo de mulheres com</w:t>
      </w:r>
      <w:r w:rsidR="00A0606E">
        <w:rPr>
          <w:color w:val="365F91" w:themeColor="accent1" w:themeShade="BF"/>
          <w:sz w:val="18"/>
          <w:szCs w:val="18"/>
        </w:rPr>
        <w:t xml:space="preserve"> </w:t>
      </w:r>
      <w:r w:rsidR="00987D01">
        <w:rPr>
          <w:color w:val="365F91" w:themeColor="accent1" w:themeShade="BF"/>
          <w:sz w:val="18"/>
          <w:szCs w:val="18"/>
        </w:rPr>
        <w:t>DG</w:t>
      </w:r>
      <w:r w:rsidR="00A0606E">
        <w:rPr>
          <w:color w:val="365F91" w:themeColor="accent1" w:themeShade="BF"/>
          <w:sz w:val="18"/>
          <w:szCs w:val="18"/>
        </w:rPr>
        <w:t>, houve sim um diagnóstico mais precoce nas grávidas do 2º período (novo consenso), já que o diagnóstico deixou praticamente de ser efetuado no 3º trimestre.  O objetivo é diagnosticar mais cedo, corrigir alterações metabólicas mais cedo para diminuir a morbilidade perinatal (mãe e filho) o que estranhamento viemos a verificar não ter acontecido.</w:t>
      </w:r>
    </w:p>
    <w:p w:rsidR="00446A31" w:rsidRDefault="00446A31" w:rsidP="008D0913">
      <w:pPr>
        <w:spacing w:after="0" w:line="360" w:lineRule="auto"/>
      </w:pPr>
    </w:p>
    <w:p w:rsidR="008D0913" w:rsidRDefault="008D0913" w:rsidP="008D0913">
      <w:pPr>
        <w:spacing w:after="0" w:line="360" w:lineRule="auto"/>
      </w:pPr>
      <w:r>
        <w:t>Seria de enorme importância referir alguns dados adicionais que pudessem explicar o facto de ter havido um aumento dos RN LIG, da hipoglicemia neonatal. Por exemplo, houve também aumento da percentagem de mães fumadoras? Que hematócritos tinham estes recém-nascidos? Houve aumento da incidência de policitemia? Etc.? Etc.? Não se pode atribuir um aumento dos RN LIG ou da hipoglicemia neonatal apenas à mudança de um protocolo de diabetes gestacional, quando estas características são multifatoriais. A análise multivariada que fazem perde valor se estes dados não forem introduzidos.</w:t>
      </w:r>
    </w:p>
    <w:p w:rsidR="00446A31" w:rsidRPr="00926F4D" w:rsidRDefault="00446A31" w:rsidP="00446A31">
      <w:pPr>
        <w:spacing w:after="0" w:line="360" w:lineRule="auto"/>
        <w:ind w:left="567"/>
        <w:rPr>
          <w:color w:val="365F91" w:themeColor="accent1" w:themeShade="BF"/>
          <w:sz w:val="18"/>
          <w:szCs w:val="18"/>
        </w:rPr>
      </w:pPr>
      <w:r w:rsidRPr="00926F4D">
        <w:rPr>
          <w:color w:val="365F91" w:themeColor="accent1" w:themeShade="BF"/>
          <w:sz w:val="18"/>
          <w:szCs w:val="18"/>
        </w:rPr>
        <w:t>Esta alteração foi também encontrada no grupo nacional</w:t>
      </w:r>
      <w:r w:rsidR="00C4293E" w:rsidRPr="00926F4D">
        <w:rPr>
          <w:color w:val="365F91" w:themeColor="accent1" w:themeShade="BF"/>
          <w:sz w:val="18"/>
          <w:szCs w:val="18"/>
        </w:rPr>
        <w:t xml:space="preserve">. Há algum tempo que se vinha objetivando a inversão do padrão de crescimento fetal, ou seja diminuição da macrossomia e aumento dos </w:t>
      </w:r>
      <w:proofErr w:type="spellStart"/>
      <w:r w:rsidR="00C4293E" w:rsidRPr="00926F4D">
        <w:rPr>
          <w:color w:val="365F91" w:themeColor="accent1" w:themeShade="BF"/>
          <w:sz w:val="18"/>
          <w:szCs w:val="18"/>
        </w:rPr>
        <w:t>LIG’s</w:t>
      </w:r>
      <w:proofErr w:type="spellEnd"/>
      <w:r w:rsidR="00C4293E" w:rsidRPr="00926F4D">
        <w:rPr>
          <w:color w:val="365F91" w:themeColor="accent1" w:themeShade="BF"/>
          <w:sz w:val="18"/>
          <w:szCs w:val="18"/>
        </w:rPr>
        <w:t xml:space="preserve"> (referência</w:t>
      </w:r>
      <w:r w:rsidR="00DB4265" w:rsidRPr="00926F4D">
        <w:rPr>
          <w:color w:val="365F91" w:themeColor="accent1" w:themeShade="BF"/>
          <w:sz w:val="18"/>
          <w:szCs w:val="18"/>
        </w:rPr>
        <w:t xml:space="preserve"> 35</w:t>
      </w:r>
      <w:r w:rsidR="00C4293E" w:rsidRPr="00926F4D">
        <w:rPr>
          <w:color w:val="365F91" w:themeColor="accent1" w:themeShade="BF"/>
          <w:sz w:val="18"/>
          <w:szCs w:val="18"/>
        </w:rPr>
        <w:t>). Esta alteração parece estar estatisticamente associada ao insuficiente aumento ponderal da mãe por maior rigor no cumprimento da dieta e maior agressividade na terapêutica com insulina.</w:t>
      </w:r>
      <w:r w:rsidR="00975ABD" w:rsidRPr="00926F4D">
        <w:rPr>
          <w:color w:val="365F91" w:themeColor="accent1" w:themeShade="BF"/>
          <w:sz w:val="18"/>
          <w:szCs w:val="18"/>
        </w:rPr>
        <w:t xml:space="preserve"> A % de mulheres fumadoras não foi analisada.</w:t>
      </w:r>
    </w:p>
    <w:p w:rsidR="00975ABD" w:rsidRPr="00926F4D" w:rsidRDefault="00975ABD" w:rsidP="00975ABD">
      <w:pPr>
        <w:spacing w:after="0" w:line="360" w:lineRule="auto"/>
        <w:ind w:left="567"/>
        <w:rPr>
          <w:color w:val="365F91" w:themeColor="accent1" w:themeShade="BF"/>
          <w:sz w:val="18"/>
          <w:szCs w:val="18"/>
        </w:rPr>
      </w:pPr>
      <w:r w:rsidRPr="00926F4D">
        <w:rPr>
          <w:color w:val="365F91" w:themeColor="accent1" w:themeShade="BF"/>
          <w:sz w:val="18"/>
          <w:szCs w:val="18"/>
        </w:rPr>
        <w:t>A determinação do hematócrito, nos anos mais recentes, passou a ser efetuada apenas em RN sintomáticos: hipoglicémia persistente, aspeto pletórico ou outra clinica relevante, o que não foi o caso neste grupo de RN.</w:t>
      </w:r>
    </w:p>
    <w:p w:rsidR="00C4293E" w:rsidRPr="00926F4D" w:rsidRDefault="00975ABD" w:rsidP="00446A31">
      <w:pPr>
        <w:spacing w:after="0" w:line="360" w:lineRule="auto"/>
        <w:ind w:left="567"/>
        <w:rPr>
          <w:color w:val="365F91" w:themeColor="accent1" w:themeShade="BF"/>
          <w:sz w:val="18"/>
          <w:szCs w:val="18"/>
        </w:rPr>
      </w:pPr>
      <w:r w:rsidRPr="00926F4D">
        <w:rPr>
          <w:color w:val="365F91" w:themeColor="accent1" w:themeShade="BF"/>
          <w:sz w:val="18"/>
          <w:szCs w:val="18"/>
        </w:rPr>
        <w:t>O aumento da morbilidade neonatal será naturalmente de causa multifatorial. Por este motivo apenas registámos a sua ocorrência e não nos comprometemos com a sua fisiopatologia.</w:t>
      </w:r>
    </w:p>
    <w:p w:rsidR="00446A31" w:rsidRDefault="00446A31" w:rsidP="008D0913">
      <w:pPr>
        <w:spacing w:after="0" w:line="360" w:lineRule="auto"/>
      </w:pPr>
    </w:p>
    <w:p w:rsidR="008D0913" w:rsidRDefault="008D0913" w:rsidP="008D0913">
      <w:pPr>
        <w:spacing w:after="0" w:line="360" w:lineRule="auto"/>
      </w:pPr>
      <w:r>
        <w:t>Penso que não está bem explicada a afirmação: “O aumento da prevalência das anomalias congénitas encontrado no nosso trabalho foi uma surpresa e parece estar relacionado com a precocidade do diagnóstico (17,2% antes das 10 semanas) e necessariamente com o controlo metabólico nesse período tão sensível da gravidez.” Penso que deveriam ser referidas outras explicações possíveis, uma vez que apresentar o dobro das malformações congénitas em dois períodos consecutivos tão próximos no tempo pode ser preocupante.</w:t>
      </w:r>
    </w:p>
    <w:p w:rsidR="006D110D" w:rsidRPr="00926F4D" w:rsidRDefault="006D110D" w:rsidP="006D110D">
      <w:pPr>
        <w:spacing w:after="0" w:line="360" w:lineRule="auto"/>
        <w:ind w:left="567"/>
        <w:rPr>
          <w:color w:val="365F91" w:themeColor="accent1" w:themeShade="BF"/>
          <w:sz w:val="18"/>
          <w:szCs w:val="18"/>
        </w:rPr>
      </w:pPr>
      <w:r w:rsidRPr="00926F4D">
        <w:rPr>
          <w:color w:val="365F91" w:themeColor="accent1" w:themeShade="BF"/>
          <w:sz w:val="18"/>
          <w:szCs w:val="18"/>
        </w:rPr>
        <w:t xml:space="preserve">Não é fácil atribuir só à DG o aumento da prevalência de anomalias congénitas. Sabe-se que existe um ligeiro aumento da sua prevalência na DG quando comparados com a população em geral. Quando analisamos a sua evolução ao longo dos últimos 20 anos (objeto de outro estudo) percebe-se que a sua prevalência tem uma distribuição variável com períodos em que estas são frequentes e outros menos frequentes (padrão quase ondulante). Estes 3 últimos anos poderão apenas corresponder a um período de maior prevalência. De qualquer </w:t>
      </w:r>
      <w:r w:rsidR="00A0606E">
        <w:rPr>
          <w:color w:val="365F91" w:themeColor="accent1" w:themeShade="BF"/>
          <w:sz w:val="18"/>
          <w:szCs w:val="18"/>
        </w:rPr>
        <w:t xml:space="preserve">modo </w:t>
      </w:r>
      <w:r w:rsidRPr="00926F4D">
        <w:rPr>
          <w:color w:val="365F91" w:themeColor="accent1" w:themeShade="BF"/>
          <w:sz w:val="18"/>
          <w:szCs w:val="18"/>
        </w:rPr>
        <w:t>aqui ficou o alerta para estarmos atentos nos próximos anos.</w:t>
      </w:r>
    </w:p>
    <w:p w:rsidR="008D0913" w:rsidRDefault="008D0913" w:rsidP="008D0913">
      <w:pPr>
        <w:spacing w:after="0" w:line="360" w:lineRule="auto"/>
      </w:pPr>
      <w:r>
        <w:t>Terá havido diferenças na incidência do r</w:t>
      </w:r>
      <w:r w:rsidR="006D110D">
        <w:t>eporte/registo das malformações</w:t>
      </w:r>
    </w:p>
    <w:p w:rsidR="006D110D" w:rsidRPr="00926F4D" w:rsidRDefault="006D110D" w:rsidP="006D110D">
      <w:pPr>
        <w:spacing w:after="0" w:line="360" w:lineRule="auto"/>
        <w:ind w:left="567"/>
        <w:rPr>
          <w:color w:val="365F91" w:themeColor="accent1" w:themeShade="BF"/>
          <w:sz w:val="18"/>
          <w:szCs w:val="18"/>
        </w:rPr>
      </w:pPr>
      <w:r w:rsidRPr="00926F4D">
        <w:rPr>
          <w:color w:val="365F91" w:themeColor="accent1" w:themeShade="BF"/>
          <w:sz w:val="18"/>
          <w:szCs w:val="18"/>
        </w:rPr>
        <w:t>O preenchimento da ficha do RN na base de dados foi feito sempre pela mesma pessoa c</w:t>
      </w:r>
      <w:r w:rsidR="00DB4265" w:rsidRPr="00926F4D">
        <w:rPr>
          <w:color w:val="365F91" w:themeColor="accent1" w:themeShade="BF"/>
          <w:sz w:val="18"/>
          <w:szCs w:val="18"/>
        </w:rPr>
        <w:t>om consulta do processo clinico, assim como o registo das anomalias congénitas (RENAC) para todos os outros RN.</w:t>
      </w:r>
    </w:p>
    <w:p w:rsidR="008D0913" w:rsidRDefault="008D0913" w:rsidP="008D0913">
      <w:pPr>
        <w:spacing w:after="0" w:line="360" w:lineRule="auto"/>
      </w:pPr>
      <w:r>
        <w:t>Haverá alguma diferença na abordagem das grávidas que o explique (efeito secundário da insulina? / outra medicação)</w:t>
      </w:r>
    </w:p>
    <w:p w:rsidR="00D84BD3" w:rsidRPr="00926F4D" w:rsidRDefault="006D110D" w:rsidP="00D84BD3">
      <w:pPr>
        <w:spacing w:after="0" w:line="360" w:lineRule="auto"/>
        <w:ind w:left="567"/>
        <w:rPr>
          <w:color w:val="365F91" w:themeColor="accent1" w:themeShade="BF"/>
          <w:sz w:val="18"/>
          <w:szCs w:val="18"/>
        </w:rPr>
      </w:pPr>
      <w:r w:rsidRPr="00926F4D">
        <w:rPr>
          <w:color w:val="365F91" w:themeColor="accent1" w:themeShade="BF"/>
          <w:sz w:val="18"/>
          <w:szCs w:val="18"/>
        </w:rPr>
        <w:t xml:space="preserve">Não está descrita associação entre a terapêutica com insulina e a ocorrência de anomalias congénitas. </w:t>
      </w:r>
      <w:r w:rsidR="00D84BD3" w:rsidRPr="00926F4D">
        <w:rPr>
          <w:color w:val="365F91" w:themeColor="accent1" w:themeShade="BF"/>
          <w:sz w:val="18"/>
          <w:szCs w:val="18"/>
        </w:rPr>
        <w:t xml:space="preserve">São vários os factores associados ao aumentos de anomalias congénitas na Diabetes Prévia à gravidez – </w:t>
      </w:r>
      <w:proofErr w:type="spellStart"/>
      <w:r w:rsidR="00D84BD3" w:rsidRPr="00926F4D">
        <w:rPr>
          <w:color w:val="365F91" w:themeColor="accent1" w:themeShade="BF"/>
          <w:sz w:val="18"/>
          <w:szCs w:val="18"/>
        </w:rPr>
        <w:t>hiperglicémia</w:t>
      </w:r>
      <w:proofErr w:type="spellEnd"/>
      <w:r w:rsidR="00D84BD3" w:rsidRPr="00926F4D">
        <w:rPr>
          <w:color w:val="365F91" w:themeColor="accent1" w:themeShade="BF"/>
          <w:sz w:val="18"/>
          <w:szCs w:val="18"/>
        </w:rPr>
        <w:t xml:space="preserve">, </w:t>
      </w:r>
      <w:proofErr w:type="spellStart"/>
      <w:r w:rsidR="00D84BD3" w:rsidRPr="00926F4D">
        <w:rPr>
          <w:color w:val="365F91" w:themeColor="accent1" w:themeShade="BF"/>
          <w:sz w:val="18"/>
          <w:szCs w:val="18"/>
        </w:rPr>
        <w:t>hiperglicosilação</w:t>
      </w:r>
      <w:proofErr w:type="spellEnd"/>
      <w:r w:rsidR="00D84BD3" w:rsidRPr="00926F4D">
        <w:rPr>
          <w:color w:val="365F91" w:themeColor="accent1" w:themeShade="BF"/>
          <w:sz w:val="18"/>
          <w:szCs w:val="18"/>
        </w:rPr>
        <w:t xml:space="preserve"> das proteínas envolvidas na diferenciação, hipóxia crónica, policitémia / hiperviscosidade e acidose láctica(BAR). O maior determinante destas será estas alterações ocorrerem no momento da organogénese</w:t>
      </w:r>
      <w:r w:rsidR="00A0606E">
        <w:rPr>
          <w:color w:val="365F91" w:themeColor="accent1" w:themeShade="BF"/>
          <w:sz w:val="18"/>
          <w:szCs w:val="18"/>
        </w:rPr>
        <w:t xml:space="preserve"> e nesta altura (&lt;8 semanas) muitas grávidas ainda não sabem que o estão e também não têm o diagnóstico de DG estabelecido</w:t>
      </w:r>
      <w:r w:rsidR="00D84BD3" w:rsidRPr="00926F4D">
        <w:rPr>
          <w:color w:val="365F91" w:themeColor="accent1" w:themeShade="BF"/>
          <w:sz w:val="18"/>
          <w:szCs w:val="18"/>
        </w:rPr>
        <w:t>.</w:t>
      </w:r>
    </w:p>
    <w:p w:rsidR="00D84BD3" w:rsidRPr="00926F4D" w:rsidRDefault="00D84BD3" w:rsidP="00D84BD3">
      <w:pPr>
        <w:spacing w:after="0" w:line="360" w:lineRule="auto"/>
        <w:ind w:left="567"/>
        <w:rPr>
          <w:color w:val="365F91" w:themeColor="accent1" w:themeShade="BF"/>
          <w:sz w:val="18"/>
          <w:szCs w:val="18"/>
        </w:rPr>
      </w:pPr>
      <w:r w:rsidRPr="00926F4D">
        <w:rPr>
          <w:color w:val="365F91" w:themeColor="accent1" w:themeShade="BF"/>
          <w:sz w:val="18"/>
          <w:szCs w:val="18"/>
        </w:rPr>
        <w:t xml:space="preserve">Em teoria, não existe aumento de risco de anomalias congénitas quando a diabetes se desenvolve após o 1º trimestre. </w:t>
      </w:r>
    </w:p>
    <w:p w:rsidR="008D0913" w:rsidRDefault="008D0913" w:rsidP="008D0913">
      <w:pPr>
        <w:spacing w:after="0" w:line="360" w:lineRule="auto"/>
      </w:pPr>
      <w:r>
        <w:t>Embora seja referido no título do trabalho, a hipótese do acaso (coincidência) também deve estar referida na discussão.</w:t>
      </w:r>
    </w:p>
    <w:p w:rsidR="008A47BA" w:rsidRPr="008A47BA" w:rsidRDefault="008A47BA" w:rsidP="008A47BA">
      <w:pPr>
        <w:spacing w:after="0" w:line="360" w:lineRule="auto"/>
        <w:ind w:left="567"/>
        <w:rPr>
          <w:b/>
          <w:color w:val="365F91" w:themeColor="accent1" w:themeShade="BF"/>
          <w:sz w:val="18"/>
          <w:szCs w:val="18"/>
        </w:rPr>
      </w:pPr>
      <w:r w:rsidRPr="008A47BA">
        <w:rPr>
          <w:b/>
          <w:color w:val="365F91" w:themeColor="accent1" w:themeShade="BF"/>
          <w:sz w:val="18"/>
          <w:szCs w:val="18"/>
        </w:rPr>
        <w:t>Corrigido no texto</w:t>
      </w:r>
    </w:p>
    <w:p w:rsidR="008D0913" w:rsidRDefault="008D0913" w:rsidP="008D0913">
      <w:pPr>
        <w:spacing w:after="0" w:line="360" w:lineRule="auto"/>
      </w:pPr>
      <w:r>
        <w:t>Mais uma vez, no último parágrafo da discussão, o que entendem os autores como reclassificação das mães? Essa variável não está prevista nos métodos.</w:t>
      </w:r>
    </w:p>
    <w:p w:rsidR="008D0913" w:rsidRPr="00926F4D" w:rsidRDefault="005B71B4" w:rsidP="005B71B4">
      <w:pPr>
        <w:spacing w:after="0" w:line="360" w:lineRule="auto"/>
        <w:ind w:left="567"/>
        <w:rPr>
          <w:color w:val="365F91" w:themeColor="accent1" w:themeShade="BF"/>
          <w:sz w:val="18"/>
          <w:szCs w:val="18"/>
        </w:rPr>
      </w:pPr>
      <w:r w:rsidRPr="00926F4D">
        <w:rPr>
          <w:color w:val="365F91" w:themeColor="accent1" w:themeShade="BF"/>
          <w:sz w:val="18"/>
          <w:szCs w:val="18"/>
        </w:rPr>
        <w:t>Respondido na 1ª questão</w:t>
      </w:r>
    </w:p>
    <w:p w:rsidR="008D0913" w:rsidRDefault="008D0913" w:rsidP="008D0913">
      <w:pPr>
        <w:spacing w:after="0" w:line="360" w:lineRule="auto"/>
      </w:pPr>
      <w:r>
        <w:t>Conclusão</w:t>
      </w:r>
    </w:p>
    <w:p w:rsidR="008D0913" w:rsidRDefault="008D0913" w:rsidP="008D0913">
      <w:pPr>
        <w:spacing w:after="0" w:line="360" w:lineRule="auto"/>
      </w:pPr>
      <w:r>
        <w:t>Está de acordo com o conteúdo do trabalho.</w:t>
      </w:r>
    </w:p>
    <w:p w:rsidR="008D0913" w:rsidRDefault="008D0913" w:rsidP="008D0913">
      <w:pPr>
        <w:spacing w:after="0" w:line="360" w:lineRule="auto"/>
      </w:pPr>
    </w:p>
    <w:p w:rsidR="008D0913" w:rsidRDefault="008D0913" w:rsidP="008D0913">
      <w:pPr>
        <w:spacing w:after="0" w:line="360" w:lineRule="auto"/>
      </w:pPr>
      <w:r>
        <w:t>De uma maneira geral, sendo um estudo retrospetivo, parece-me abusivo colocar em questão a qualidade do protocolo atual de abordagem à diabetes gestacional, afirmando que “registou-se um aumento dos casos de hipoglicémia neonatal, de RN LIG e de anomalias congénitas.”</w:t>
      </w:r>
    </w:p>
    <w:p w:rsidR="008D0913" w:rsidRDefault="008D0913" w:rsidP="008D0913">
      <w:pPr>
        <w:spacing w:after="0" w:line="360" w:lineRule="auto"/>
      </w:pPr>
      <w:r>
        <w:t>Não fazem referência a se estas importantes alterações que encontraram motivaram algum tipo de intervenção (alteração para o protocolo anterior?). Do mesmo modo, dadas as alterações que são valorizadas pelo trabalho, poderia (ou deveria) ser sugerida algum tipo de investigação para indagar acerca de intervenções que possam minorar as consequências nefastas que o atual protocolo parece estar a produzir.</w:t>
      </w:r>
    </w:p>
    <w:p w:rsidR="005B71B4" w:rsidRPr="00926F4D" w:rsidRDefault="005B71B4" w:rsidP="005B71B4">
      <w:pPr>
        <w:spacing w:after="0" w:line="360" w:lineRule="auto"/>
        <w:ind w:left="567"/>
        <w:rPr>
          <w:color w:val="365F91" w:themeColor="accent1" w:themeShade="BF"/>
          <w:sz w:val="18"/>
          <w:szCs w:val="18"/>
        </w:rPr>
      </w:pPr>
      <w:r w:rsidRPr="00926F4D">
        <w:rPr>
          <w:color w:val="365F91" w:themeColor="accent1" w:themeShade="BF"/>
          <w:sz w:val="18"/>
          <w:szCs w:val="18"/>
        </w:rPr>
        <w:t>Como referido, era conhecida o aumento da incidência de RN LIG (independente da tabela de crescimento fetal consultada). Na sequência da realização desta análise, os resultados foram comunicados à coordenação do registo nacional de grávidas com diabetes gestacional. Verificou-se que em todo o grupo nacional havia aumento dos RN com hipoglicémia e um aumento da prevalência de anomalias congénitas.</w:t>
      </w:r>
    </w:p>
    <w:p w:rsidR="005B71B4" w:rsidRPr="00926F4D" w:rsidRDefault="005B71B4" w:rsidP="005B71B4">
      <w:pPr>
        <w:spacing w:after="0" w:line="360" w:lineRule="auto"/>
        <w:ind w:left="567"/>
        <w:rPr>
          <w:color w:val="365F91" w:themeColor="accent1" w:themeShade="BF"/>
          <w:sz w:val="18"/>
          <w:szCs w:val="18"/>
        </w:rPr>
      </w:pPr>
      <w:r w:rsidRPr="00926F4D">
        <w:rPr>
          <w:color w:val="365F91" w:themeColor="accent1" w:themeShade="BF"/>
          <w:sz w:val="18"/>
          <w:szCs w:val="18"/>
        </w:rPr>
        <w:t xml:space="preserve">Em face disto houve uma reunião nacional para proceder a ajustes no protocolo em vigor, </w:t>
      </w:r>
      <w:r w:rsidR="00A0606E">
        <w:rPr>
          <w:color w:val="365F91" w:themeColor="accent1" w:themeShade="BF"/>
          <w:sz w:val="18"/>
          <w:szCs w:val="18"/>
        </w:rPr>
        <w:t xml:space="preserve">sobretudo no que respeita aos </w:t>
      </w:r>
      <w:r w:rsidR="00A0606E" w:rsidRPr="00A0606E">
        <w:rPr>
          <w:i/>
          <w:color w:val="365F91" w:themeColor="accent1" w:themeShade="BF"/>
          <w:sz w:val="18"/>
          <w:szCs w:val="18"/>
        </w:rPr>
        <w:t>cut-</w:t>
      </w:r>
      <w:proofErr w:type="spellStart"/>
      <w:r w:rsidR="00A0606E" w:rsidRPr="00A0606E">
        <w:rPr>
          <w:i/>
          <w:color w:val="365F91" w:themeColor="accent1" w:themeShade="BF"/>
          <w:sz w:val="18"/>
          <w:szCs w:val="18"/>
        </w:rPr>
        <w:t>offs</w:t>
      </w:r>
      <w:proofErr w:type="spellEnd"/>
      <w:r w:rsidR="00A0606E">
        <w:rPr>
          <w:color w:val="365F91" w:themeColor="accent1" w:themeShade="BF"/>
          <w:sz w:val="18"/>
          <w:szCs w:val="18"/>
        </w:rPr>
        <w:t xml:space="preserve"> para a intervenção farmacológica</w:t>
      </w:r>
      <w:r w:rsidRPr="00926F4D">
        <w:rPr>
          <w:color w:val="365F91" w:themeColor="accent1" w:themeShade="BF"/>
          <w:sz w:val="18"/>
          <w:szCs w:val="18"/>
        </w:rPr>
        <w:t>. Esta nova versão está em vigo</w:t>
      </w:r>
      <w:r w:rsidR="00D84BD3" w:rsidRPr="00926F4D">
        <w:rPr>
          <w:color w:val="365F91" w:themeColor="accent1" w:themeShade="BF"/>
          <w:sz w:val="18"/>
          <w:szCs w:val="18"/>
        </w:rPr>
        <w:t>r desde Janeiro de 2017. Teremo</w:t>
      </w:r>
      <w:r w:rsidRPr="00926F4D">
        <w:rPr>
          <w:color w:val="365F91" w:themeColor="accent1" w:themeShade="BF"/>
          <w:sz w:val="18"/>
          <w:szCs w:val="18"/>
        </w:rPr>
        <w:t>s que nos manter atentos ao que vai acontecer no futuro.</w:t>
      </w:r>
    </w:p>
    <w:p w:rsidR="008D0913" w:rsidRDefault="008D0913" w:rsidP="008D0913">
      <w:pPr>
        <w:spacing w:after="0" w:line="360" w:lineRule="auto"/>
      </w:pPr>
    </w:p>
    <w:p w:rsidR="008D0913" w:rsidRDefault="008D0913" w:rsidP="008D0913">
      <w:pPr>
        <w:spacing w:after="0" w:line="360" w:lineRule="auto"/>
      </w:pPr>
      <w:r>
        <w:t>Referências</w:t>
      </w:r>
    </w:p>
    <w:p w:rsidR="008D0913" w:rsidRDefault="008D0913" w:rsidP="008D0913">
      <w:pPr>
        <w:spacing w:after="0" w:line="360" w:lineRule="auto"/>
      </w:pPr>
      <w:r>
        <w:t>Adequadas.</w:t>
      </w:r>
    </w:p>
    <w:p w:rsidR="008D0913" w:rsidRDefault="008D0913" w:rsidP="008D0913">
      <w:pPr>
        <w:spacing w:after="0" w:line="360" w:lineRule="auto"/>
      </w:pPr>
      <w:r>
        <w:t>Quadros e Figuras</w:t>
      </w:r>
    </w:p>
    <w:p w:rsidR="008D0913" w:rsidRDefault="008D0913" w:rsidP="008D0913">
      <w:pPr>
        <w:spacing w:after="0" w:line="360" w:lineRule="auto"/>
      </w:pPr>
      <w:r>
        <w:t>Adequados.</w:t>
      </w:r>
    </w:p>
    <w:p w:rsidR="008D0913" w:rsidRDefault="008D0913" w:rsidP="008D0913">
      <w:pPr>
        <w:spacing w:after="0" w:line="360" w:lineRule="auto"/>
      </w:pPr>
      <w:r>
        <w:t>EXTENSÃO</w:t>
      </w:r>
    </w:p>
    <w:p w:rsidR="008D0913" w:rsidRDefault="008D0913" w:rsidP="008D0913">
      <w:pPr>
        <w:spacing w:after="0" w:line="360" w:lineRule="auto"/>
      </w:pPr>
      <w:r>
        <w:t>Adequada.</w:t>
      </w:r>
    </w:p>
    <w:p w:rsidR="008D0913" w:rsidRDefault="008D0913" w:rsidP="008D0913">
      <w:pPr>
        <w:spacing w:after="0" w:line="360" w:lineRule="auto"/>
      </w:pPr>
      <w:r>
        <w:t>APRESENTAÇÃO</w:t>
      </w:r>
    </w:p>
    <w:p w:rsidR="00BD123A" w:rsidRDefault="008D0913" w:rsidP="008D0913">
      <w:pPr>
        <w:spacing w:after="0" w:line="360" w:lineRule="auto"/>
      </w:pPr>
      <w:r>
        <w:t>Adequada.</w:t>
      </w:r>
    </w:p>
    <w:sectPr w:rsidR="00BD123A" w:rsidSect="008D091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hyphenationZone w:val="425"/>
  <w:characterSpacingControl w:val="doNotCompress"/>
  <w:savePreviewPicture/>
  <w:compat/>
  <w:rsids>
    <w:rsidRoot w:val="008D0913"/>
    <w:rsid w:val="000607EB"/>
    <w:rsid w:val="0008010B"/>
    <w:rsid w:val="001F309E"/>
    <w:rsid w:val="00412DDF"/>
    <w:rsid w:val="00446A31"/>
    <w:rsid w:val="005B71B4"/>
    <w:rsid w:val="006C1595"/>
    <w:rsid w:val="006D110D"/>
    <w:rsid w:val="007242CF"/>
    <w:rsid w:val="008167FC"/>
    <w:rsid w:val="008A47BA"/>
    <w:rsid w:val="008C63D4"/>
    <w:rsid w:val="008D0913"/>
    <w:rsid w:val="00926F4D"/>
    <w:rsid w:val="00975ABD"/>
    <w:rsid w:val="00987D01"/>
    <w:rsid w:val="009C4D15"/>
    <w:rsid w:val="00A0606E"/>
    <w:rsid w:val="00BD123A"/>
    <w:rsid w:val="00C4293E"/>
    <w:rsid w:val="00D44A07"/>
    <w:rsid w:val="00D84BD3"/>
    <w:rsid w:val="00D93339"/>
    <w:rsid w:val="00DB4265"/>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23A"/>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semiHidden/>
    <w:unhideWhenUsed/>
    <w:rsid w:val="008D0913"/>
    <w:rPr>
      <w:color w:val="0000FF"/>
      <w:u w:val="single"/>
    </w:rPr>
  </w:style>
  <w:style w:type="table" w:styleId="Tabelacomgrelha">
    <w:name w:val="Table Grid"/>
    <w:basedOn w:val="Tabelanormal"/>
    <w:uiPriority w:val="59"/>
    <w:rsid w:val="006C1595"/>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arcter"/>
    <w:uiPriority w:val="99"/>
    <w:semiHidden/>
    <w:unhideWhenUsed/>
    <w:rsid w:val="006C1595"/>
    <w:pPr>
      <w:spacing w:after="0" w:line="240" w:lineRule="auto"/>
    </w:pPr>
    <w:rPr>
      <w:rFonts w:ascii="Lucida Grande" w:hAnsi="Lucida Grande" w:cs="Lucida Grande"/>
      <w:sz w:val="18"/>
      <w:szCs w:val="18"/>
    </w:rPr>
  </w:style>
  <w:style w:type="character" w:customStyle="1" w:styleId="TextodebaloCarcter">
    <w:name w:val="Texto de balão Carácter"/>
    <w:basedOn w:val="Tipodeletrapredefinidodopargrafo"/>
    <w:link w:val="Textodebalo"/>
    <w:uiPriority w:val="99"/>
    <w:semiHidden/>
    <w:rsid w:val="006C1595"/>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2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D0913"/>
    <w:rPr>
      <w:color w:val="0000FF"/>
      <w:u w:val="single"/>
    </w:rPr>
  </w:style>
  <w:style w:type="table" w:styleId="TableGrid">
    <w:name w:val="Table Grid"/>
    <w:basedOn w:val="TableNormal"/>
    <w:uiPriority w:val="59"/>
    <w:rsid w:val="006C1595"/>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C159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C1595"/>
    <w:rPr>
      <w:rFonts w:ascii="Lucida Grande"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1816</Words>
  <Characters>9812</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20925</dc:creator>
  <cp:lastModifiedBy>MReis</cp:lastModifiedBy>
  <cp:revision>2</cp:revision>
  <dcterms:created xsi:type="dcterms:W3CDTF">2017-02-07T17:09:00Z</dcterms:created>
  <dcterms:modified xsi:type="dcterms:W3CDTF">2017-02-07T17:09:00Z</dcterms:modified>
</cp:coreProperties>
</file>