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CE" w:rsidRPr="00222DA7" w:rsidRDefault="006A3FCE" w:rsidP="00222DA7">
      <w:pPr>
        <w:jc w:val="both"/>
        <w:rPr>
          <w:rFonts w:cstheme="minorHAnsi"/>
          <w:b/>
        </w:rPr>
      </w:pPr>
      <w:r w:rsidRPr="00222DA7">
        <w:rPr>
          <w:rFonts w:cstheme="minorHAnsi"/>
          <w:b/>
        </w:rPr>
        <w:t>Revisor A</w:t>
      </w:r>
    </w:p>
    <w:p w:rsidR="006A3FCE" w:rsidRPr="00B32D0F" w:rsidRDefault="006A3FCE" w:rsidP="00222DA7">
      <w:pPr>
        <w:jc w:val="both"/>
        <w:rPr>
          <w:rFonts w:cstheme="minorHAnsi"/>
          <w:b/>
          <w:sz w:val="20"/>
          <w:szCs w:val="20"/>
          <w:shd w:val="clear" w:color="auto" w:fill="FFFFFF"/>
        </w:rPr>
      </w:pPr>
      <w:r w:rsidRPr="00B32D0F">
        <w:rPr>
          <w:rFonts w:cstheme="minorHAnsi"/>
          <w:b/>
          <w:sz w:val="20"/>
          <w:szCs w:val="20"/>
          <w:u w:val="single"/>
        </w:rPr>
        <w:t>Comentário 1:</w:t>
      </w:r>
      <w:r w:rsidRPr="00B32D0F">
        <w:rPr>
          <w:rFonts w:cstheme="minorHAnsi"/>
          <w:b/>
          <w:sz w:val="20"/>
          <w:szCs w:val="20"/>
        </w:rPr>
        <w:t xml:space="preserve"> “</w:t>
      </w:r>
      <w:r w:rsidRPr="00B32D0F">
        <w:rPr>
          <w:rFonts w:cstheme="minorHAnsi"/>
          <w:b/>
          <w:sz w:val="20"/>
          <w:szCs w:val="20"/>
          <w:shd w:val="clear" w:color="auto" w:fill="FFFFFF"/>
        </w:rPr>
        <w:t>A</w:t>
      </w:r>
      <w:r w:rsidR="00946A89" w:rsidRPr="00B32D0F">
        <w:rPr>
          <w:rFonts w:cstheme="minorHAnsi"/>
          <w:b/>
          <w:sz w:val="20"/>
          <w:szCs w:val="20"/>
          <w:shd w:val="clear" w:color="auto" w:fill="FFFFFF"/>
        </w:rPr>
        <w:t>pesar do que está</w:t>
      </w:r>
      <w:r w:rsidRPr="00B32D0F">
        <w:rPr>
          <w:rFonts w:cstheme="minorHAnsi"/>
          <w:b/>
          <w:sz w:val="20"/>
          <w:szCs w:val="20"/>
          <w:shd w:val="clear" w:color="auto" w:fill="FFFFFF"/>
        </w:rPr>
        <w:t xml:space="preserve"> referido na literatura sobre a maior taxa de</w:t>
      </w:r>
      <w:r w:rsidR="00E728E7" w:rsidRPr="00B32D0F">
        <w:rPr>
          <w:rFonts w:cstheme="minorHAnsi"/>
          <w:b/>
          <w:sz w:val="20"/>
          <w:szCs w:val="20"/>
        </w:rPr>
        <w:t xml:space="preserve"> </w:t>
      </w:r>
      <w:r w:rsidRPr="00B32D0F">
        <w:rPr>
          <w:rFonts w:cstheme="minorHAnsi"/>
          <w:b/>
          <w:sz w:val="20"/>
          <w:szCs w:val="20"/>
          <w:shd w:val="clear" w:color="auto" w:fill="FFFFFF"/>
        </w:rPr>
        <w:t>falência terapêutica e recaída nos doentes coinfectados por VIH e</w:t>
      </w:r>
      <w:r w:rsidR="00E728E7" w:rsidRPr="00B32D0F">
        <w:rPr>
          <w:rFonts w:cstheme="minorHAnsi"/>
          <w:b/>
          <w:sz w:val="20"/>
          <w:szCs w:val="20"/>
        </w:rPr>
        <w:t xml:space="preserve"> </w:t>
      </w:r>
      <w:r w:rsidR="00E728E7" w:rsidRPr="00B32D0F">
        <w:rPr>
          <w:rFonts w:cstheme="minorHAnsi"/>
          <w:b/>
          <w:sz w:val="20"/>
          <w:szCs w:val="20"/>
          <w:shd w:val="clear" w:color="auto" w:fill="FFFFFF"/>
        </w:rPr>
        <w:t xml:space="preserve">Leishmaniose, este trabalho não </w:t>
      </w:r>
      <w:r w:rsidRPr="00B32D0F">
        <w:rPr>
          <w:rFonts w:cstheme="minorHAnsi"/>
          <w:b/>
          <w:sz w:val="20"/>
          <w:szCs w:val="20"/>
          <w:shd w:val="clear" w:color="auto" w:fill="FFFFFF"/>
        </w:rPr>
        <w:t>consegue suportar essa conclusão por não</w:t>
      </w:r>
      <w:r w:rsidR="00E728E7" w:rsidRPr="00B32D0F">
        <w:rPr>
          <w:rFonts w:cstheme="minorHAnsi"/>
          <w:b/>
          <w:sz w:val="20"/>
          <w:szCs w:val="20"/>
        </w:rPr>
        <w:t xml:space="preserve"> </w:t>
      </w:r>
      <w:r w:rsidRPr="00B32D0F">
        <w:rPr>
          <w:rFonts w:cstheme="minorHAnsi"/>
          <w:b/>
          <w:sz w:val="20"/>
          <w:szCs w:val="20"/>
          <w:shd w:val="clear" w:color="auto" w:fill="FFFFFF"/>
        </w:rPr>
        <w:t>ser feita a comparação entr</w:t>
      </w:r>
      <w:r w:rsidR="00E728E7" w:rsidRPr="00B32D0F">
        <w:rPr>
          <w:rFonts w:cstheme="minorHAnsi"/>
          <w:b/>
          <w:sz w:val="20"/>
          <w:szCs w:val="20"/>
          <w:shd w:val="clear" w:color="auto" w:fill="FFFFFF"/>
        </w:rPr>
        <w:t xml:space="preserve">e estes doentes e </w:t>
      </w:r>
      <w:r w:rsidRPr="00B32D0F">
        <w:rPr>
          <w:rFonts w:cstheme="minorHAnsi"/>
          <w:b/>
          <w:sz w:val="20"/>
          <w:szCs w:val="20"/>
          <w:shd w:val="clear" w:color="auto" w:fill="FFFFFF"/>
        </w:rPr>
        <w:t>aqueles apenas infectados por</w:t>
      </w:r>
      <w:r w:rsidR="00E728E7" w:rsidRPr="00B32D0F">
        <w:rPr>
          <w:rFonts w:cstheme="minorHAnsi"/>
          <w:b/>
          <w:sz w:val="20"/>
          <w:szCs w:val="20"/>
        </w:rPr>
        <w:t xml:space="preserve"> </w:t>
      </w:r>
      <w:r w:rsidRPr="00B32D0F">
        <w:rPr>
          <w:rFonts w:cstheme="minorHAnsi"/>
          <w:b/>
          <w:sz w:val="20"/>
          <w:szCs w:val="20"/>
          <w:shd w:val="clear" w:color="auto" w:fill="FFFFFF"/>
        </w:rPr>
        <w:t>Leishmaniose, sem infecção por VIH. Penso que seria mais um dado para</w:t>
      </w:r>
      <w:r w:rsidR="00E728E7" w:rsidRPr="00B32D0F">
        <w:rPr>
          <w:rFonts w:cstheme="minorHAnsi"/>
          <w:b/>
          <w:sz w:val="20"/>
          <w:szCs w:val="20"/>
        </w:rPr>
        <w:t xml:space="preserve"> </w:t>
      </w:r>
      <w:r w:rsidRPr="00B32D0F">
        <w:rPr>
          <w:rFonts w:cstheme="minorHAnsi"/>
          <w:b/>
          <w:sz w:val="20"/>
          <w:szCs w:val="20"/>
          <w:shd w:val="clear" w:color="auto" w:fill="FFFFFF"/>
        </w:rPr>
        <w:t>enriquecer este artigo”</w:t>
      </w:r>
    </w:p>
    <w:p w:rsidR="000B5D78" w:rsidRPr="00B32D0F" w:rsidRDefault="006A3FCE" w:rsidP="00222DA7">
      <w:pPr>
        <w:jc w:val="both"/>
        <w:rPr>
          <w:rFonts w:cstheme="minorHAnsi"/>
          <w:sz w:val="20"/>
          <w:szCs w:val="20"/>
          <w:shd w:val="clear" w:color="auto" w:fill="FFFFFF"/>
        </w:rPr>
      </w:pPr>
      <w:r w:rsidRPr="00B32D0F">
        <w:rPr>
          <w:rFonts w:cstheme="minorHAnsi"/>
          <w:b/>
          <w:sz w:val="20"/>
          <w:szCs w:val="20"/>
          <w:shd w:val="clear" w:color="auto" w:fill="FFFFFF"/>
        </w:rPr>
        <w:t xml:space="preserve">- </w:t>
      </w:r>
      <w:r w:rsidRPr="00B32D0F">
        <w:rPr>
          <w:rFonts w:cstheme="minorHAnsi"/>
          <w:sz w:val="20"/>
          <w:szCs w:val="20"/>
          <w:shd w:val="clear" w:color="auto" w:fill="FFFFFF"/>
        </w:rPr>
        <w:t xml:space="preserve">São </w:t>
      </w:r>
      <w:r w:rsidR="000B5D78" w:rsidRPr="00B32D0F">
        <w:rPr>
          <w:rFonts w:cstheme="minorHAnsi"/>
          <w:sz w:val="20"/>
          <w:szCs w:val="20"/>
          <w:shd w:val="clear" w:color="auto" w:fill="FFFFFF"/>
        </w:rPr>
        <w:t xml:space="preserve">de facto </w:t>
      </w:r>
      <w:r w:rsidRPr="00B32D0F">
        <w:rPr>
          <w:rFonts w:cstheme="minorHAnsi"/>
          <w:sz w:val="20"/>
          <w:szCs w:val="20"/>
          <w:shd w:val="clear" w:color="auto" w:fill="FFFFFF"/>
        </w:rPr>
        <w:t xml:space="preserve">vários os artigos que suportam a </w:t>
      </w:r>
      <w:r w:rsidR="000B5D78" w:rsidRPr="00B32D0F">
        <w:rPr>
          <w:rFonts w:cstheme="minorHAnsi"/>
          <w:sz w:val="20"/>
          <w:szCs w:val="20"/>
          <w:shd w:val="clear" w:color="auto" w:fill="FFFFFF"/>
        </w:rPr>
        <w:t xml:space="preserve">permissa de que é </w:t>
      </w:r>
      <w:r w:rsidRPr="00B32D0F">
        <w:rPr>
          <w:rFonts w:cstheme="minorHAnsi"/>
          <w:sz w:val="20"/>
          <w:szCs w:val="20"/>
          <w:shd w:val="clear" w:color="auto" w:fill="FFFFFF"/>
        </w:rPr>
        <w:t xml:space="preserve">maior </w:t>
      </w:r>
      <w:r w:rsidR="000B5D78" w:rsidRPr="00B32D0F">
        <w:rPr>
          <w:rFonts w:cstheme="minorHAnsi"/>
          <w:sz w:val="20"/>
          <w:szCs w:val="20"/>
          <w:shd w:val="clear" w:color="auto" w:fill="FFFFFF"/>
        </w:rPr>
        <w:t xml:space="preserve">a </w:t>
      </w:r>
      <w:r w:rsidRPr="00B32D0F">
        <w:rPr>
          <w:rFonts w:cstheme="minorHAnsi"/>
          <w:sz w:val="20"/>
          <w:szCs w:val="20"/>
          <w:shd w:val="clear" w:color="auto" w:fill="FFFFFF"/>
        </w:rPr>
        <w:t xml:space="preserve">taxa de falência terapeutica e recaída nos doentes com co-infecção VIH </w:t>
      </w:r>
      <w:r w:rsidR="000B5D78" w:rsidRPr="00B32D0F">
        <w:rPr>
          <w:rFonts w:cstheme="minorHAnsi"/>
          <w:sz w:val="20"/>
          <w:szCs w:val="20"/>
          <w:shd w:val="clear" w:color="auto" w:fill="FFFFFF"/>
        </w:rPr>
        <w:t>comparativamente com a</w:t>
      </w:r>
      <w:r w:rsidRPr="00B32D0F">
        <w:rPr>
          <w:rFonts w:cstheme="minorHAnsi"/>
          <w:sz w:val="20"/>
          <w:szCs w:val="20"/>
          <w:shd w:val="clear" w:color="auto" w:fill="FFFFFF"/>
        </w:rPr>
        <w:t xml:space="preserve"> população </w:t>
      </w:r>
      <w:r w:rsidR="00946A89" w:rsidRPr="00B32D0F">
        <w:rPr>
          <w:rFonts w:cstheme="minorHAnsi"/>
          <w:sz w:val="20"/>
          <w:szCs w:val="20"/>
          <w:shd w:val="clear" w:color="auto" w:fill="FFFFFF"/>
        </w:rPr>
        <w:t xml:space="preserve">geral com esta infecção </w:t>
      </w:r>
      <w:r w:rsidRPr="00B32D0F">
        <w:rPr>
          <w:rFonts w:cstheme="minorHAnsi"/>
          <w:sz w:val="20"/>
          <w:szCs w:val="20"/>
          <w:shd w:val="clear" w:color="auto" w:fill="FFFFFF"/>
        </w:rPr>
        <w:t>(ref 8 do artigo, por exemplo)</w:t>
      </w:r>
      <w:r w:rsidR="000B5D78" w:rsidRPr="00B32D0F">
        <w:rPr>
          <w:rFonts w:cstheme="minorHAnsi"/>
          <w:sz w:val="20"/>
          <w:szCs w:val="20"/>
          <w:shd w:val="clear" w:color="auto" w:fill="FFFFFF"/>
        </w:rPr>
        <w:t>, no entanto seria necessária uma</w:t>
      </w:r>
      <w:r w:rsidR="00946A89" w:rsidRPr="00B32D0F">
        <w:rPr>
          <w:rFonts w:cstheme="minorHAnsi"/>
          <w:sz w:val="20"/>
          <w:szCs w:val="20"/>
          <w:shd w:val="clear" w:color="auto" w:fill="FFFFFF"/>
        </w:rPr>
        <w:t xml:space="preserve"> amostra</w:t>
      </w:r>
      <w:r w:rsidR="000B5D78" w:rsidRPr="00B32D0F">
        <w:rPr>
          <w:rFonts w:cstheme="minorHAnsi"/>
          <w:sz w:val="20"/>
          <w:szCs w:val="20"/>
          <w:shd w:val="clear" w:color="auto" w:fill="FFFFFF"/>
        </w:rPr>
        <w:t xml:space="preserve"> mais representativa para suportar esta conclusão, quer em número de doentes co-infectados, quer de </w:t>
      </w:r>
      <w:r w:rsidR="00946A89" w:rsidRPr="00B32D0F">
        <w:rPr>
          <w:rFonts w:cstheme="minorHAnsi"/>
          <w:sz w:val="20"/>
          <w:szCs w:val="20"/>
          <w:shd w:val="clear" w:color="auto" w:fill="FFFFFF"/>
        </w:rPr>
        <w:t xml:space="preserve">casos de </w:t>
      </w:r>
      <w:r w:rsidR="000B5D78" w:rsidRPr="00B32D0F">
        <w:rPr>
          <w:rFonts w:cstheme="minorHAnsi"/>
          <w:sz w:val="20"/>
          <w:szCs w:val="20"/>
          <w:shd w:val="clear" w:color="auto" w:fill="FFFFFF"/>
        </w:rPr>
        <w:t xml:space="preserve">LV </w:t>
      </w:r>
      <w:r w:rsidR="00946A89" w:rsidRPr="00B32D0F">
        <w:rPr>
          <w:rFonts w:cstheme="minorHAnsi"/>
          <w:sz w:val="20"/>
          <w:szCs w:val="20"/>
          <w:shd w:val="clear" w:color="auto" w:fill="FFFFFF"/>
        </w:rPr>
        <w:t>na restante população</w:t>
      </w:r>
      <w:r w:rsidR="000B5D78" w:rsidRPr="00B32D0F">
        <w:rPr>
          <w:rFonts w:cstheme="minorHAnsi"/>
          <w:sz w:val="20"/>
          <w:szCs w:val="20"/>
          <w:shd w:val="clear" w:color="auto" w:fill="FFFFFF"/>
        </w:rPr>
        <w:t>. Por se tratar de um trabalho retrospectivo quando foram pedidos os</w:t>
      </w:r>
      <w:r w:rsidR="00946A89" w:rsidRPr="00B32D0F">
        <w:rPr>
          <w:rFonts w:cstheme="minorHAnsi"/>
          <w:sz w:val="20"/>
          <w:szCs w:val="20"/>
          <w:shd w:val="clear" w:color="auto" w:fill="FFFFFF"/>
        </w:rPr>
        <w:t xml:space="preserve"> processos de doentes com</w:t>
      </w:r>
      <w:r w:rsidR="000B5D78" w:rsidRPr="00B32D0F">
        <w:rPr>
          <w:rFonts w:cstheme="minorHAnsi"/>
          <w:sz w:val="20"/>
          <w:szCs w:val="20"/>
          <w:shd w:val="clear" w:color="auto" w:fill="FFFFFF"/>
        </w:rPr>
        <w:t xml:space="preserve"> diagnóstico</w:t>
      </w:r>
      <w:r w:rsidR="00946A89" w:rsidRPr="00B32D0F">
        <w:rPr>
          <w:rFonts w:cstheme="minorHAnsi"/>
          <w:sz w:val="20"/>
          <w:szCs w:val="20"/>
          <w:shd w:val="clear" w:color="auto" w:fill="FFFFFF"/>
        </w:rPr>
        <w:t xml:space="preserve"> </w:t>
      </w:r>
      <w:r w:rsidR="000B5D78" w:rsidRPr="00B32D0F">
        <w:rPr>
          <w:rFonts w:cstheme="minorHAnsi"/>
          <w:sz w:val="20"/>
          <w:szCs w:val="20"/>
          <w:shd w:val="clear" w:color="auto" w:fill="FFFFFF"/>
        </w:rPr>
        <w:t xml:space="preserve">de LV </w:t>
      </w:r>
      <w:r w:rsidR="00946A89" w:rsidRPr="00B32D0F">
        <w:rPr>
          <w:rFonts w:cstheme="minorHAnsi"/>
          <w:sz w:val="20"/>
          <w:szCs w:val="20"/>
          <w:shd w:val="clear" w:color="auto" w:fill="FFFFFF"/>
        </w:rPr>
        <w:t xml:space="preserve">em internamento </w:t>
      </w:r>
      <w:r w:rsidR="000B5D78" w:rsidRPr="00B32D0F">
        <w:rPr>
          <w:rFonts w:cstheme="minorHAnsi"/>
          <w:sz w:val="20"/>
          <w:szCs w:val="20"/>
          <w:u w:val="single"/>
          <w:shd w:val="clear" w:color="auto" w:fill="FFFFFF"/>
        </w:rPr>
        <w:t>apenas foi identificada uma doente</w:t>
      </w:r>
      <w:r w:rsidR="000B5D78" w:rsidRPr="00B32D0F">
        <w:rPr>
          <w:rFonts w:cstheme="minorHAnsi"/>
          <w:sz w:val="20"/>
          <w:szCs w:val="20"/>
          <w:shd w:val="clear" w:color="auto" w:fill="FFFFFF"/>
        </w:rPr>
        <w:t xml:space="preserve"> imunocompetente com este diagnóstico, que foi excluída</w:t>
      </w:r>
      <w:r w:rsidR="009E2F12">
        <w:rPr>
          <w:rFonts w:cstheme="minorHAnsi"/>
          <w:sz w:val="20"/>
          <w:szCs w:val="20"/>
          <w:shd w:val="clear" w:color="auto" w:fill="FFFFFF"/>
        </w:rPr>
        <w:t>,</w:t>
      </w:r>
      <w:r w:rsidR="00946A89" w:rsidRPr="00B32D0F">
        <w:rPr>
          <w:rFonts w:cstheme="minorHAnsi"/>
          <w:sz w:val="20"/>
          <w:szCs w:val="20"/>
          <w:shd w:val="clear" w:color="auto" w:fill="FFFFFF"/>
        </w:rPr>
        <w:t xml:space="preserve"> como se refere na secção de</w:t>
      </w:r>
      <w:r w:rsidR="00E728E7" w:rsidRPr="00B32D0F">
        <w:rPr>
          <w:rFonts w:cstheme="minorHAnsi"/>
          <w:sz w:val="20"/>
          <w:szCs w:val="20"/>
          <w:shd w:val="clear" w:color="auto" w:fill="FFFFFF"/>
        </w:rPr>
        <w:t xml:space="preserve"> Material e M</w:t>
      </w:r>
      <w:r w:rsidR="00946A89" w:rsidRPr="00B32D0F">
        <w:rPr>
          <w:rFonts w:cstheme="minorHAnsi"/>
          <w:sz w:val="20"/>
          <w:szCs w:val="20"/>
          <w:shd w:val="clear" w:color="auto" w:fill="FFFFFF"/>
        </w:rPr>
        <w:t xml:space="preserve">étodos. Desde modo, e infelizmente, este é um dado que, dadas as limitações do estudo, não poderá ser </w:t>
      </w:r>
      <w:r w:rsidR="00E728E7" w:rsidRPr="00B32D0F">
        <w:rPr>
          <w:rFonts w:cstheme="minorHAnsi"/>
          <w:sz w:val="20"/>
          <w:szCs w:val="20"/>
          <w:shd w:val="clear" w:color="auto" w:fill="FFFFFF"/>
        </w:rPr>
        <w:t xml:space="preserve">analisado nem </w:t>
      </w:r>
      <w:r w:rsidR="00946A89" w:rsidRPr="00B32D0F">
        <w:rPr>
          <w:rFonts w:cstheme="minorHAnsi"/>
          <w:sz w:val="20"/>
          <w:szCs w:val="20"/>
          <w:shd w:val="clear" w:color="auto" w:fill="FFFFFF"/>
        </w:rPr>
        <w:t>inclu</w:t>
      </w:r>
      <w:r w:rsidR="00E728E7" w:rsidRPr="00B32D0F">
        <w:rPr>
          <w:rFonts w:cstheme="minorHAnsi"/>
          <w:sz w:val="20"/>
          <w:szCs w:val="20"/>
          <w:shd w:val="clear" w:color="auto" w:fill="FFFFFF"/>
        </w:rPr>
        <w:t xml:space="preserve">ído. </w:t>
      </w:r>
    </w:p>
    <w:p w:rsidR="006A3FCE" w:rsidRPr="00B32D0F" w:rsidRDefault="006A3FCE" w:rsidP="00222DA7">
      <w:pPr>
        <w:jc w:val="both"/>
        <w:rPr>
          <w:rFonts w:cstheme="minorHAnsi"/>
          <w:b/>
          <w:sz w:val="20"/>
          <w:szCs w:val="20"/>
        </w:rPr>
      </w:pPr>
    </w:p>
    <w:p w:rsidR="00E728E7" w:rsidRPr="00B32D0F" w:rsidRDefault="00E728E7" w:rsidP="00222DA7">
      <w:pPr>
        <w:jc w:val="both"/>
        <w:rPr>
          <w:rFonts w:cstheme="minorHAnsi"/>
          <w:b/>
          <w:sz w:val="20"/>
          <w:szCs w:val="20"/>
          <w:shd w:val="clear" w:color="auto" w:fill="FFFFFF"/>
        </w:rPr>
      </w:pPr>
      <w:r w:rsidRPr="00B32D0F">
        <w:rPr>
          <w:rFonts w:cstheme="minorHAnsi"/>
          <w:b/>
          <w:sz w:val="20"/>
          <w:szCs w:val="20"/>
          <w:u w:val="single"/>
        </w:rPr>
        <w:t>Comentário 2:</w:t>
      </w:r>
      <w:r w:rsidRPr="00B32D0F">
        <w:rPr>
          <w:rFonts w:cstheme="minorHAnsi"/>
          <w:b/>
          <w:sz w:val="20"/>
          <w:szCs w:val="20"/>
        </w:rPr>
        <w:t xml:space="preserve"> “</w:t>
      </w:r>
      <w:r w:rsidRPr="00B32D0F">
        <w:rPr>
          <w:rFonts w:cstheme="minorHAnsi"/>
          <w:b/>
          <w:sz w:val="20"/>
          <w:szCs w:val="20"/>
          <w:shd w:val="clear" w:color="auto" w:fill="FFFFFF"/>
        </w:rPr>
        <w:t>N</w:t>
      </w:r>
      <w:r w:rsidR="000D2248" w:rsidRPr="00B32D0F">
        <w:rPr>
          <w:rFonts w:cstheme="minorHAnsi"/>
          <w:b/>
          <w:sz w:val="20"/>
          <w:szCs w:val="20"/>
          <w:shd w:val="clear" w:color="auto" w:fill="FFFFFF"/>
        </w:rPr>
        <w:t>ão estão explí</w:t>
      </w:r>
      <w:r w:rsidRPr="00B32D0F">
        <w:rPr>
          <w:rFonts w:cstheme="minorHAnsi"/>
          <w:b/>
          <w:sz w:val="20"/>
          <w:szCs w:val="20"/>
          <w:shd w:val="clear" w:color="auto" w:fill="FFFFFF"/>
        </w:rPr>
        <w:t>citas as razões que levaram a utilização em 5 doente de outros fármacos que não a anfotericina B (ainda terapêutica de 1ª linha) na terapêutica inicial nem a razão para a diferença de duração de terapêutica, em que em alguns casos chegou aos 14 dias, em oposição aos 5 dias preconizados.</w:t>
      </w:r>
      <w:r w:rsidR="008A6B41" w:rsidRPr="00B32D0F">
        <w:rPr>
          <w:rFonts w:cstheme="minorHAnsi"/>
          <w:b/>
          <w:sz w:val="20"/>
          <w:szCs w:val="20"/>
          <w:shd w:val="clear" w:color="auto" w:fill="FFFFFF"/>
        </w:rPr>
        <w:t>”</w:t>
      </w:r>
    </w:p>
    <w:p w:rsidR="009E2F12" w:rsidRDefault="008A6B41" w:rsidP="00222DA7">
      <w:pPr>
        <w:jc w:val="both"/>
        <w:rPr>
          <w:rFonts w:cstheme="minorHAnsi"/>
          <w:sz w:val="20"/>
          <w:szCs w:val="20"/>
          <w:shd w:val="clear" w:color="auto" w:fill="FFFFFF"/>
        </w:rPr>
      </w:pPr>
      <w:r w:rsidRPr="00B32D0F">
        <w:rPr>
          <w:rFonts w:cstheme="minorHAnsi"/>
          <w:sz w:val="20"/>
          <w:szCs w:val="20"/>
          <w:shd w:val="clear" w:color="auto" w:fill="FFFFFF"/>
        </w:rPr>
        <w:t xml:space="preserve">- </w:t>
      </w:r>
      <w:r w:rsidR="009E2F12">
        <w:rPr>
          <w:rFonts w:cstheme="minorHAnsi"/>
          <w:sz w:val="20"/>
          <w:szCs w:val="20"/>
          <w:shd w:val="clear" w:color="auto" w:fill="FFFFFF"/>
        </w:rPr>
        <w:t xml:space="preserve">Penso que </w:t>
      </w:r>
      <w:r w:rsidR="000D2248" w:rsidRPr="00B32D0F">
        <w:rPr>
          <w:rFonts w:cstheme="minorHAnsi"/>
          <w:sz w:val="20"/>
          <w:szCs w:val="20"/>
          <w:shd w:val="clear" w:color="auto" w:fill="FFFFFF"/>
        </w:rPr>
        <w:t>esta limitação se deve</w:t>
      </w:r>
      <w:r w:rsidR="009E2F12" w:rsidRPr="00B32D0F">
        <w:rPr>
          <w:rFonts w:cstheme="minorHAnsi"/>
          <w:sz w:val="20"/>
          <w:szCs w:val="20"/>
          <w:shd w:val="clear" w:color="auto" w:fill="FFFFFF"/>
        </w:rPr>
        <w:t xml:space="preserve">, mais uma vez, </w:t>
      </w:r>
      <w:r w:rsidR="000D2248" w:rsidRPr="00B32D0F">
        <w:rPr>
          <w:rFonts w:cstheme="minorHAnsi"/>
          <w:sz w:val="20"/>
          <w:szCs w:val="20"/>
          <w:shd w:val="clear" w:color="auto" w:fill="FFFFFF"/>
        </w:rPr>
        <w:t xml:space="preserve"> ao facto de se tratar de um trabalho retrospectivo, que não permite a aplicação de protoc</w:t>
      </w:r>
      <w:r w:rsidR="00134AE2" w:rsidRPr="00B32D0F">
        <w:rPr>
          <w:rFonts w:cstheme="minorHAnsi"/>
          <w:sz w:val="20"/>
          <w:szCs w:val="20"/>
          <w:shd w:val="clear" w:color="auto" w:fill="FFFFFF"/>
        </w:rPr>
        <w:t>olos rígidos de terapê</w:t>
      </w:r>
      <w:r w:rsidR="000D2248" w:rsidRPr="00B32D0F">
        <w:rPr>
          <w:rFonts w:cstheme="minorHAnsi"/>
          <w:sz w:val="20"/>
          <w:szCs w:val="20"/>
          <w:shd w:val="clear" w:color="auto" w:fill="FFFFFF"/>
        </w:rPr>
        <w:t xml:space="preserve">utica </w:t>
      </w:r>
      <w:r w:rsidR="009E2F12">
        <w:rPr>
          <w:rFonts w:cstheme="minorHAnsi"/>
          <w:sz w:val="20"/>
          <w:szCs w:val="20"/>
          <w:shd w:val="clear" w:color="auto" w:fill="FFFFFF"/>
        </w:rPr>
        <w:t>e que analisa</w:t>
      </w:r>
      <w:r w:rsidR="00134AE2" w:rsidRPr="00B32D0F">
        <w:rPr>
          <w:rFonts w:cstheme="minorHAnsi"/>
          <w:sz w:val="20"/>
          <w:szCs w:val="20"/>
          <w:shd w:val="clear" w:color="auto" w:fill="FFFFFF"/>
        </w:rPr>
        <w:t xml:space="preserve"> </w:t>
      </w:r>
      <w:r w:rsidR="000D2248" w:rsidRPr="00B32D0F">
        <w:rPr>
          <w:rFonts w:cstheme="minorHAnsi"/>
          <w:sz w:val="20"/>
          <w:szCs w:val="20"/>
          <w:shd w:val="clear" w:color="auto" w:fill="FFFFFF"/>
        </w:rPr>
        <w:t>um período de 10 ano</w:t>
      </w:r>
      <w:r w:rsidR="00134AE2" w:rsidRPr="00B32D0F">
        <w:rPr>
          <w:rFonts w:cstheme="minorHAnsi"/>
          <w:sz w:val="20"/>
          <w:szCs w:val="20"/>
          <w:shd w:val="clear" w:color="auto" w:fill="FFFFFF"/>
        </w:rPr>
        <w:t>s. Por exemplo, é nos primeiros anos (</w:t>
      </w:r>
      <w:r w:rsidR="009E2F12">
        <w:rPr>
          <w:rFonts w:cstheme="minorHAnsi"/>
          <w:sz w:val="20"/>
          <w:szCs w:val="20"/>
          <w:shd w:val="clear" w:color="auto" w:fill="FFFFFF"/>
        </w:rPr>
        <w:t>2006-2008) que encontramos</w:t>
      </w:r>
      <w:r w:rsidR="00134AE2" w:rsidRPr="00B32D0F">
        <w:rPr>
          <w:rFonts w:cstheme="minorHAnsi"/>
          <w:sz w:val="20"/>
          <w:szCs w:val="20"/>
          <w:shd w:val="clear" w:color="auto" w:fill="FFFFFF"/>
        </w:rPr>
        <w:t xml:space="preserve"> os </w:t>
      </w:r>
      <w:r w:rsidR="00EB004A">
        <w:rPr>
          <w:rFonts w:cstheme="minorHAnsi"/>
          <w:sz w:val="20"/>
          <w:szCs w:val="20"/>
          <w:shd w:val="clear" w:color="auto" w:fill="FFFFFF"/>
        </w:rPr>
        <w:t>quatro</w:t>
      </w:r>
      <w:r w:rsidR="009E2F12">
        <w:rPr>
          <w:rFonts w:cstheme="minorHAnsi"/>
          <w:sz w:val="20"/>
          <w:szCs w:val="20"/>
          <w:shd w:val="clear" w:color="auto" w:fill="FFFFFF"/>
        </w:rPr>
        <w:t xml:space="preserve"> </w:t>
      </w:r>
      <w:r w:rsidR="00134AE2" w:rsidRPr="00B32D0F">
        <w:rPr>
          <w:rFonts w:cstheme="minorHAnsi"/>
          <w:sz w:val="20"/>
          <w:szCs w:val="20"/>
          <w:shd w:val="clear" w:color="auto" w:fill="FFFFFF"/>
        </w:rPr>
        <w:t xml:space="preserve">casos de utilização de Antimoniato de meglumina, talvez pela experiência vasta que os profissionais tinham </w:t>
      </w:r>
      <w:r w:rsidR="009E2F12">
        <w:rPr>
          <w:rFonts w:cstheme="minorHAnsi"/>
          <w:sz w:val="20"/>
          <w:szCs w:val="20"/>
          <w:shd w:val="clear" w:color="auto" w:fill="FFFFFF"/>
        </w:rPr>
        <w:t>à data com este fármaco, que apesar dos efeitos secundários tinha eficácia comprovada</w:t>
      </w:r>
      <w:r w:rsidR="00134AE2" w:rsidRPr="00B32D0F">
        <w:rPr>
          <w:rFonts w:cstheme="minorHAnsi"/>
          <w:sz w:val="20"/>
          <w:szCs w:val="20"/>
          <w:shd w:val="clear" w:color="auto" w:fill="FFFFFF"/>
        </w:rPr>
        <w:t xml:space="preserve">. </w:t>
      </w:r>
      <w:r w:rsidR="009E2F12">
        <w:rPr>
          <w:rFonts w:cstheme="minorHAnsi"/>
          <w:sz w:val="20"/>
          <w:szCs w:val="20"/>
          <w:shd w:val="clear" w:color="auto" w:fill="FFFFFF"/>
        </w:rPr>
        <w:t>O doente que fez Miltefosine teve a necessidade de</w:t>
      </w:r>
      <w:r w:rsidR="009E2F12">
        <w:rPr>
          <w:rFonts w:cstheme="minorHAnsi"/>
          <w:sz w:val="20"/>
          <w:szCs w:val="20"/>
          <w:shd w:val="clear" w:color="auto" w:fill="FFFFFF"/>
        </w:rPr>
        <w:t xml:space="preserve"> concluir a terapeutica em ambulatório pelo que se optou desde o inicio por este esquema </w:t>
      </w:r>
      <w:r w:rsidR="005A7F0D">
        <w:rPr>
          <w:rFonts w:cstheme="minorHAnsi"/>
          <w:sz w:val="20"/>
          <w:szCs w:val="20"/>
          <w:shd w:val="clear" w:color="auto" w:fill="FFFFFF"/>
        </w:rPr>
        <w:t>de terapeutica oral</w:t>
      </w:r>
      <w:r w:rsidR="009E2F12">
        <w:rPr>
          <w:rFonts w:cstheme="minorHAnsi"/>
          <w:sz w:val="20"/>
          <w:szCs w:val="20"/>
          <w:shd w:val="clear" w:color="auto" w:fill="FFFFFF"/>
        </w:rPr>
        <w:t xml:space="preserve">. </w:t>
      </w:r>
      <w:r w:rsidR="00134AE2" w:rsidRPr="00B32D0F">
        <w:rPr>
          <w:rFonts w:cstheme="minorHAnsi"/>
          <w:sz w:val="20"/>
          <w:szCs w:val="20"/>
          <w:shd w:val="clear" w:color="auto" w:fill="FFFFFF"/>
        </w:rPr>
        <w:t>D</w:t>
      </w:r>
      <w:r w:rsidR="000D2248" w:rsidRPr="00B32D0F">
        <w:rPr>
          <w:rFonts w:cstheme="minorHAnsi"/>
          <w:sz w:val="20"/>
          <w:szCs w:val="20"/>
          <w:shd w:val="clear" w:color="auto" w:fill="FFFFFF"/>
        </w:rPr>
        <w:t xml:space="preserve">esde modo </w:t>
      </w:r>
      <w:r w:rsidR="009E2F12">
        <w:rPr>
          <w:rFonts w:cstheme="minorHAnsi"/>
          <w:sz w:val="20"/>
          <w:szCs w:val="20"/>
          <w:shd w:val="clear" w:color="auto" w:fill="FFFFFF"/>
        </w:rPr>
        <w:t>justificam-se</w:t>
      </w:r>
      <w:r w:rsidR="000D2248" w:rsidRPr="00B32D0F">
        <w:rPr>
          <w:rFonts w:cstheme="minorHAnsi"/>
          <w:sz w:val="20"/>
          <w:szCs w:val="20"/>
          <w:shd w:val="clear" w:color="auto" w:fill="FFFFFF"/>
        </w:rPr>
        <w:t xml:space="preserve"> alguns desvios </w:t>
      </w:r>
      <w:r w:rsidR="005A7F0D">
        <w:rPr>
          <w:rFonts w:cstheme="minorHAnsi"/>
          <w:sz w:val="20"/>
          <w:szCs w:val="20"/>
          <w:shd w:val="clear" w:color="auto" w:fill="FFFFFF"/>
        </w:rPr>
        <w:t>ao</w:t>
      </w:r>
      <w:r w:rsidR="000D2248" w:rsidRPr="00B32D0F">
        <w:rPr>
          <w:rFonts w:cstheme="minorHAnsi"/>
          <w:sz w:val="20"/>
          <w:szCs w:val="20"/>
          <w:shd w:val="clear" w:color="auto" w:fill="FFFFFF"/>
        </w:rPr>
        <w:t xml:space="preserve"> gold standart preconizad</w:t>
      </w:r>
      <w:r w:rsidR="005A7F0D">
        <w:rPr>
          <w:rFonts w:cstheme="minorHAnsi"/>
          <w:sz w:val="20"/>
          <w:szCs w:val="20"/>
          <w:shd w:val="clear" w:color="auto" w:fill="FFFFFF"/>
        </w:rPr>
        <w:t>o</w:t>
      </w:r>
      <w:r w:rsidR="000D2248" w:rsidRPr="00B32D0F">
        <w:rPr>
          <w:rFonts w:cstheme="minorHAnsi"/>
          <w:sz w:val="20"/>
          <w:szCs w:val="20"/>
          <w:shd w:val="clear" w:color="auto" w:fill="FFFFFF"/>
        </w:rPr>
        <w:t xml:space="preserve">, nomeadamente </w:t>
      </w:r>
      <w:r w:rsidR="009E2F12">
        <w:rPr>
          <w:rFonts w:cstheme="minorHAnsi"/>
          <w:sz w:val="20"/>
          <w:szCs w:val="20"/>
          <w:shd w:val="clear" w:color="auto" w:fill="FFFFFF"/>
        </w:rPr>
        <w:t>se considerarmos a</w:t>
      </w:r>
      <w:r w:rsidR="00134AE2" w:rsidRPr="00B32D0F">
        <w:rPr>
          <w:rFonts w:cstheme="minorHAnsi"/>
          <w:sz w:val="20"/>
          <w:szCs w:val="20"/>
          <w:shd w:val="clear" w:color="auto" w:fill="FFFFFF"/>
        </w:rPr>
        <w:t xml:space="preserve"> experiência pessoa</w:t>
      </w:r>
      <w:r w:rsidR="00197D58">
        <w:rPr>
          <w:rFonts w:cstheme="minorHAnsi"/>
          <w:sz w:val="20"/>
          <w:szCs w:val="20"/>
          <w:shd w:val="clear" w:color="auto" w:fill="FFFFFF"/>
        </w:rPr>
        <w:t>l</w:t>
      </w:r>
      <w:r w:rsidR="009E2F12">
        <w:rPr>
          <w:rFonts w:cstheme="minorHAnsi"/>
          <w:sz w:val="20"/>
          <w:szCs w:val="20"/>
          <w:shd w:val="clear" w:color="auto" w:fill="FFFFFF"/>
        </w:rPr>
        <w:t>, a</w:t>
      </w:r>
      <w:r w:rsidR="000D2248" w:rsidRPr="00B32D0F">
        <w:rPr>
          <w:rFonts w:cstheme="minorHAnsi"/>
          <w:sz w:val="20"/>
          <w:szCs w:val="20"/>
          <w:shd w:val="clear" w:color="auto" w:fill="FFFFFF"/>
        </w:rPr>
        <w:t xml:space="preserve"> gravidade do quadro clínico</w:t>
      </w:r>
      <w:r w:rsidR="009E2F12">
        <w:rPr>
          <w:rFonts w:cstheme="minorHAnsi"/>
          <w:sz w:val="20"/>
          <w:szCs w:val="20"/>
          <w:shd w:val="clear" w:color="auto" w:fill="FFFFFF"/>
        </w:rPr>
        <w:t xml:space="preserve"> dos doentes, as comorbilidades ou as necessidades do momento</w:t>
      </w:r>
      <w:r w:rsidR="009E2F12" w:rsidRPr="009E2F12">
        <w:rPr>
          <w:rFonts w:cstheme="minorHAnsi"/>
          <w:sz w:val="20"/>
          <w:szCs w:val="20"/>
          <w:shd w:val="clear" w:color="auto" w:fill="FFFFFF"/>
        </w:rPr>
        <w:t xml:space="preserve"> </w:t>
      </w:r>
      <w:r w:rsidR="009E2F12" w:rsidRPr="00B32D0F">
        <w:rPr>
          <w:rFonts w:cstheme="minorHAnsi"/>
          <w:sz w:val="20"/>
          <w:szCs w:val="20"/>
          <w:shd w:val="clear" w:color="auto" w:fill="FFFFFF"/>
        </w:rPr>
        <w:t>factos que são sempre um ponto desfavorável num trabalho retrospectivo.</w:t>
      </w:r>
      <w:r w:rsidR="009E2F12">
        <w:rPr>
          <w:rFonts w:cstheme="minorHAnsi"/>
          <w:sz w:val="20"/>
          <w:szCs w:val="20"/>
          <w:shd w:val="clear" w:color="auto" w:fill="FFFFFF"/>
        </w:rPr>
        <w:t xml:space="preserve"> </w:t>
      </w:r>
    </w:p>
    <w:p w:rsidR="00197D58" w:rsidRDefault="009E2F12" w:rsidP="00222DA7">
      <w:pPr>
        <w:jc w:val="both"/>
        <w:rPr>
          <w:rFonts w:cstheme="minorHAnsi"/>
          <w:sz w:val="20"/>
          <w:szCs w:val="20"/>
          <w:shd w:val="clear" w:color="auto" w:fill="FFFFFF"/>
        </w:rPr>
      </w:pPr>
      <w:r>
        <w:rPr>
          <w:rFonts w:cstheme="minorHAnsi"/>
          <w:sz w:val="20"/>
          <w:szCs w:val="20"/>
          <w:shd w:val="clear" w:color="auto" w:fill="FFFFFF"/>
        </w:rPr>
        <w:t>No que diz respeito à duração da terapeutica há, de facto, um lapso no corpo do texto que foi prontamente corrigido. A duração dos tratamentos com Anfotericina</w:t>
      </w:r>
      <w:r w:rsidR="00373A0E">
        <w:rPr>
          <w:rFonts w:cstheme="minorHAnsi"/>
          <w:sz w:val="20"/>
          <w:szCs w:val="20"/>
          <w:shd w:val="clear" w:color="auto" w:fill="FFFFFF"/>
        </w:rPr>
        <w:t xml:space="preserve"> B lipossómica</w:t>
      </w:r>
      <w:r>
        <w:rPr>
          <w:rFonts w:cstheme="minorHAnsi"/>
          <w:sz w:val="20"/>
          <w:szCs w:val="20"/>
          <w:shd w:val="clear" w:color="auto" w:fill="FFFFFF"/>
        </w:rPr>
        <w:t xml:space="preserve"> </w:t>
      </w:r>
      <w:r w:rsidR="005A7F0D">
        <w:rPr>
          <w:rFonts w:cstheme="minorHAnsi"/>
          <w:sz w:val="20"/>
          <w:szCs w:val="20"/>
          <w:shd w:val="clear" w:color="auto" w:fill="FFFFFF"/>
        </w:rPr>
        <w:t>não foi uniforme na medida em que em alguns</w:t>
      </w:r>
      <w:r w:rsidR="00C9416D">
        <w:rPr>
          <w:rFonts w:cstheme="minorHAnsi"/>
          <w:sz w:val="20"/>
          <w:szCs w:val="20"/>
          <w:shd w:val="clear" w:color="auto" w:fill="FFFFFF"/>
        </w:rPr>
        <w:t xml:space="preserve"> casos</w:t>
      </w:r>
      <w:r w:rsidR="005A7F0D">
        <w:rPr>
          <w:rFonts w:cstheme="minorHAnsi"/>
          <w:sz w:val="20"/>
          <w:szCs w:val="20"/>
          <w:shd w:val="clear" w:color="auto" w:fill="FFFFFF"/>
        </w:rPr>
        <w:t xml:space="preserve"> se optou por esquema</w:t>
      </w:r>
      <w:r w:rsidR="00C9416D">
        <w:rPr>
          <w:rFonts w:cstheme="minorHAnsi"/>
          <w:sz w:val="20"/>
          <w:szCs w:val="20"/>
          <w:shd w:val="clear" w:color="auto" w:fill="FFFFFF"/>
        </w:rPr>
        <w:t>s</w:t>
      </w:r>
      <w:r w:rsidR="005A7F0D">
        <w:rPr>
          <w:rFonts w:cstheme="minorHAnsi"/>
          <w:sz w:val="20"/>
          <w:szCs w:val="20"/>
          <w:shd w:val="clear" w:color="auto" w:fill="FFFFFF"/>
        </w:rPr>
        <w:t xml:space="preserve"> de 5 dia</w:t>
      </w:r>
      <w:r w:rsidR="00C9416D">
        <w:rPr>
          <w:rFonts w:cstheme="minorHAnsi"/>
          <w:sz w:val="20"/>
          <w:szCs w:val="20"/>
          <w:shd w:val="clear" w:color="auto" w:fill="FFFFFF"/>
        </w:rPr>
        <w:t>s com dose de 5mg/Kg e noutras o</w:t>
      </w:r>
      <w:r w:rsidR="005A7F0D">
        <w:rPr>
          <w:rFonts w:cstheme="minorHAnsi"/>
          <w:sz w:val="20"/>
          <w:szCs w:val="20"/>
          <w:shd w:val="clear" w:color="auto" w:fill="FFFFFF"/>
        </w:rPr>
        <w:t xml:space="preserve"> esquema foi com interrupções (2,5-3mg/Kg</w:t>
      </w:r>
      <w:r w:rsidR="0031246E">
        <w:rPr>
          <w:rFonts w:cstheme="minorHAnsi"/>
          <w:sz w:val="20"/>
          <w:szCs w:val="20"/>
          <w:shd w:val="clear" w:color="auto" w:fill="FFFFFF"/>
        </w:rPr>
        <w:t xml:space="preserve"> </w:t>
      </w:r>
      <w:r w:rsidR="00C9416D">
        <w:rPr>
          <w:rFonts w:cstheme="minorHAnsi"/>
          <w:sz w:val="20"/>
          <w:szCs w:val="20"/>
          <w:shd w:val="clear" w:color="auto" w:fill="FFFFFF"/>
        </w:rPr>
        <w:t xml:space="preserve">durante 5 dias consecutivos e depois com mais 5 tomas respectivamente nos 7º, 14º, 21º, 28º </w:t>
      </w:r>
      <w:r w:rsidR="004D5F3A">
        <w:rPr>
          <w:rFonts w:cstheme="minorHAnsi"/>
          <w:sz w:val="20"/>
          <w:szCs w:val="20"/>
          <w:shd w:val="clear" w:color="auto" w:fill="FFFFFF"/>
        </w:rPr>
        <w:t xml:space="preserve">e </w:t>
      </w:r>
      <w:r w:rsidR="00C9416D">
        <w:rPr>
          <w:rFonts w:cstheme="minorHAnsi"/>
          <w:sz w:val="20"/>
          <w:szCs w:val="20"/>
          <w:shd w:val="clear" w:color="auto" w:fill="FFFFFF"/>
        </w:rPr>
        <w:t>35º dias</w:t>
      </w:r>
      <w:r w:rsidR="004D5F3A">
        <w:rPr>
          <w:rFonts w:cstheme="minorHAnsi"/>
          <w:sz w:val="20"/>
          <w:szCs w:val="20"/>
          <w:shd w:val="clear" w:color="auto" w:fill="FFFFFF"/>
        </w:rPr>
        <w:t>,</w:t>
      </w:r>
      <w:r w:rsidR="00C9416D">
        <w:rPr>
          <w:rFonts w:cstheme="minorHAnsi"/>
          <w:sz w:val="20"/>
          <w:szCs w:val="20"/>
          <w:shd w:val="clear" w:color="auto" w:fill="FFFFFF"/>
        </w:rPr>
        <w:t xml:space="preserve"> habitualmente já em ambulatório) sempre com o objectivo de uma dose total cumulativa </w:t>
      </w:r>
      <w:r w:rsidR="00585422">
        <w:rPr>
          <w:rFonts w:cstheme="minorHAnsi"/>
          <w:sz w:val="20"/>
          <w:szCs w:val="20"/>
          <w:shd w:val="clear" w:color="auto" w:fill="FFFFFF"/>
        </w:rPr>
        <w:t>mínima de 2</w:t>
      </w:r>
      <w:r w:rsidR="00C9416D">
        <w:rPr>
          <w:rFonts w:cstheme="minorHAnsi"/>
          <w:sz w:val="20"/>
          <w:szCs w:val="20"/>
          <w:shd w:val="clear" w:color="auto" w:fill="FFFFFF"/>
        </w:rPr>
        <w:t xml:space="preserve">0mg/Kg - esquema suportado por várias </w:t>
      </w:r>
      <w:r w:rsidR="004D5F3A">
        <w:rPr>
          <w:rFonts w:cstheme="minorHAnsi"/>
          <w:sz w:val="20"/>
          <w:szCs w:val="20"/>
          <w:shd w:val="clear" w:color="auto" w:fill="FFFFFF"/>
        </w:rPr>
        <w:t>referências bibliográficas</w:t>
      </w:r>
      <w:r w:rsidR="00EB004A">
        <w:rPr>
          <w:rFonts w:cstheme="minorHAnsi"/>
          <w:sz w:val="20"/>
          <w:szCs w:val="20"/>
          <w:shd w:val="clear" w:color="auto" w:fill="FFFFFF"/>
        </w:rPr>
        <w:t xml:space="preserve"> (7, 13 no artigo)</w:t>
      </w:r>
      <w:r w:rsidR="004D5F3A">
        <w:rPr>
          <w:rFonts w:cstheme="minorHAnsi"/>
          <w:sz w:val="20"/>
          <w:szCs w:val="20"/>
          <w:shd w:val="clear" w:color="auto" w:fill="FFFFFF"/>
        </w:rPr>
        <w:t>. As decisões penso</w:t>
      </w:r>
      <w:r w:rsidR="00373A0E">
        <w:rPr>
          <w:rFonts w:cstheme="minorHAnsi"/>
          <w:sz w:val="20"/>
          <w:szCs w:val="20"/>
          <w:shd w:val="clear" w:color="auto" w:fill="FFFFFF"/>
        </w:rPr>
        <w:t xml:space="preserve"> terem sido</w:t>
      </w:r>
      <w:r w:rsidR="004D5F3A">
        <w:rPr>
          <w:rFonts w:cstheme="minorHAnsi"/>
          <w:sz w:val="20"/>
          <w:szCs w:val="20"/>
          <w:shd w:val="clear" w:color="auto" w:fill="FFFFFF"/>
        </w:rPr>
        <w:t xml:space="preserve"> feitas também na base da experiência</w:t>
      </w:r>
      <w:r w:rsidR="00373A0E">
        <w:rPr>
          <w:rFonts w:cstheme="minorHAnsi"/>
          <w:sz w:val="20"/>
          <w:szCs w:val="20"/>
          <w:shd w:val="clear" w:color="auto" w:fill="FFFFFF"/>
        </w:rPr>
        <w:t xml:space="preserve"> pessoal do corpo clínico, impossíveis</w:t>
      </w:r>
      <w:r w:rsidR="004D5F3A">
        <w:rPr>
          <w:rFonts w:cstheme="minorHAnsi"/>
          <w:sz w:val="20"/>
          <w:szCs w:val="20"/>
          <w:shd w:val="clear" w:color="auto" w:fill="FFFFFF"/>
        </w:rPr>
        <w:t xml:space="preserve"> de padronizar</w:t>
      </w:r>
      <w:r w:rsidR="00373A0E">
        <w:rPr>
          <w:rFonts w:cstheme="minorHAnsi"/>
          <w:sz w:val="20"/>
          <w:szCs w:val="20"/>
          <w:shd w:val="clear" w:color="auto" w:fill="FFFFFF"/>
        </w:rPr>
        <w:t xml:space="preserve"> num estudo retrospectivo</w:t>
      </w:r>
      <w:r w:rsidR="004D5F3A">
        <w:rPr>
          <w:rFonts w:cstheme="minorHAnsi"/>
          <w:sz w:val="20"/>
          <w:szCs w:val="20"/>
          <w:shd w:val="clear" w:color="auto" w:fill="FFFFFF"/>
        </w:rPr>
        <w:t>. Acrescentei ainda esta informação na introdução do trabalho, pela relevância para  compreensão destas decisões</w:t>
      </w:r>
      <w:r w:rsidR="00197D58">
        <w:rPr>
          <w:rFonts w:cstheme="minorHAnsi"/>
          <w:sz w:val="20"/>
          <w:szCs w:val="20"/>
          <w:shd w:val="clear" w:color="auto" w:fill="FFFFFF"/>
        </w:rPr>
        <w:t>.</w:t>
      </w:r>
      <w:r w:rsidR="00197D58" w:rsidRPr="00197D58">
        <w:rPr>
          <w:rFonts w:cstheme="minorHAnsi"/>
          <w:sz w:val="20"/>
          <w:szCs w:val="20"/>
          <w:shd w:val="clear" w:color="auto" w:fill="FFFFFF"/>
        </w:rPr>
        <w:t xml:space="preserve"> </w:t>
      </w:r>
    </w:p>
    <w:p w:rsidR="004D5F3A" w:rsidRDefault="00C9416D" w:rsidP="00222DA7">
      <w:pPr>
        <w:jc w:val="both"/>
        <w:rPr>
          <w:rFonts w:cstheme="minorHAnsi"/>
          <w:sz w:val="20"/>
          <w:szCs w:val="20"/>
          <w:shd w:val="clear" w:color="auto" w:fill="FFFFFF"/>
        </w:rPr>
      </w:pPr>
      <w:r>
        <w:rPr>
          <w:rFonts w:cstheme="minorHAnsi"/>
          <w:sz w:val="20"/>
          <w:szCs w:val="20"/>
          <w:shd w:val="clear" w:color="auto" w:fill="FFFFFF"/>
        </w:rPr>
        <w:t>Deste modo, e como alguns doentes tiveram internamentos prolongados acab</w:t>
      </w:r>
      <w:r w:rsidR="004D5F3A">
        <w:rPr>
          <w:rFonts w:cstheme="minorHAnsi"/>
          <w:sz w:val="20"/>
          <w:szCs w:val="20"/>
          <w:shd w:val="clear" w:color="auto" w:fill="FFFFFF"/>
        </w:rPr>
        <w:t xml:space="preserve">aram por fazer, de facto, a dose correspondente de Anfotericina B lipossómica nos 7º, 10º e 14º de internamento, </w:t>
      </w:r>
      <w:r w:rsidR="00277C27">
        <w:rPr>
          <w:rFonts w:cstheme="minorHAnsi"/>
          <w:sz w:val="20"/>
          <w:szCs w:val="20"/>
          <w:shd w:val="clear" w:color="auto" w:fill="FFFFFF"/>
        </w:rPr>
        <w:t>o que levou a este lapso, já</w:t>
      </w:r>
      <w:r w:rsidR="00EB004A">
        <w:rPr>
          <w:rFonts w:cstheme="minorHAnsi"/>
          <w:sz w:val="20"/>
          <w:szCs w:val="20"/>
          <w:shd w:val="clear" w:color="auto" w:fill="FFFFFF"/>
        </w:rPr>
        <w:t xml:space="preserve"> corrigido</w:t>
      </w:r>
      <w:r w:rsidR="004D5F3A">
        <w:rPr>
          <w:rFonts w:cstheme="minorHAnsi"/>
          <w:sz w:val="20"/>
          <w:szCs w:val="20"/>
          <w:shd w:val="clear" w:color="auto" w:fill="FFFFFF"/>
        </w:rPr>
        <w:t>.</w:t>
      </w:r>
      <w:r w:rsidR="00373A0E">
        <w:rPr>
          <w:rFonts w:cstheme="minorHAnsi"/>
          <w:sz w:val="20"/>
          <w:szCs w:val="20"/>
          <w:shd w:val="clear" w:color="auto" w:fill="FFFFFF"/>
        </w:rPr>
        <w:t xml:space="preserve"> </w:t>
      </w:r>
    </w:p>
    <w:p w:rsidR="00373A0E" w:rsidRPr="00197D58" w:rsidRDefault="00373A0E" w:rsidP="00222DA7">
      <w:pPr>
        <w:jc w:val="both"/>
        <w:rPr>
          <w:rFonts w:cstheme="minorHAnsi"/>
          <w:sz w:val="20"/>
          <w:szCs w:val="20"/>
          <w:shd w:val="clear" w:color="auto" w:fill="FFFFFF"/>
        </w:rPr>
      </w:pPr>
    </w:p>
    <w:p w:rsidR="008A6B41" w:rsidRPr="00B32D0F" w:rsidRDefault="008A6B41" w:rsidP="00222DA7">
      <w:pPr>
        <w:jc w:val="both"/>
        <w:rPr>
          <w:rFonts w:cstheme="minorHAnsi"/>
          <w:b/>
          <w:sz w:val="20"/>
          <w:szCs w:val="20"/>
          <w:shd w:val="clear" w:color="auto" w:fill="FFFFFF"/>
        </w:rPr>
      </w:pPr>
      <w:r w:rsidRPr="00B32D0F">
        <w:rPr>
          <w:rFonts w:cstheme="minorHAnsi"/>
          <w:b/>
          <w:sz w:val="20"/>
          <w:szCs w:val="20"/>
          <w:shd w:val="clear" w:color="auto" w:fill="FFFFFF"/>
        </w:rPr>
        <w:lastRenderedPageBreak/>
        <w:t>Comentário 3: “Uma vez que na discussão é feita menção a eventual vantagem</w:t>
      </w:r>
      <w:r w:rsidRPr="00B32D0F">
        <w:rPr>
          <w:rFonts w:cstheme="minorHAnsi"/>
          <w:b/>
          <w:sz w:val="20"/>
          <w:szCs w:val="20"/>
        </w:rPr>
        <w:t xml:space="preserve"> </w:t>
      </w:r>
      <w:r w:rsidRPr="00B32D0F">
        <w:rPr>
          <w:rFonts w:cstheme="minorHAnsi"/>
          <w:b/>
          <w:sz w:val="20"/>
          <w:szCs w:val="20"/>
          <w:shd w:val="clear" w:color="auto" w:fill="FFFFFF"/>
        </w:rPr>
        <w:t>terapêutica dos IP no esquema de TARV no que diz respeito a erradicação da Leishmaniose, poderia ser feita comparação entre os doentes com esquema livre de IPs vs com IPs no que diz respeito a resposta a terapêutica para a Leishmaniose”</w:t>
      </w:r>
    </w:p>
    <w:p w:rsidR="00277C27" w:rsidRDefault="008A6B41" w:rsidP="00222DA7">
      <w:pPr>
        <w:jc w:val="both"/>
        <w:rPr>
          <w:rFonts w:cstheme="minorHAnsi"/>
          <w:b/>
          <w:sz w:val="20"/>
          <w:szCs w:val="20"/>
          <w:shd w:val="clear" w:color="auto" w:fill="FFFFFF"/>
        </w:rPr>
      </w:pPr>
      <w:r w:rsidRPr="00B32D0F">
        <w:rPr>
          <w:rFonts w:cstheme="minorHAnsi"/>
          <w:sz w:val="20"/>
          <w:szCs w:val="20"/>
          <w:shd w:val="clear" w:color="auto" w:fill="FFFFFF"/>
        </w:rPr>
        <w:t>- De facto é um dado interessante de analisar que mais uma vez se vê limitada pela pequena amostra conseguida. Como é referido no capítulo d</w:t>
      </w:r>
      <w:r w:rsidR="00C26F53" w:rsidRPr="00B32D0F">
        <w:rPr>
          <w:rFonts w:cstheme="minorHAnsi"/>
          <w:sz w:val="20"/>
          <w:szCs w:val="20"/>
          <w:shd w:val="clear" w:color="auto" w:fill="FFFFFF"/>
        </w:rPr>
        <w:t>os</w:t>
      </w:r>
      <w:r w:rsidRPr="00B32D0F">
        <w:rPr>
          <w:rFonts w:cstheme="minorHAnsi"/>
          <w:sz w:val="20"/>
          <w:szCs w:val="20"/>
          <w:shd w:val="clear" w:color="auto" w:fill="FFFFFF"/>
        </w:rPr>
        <w:t xml:space="preserve"> Resultados, apenas 7 doentes estavam a cumprir esquema TARV</w:t>
      </w:r>
      <w:r w:rsidR="00C26F53" w:rsidRPr="00B32D0F">
        <w:rPr>
          <w:rFonts w:cstheme="minorHAnsi"/>
          <w:sz w:val="20"/>
          <w:szCs w:val="20"/>
          <w:shd w:val="clear" w:color="auto" w:fill="FFFFFF"/>
        </w:rPr>
        <w:t xml:space="preserve"> aquando o diagnóstico de LV, 4 deles incluindo IP. Acrescentei então no parágrafo que analisa os doentes que recaíram, bem como na tabela nr1, que entre as 6 recaídas, apenas 2 cumpriam TARV, um deles livre de IP e outro com IP (Atazanavir-ritonavir). Deste modo, apesar de </w:t>
      </w:r>
      <w:r w:rsidR="00AF5E26" w:rsidRPr="00B32D0F">
        <w:rPr>
          <w:rFonts w:cstheme="minorHAnsi"/>
          <w:sz w:val="20"/>
          <w:szCs w:val="20"/>
          <w:shd w:val="clear" w:color="auto" w:fill="FFFFFF"/>
        </w:rPr>
        <w:t>ser um dado importante a acrescentar</w:t>
      </w:r>
      <w:r w:rsidR="00277C27">
        <w:rPr>
          <w:rFonts w:cstheme="minorHAnsi"/>
          <w:sz w:val="20"/>
          <w:szCs w:val="20"/>
          <w:shd w:val="clear" w:color="auto" w:fill="FFFFFF"/>
        </w:rPr>
        <w:t>,</w:t>
      </w:r>
      <w:r w:rsidR="00AF5E26" w:rsidRPr="00B32D0F">
        <w:rPr>
          <w:rFonts w:cstheme="minorHAnsi"/>
          <w:sz w:val="20"/>
          <w:szCs w:val="20"/>
          <w:shd w:val="clear" w:color="auto" w:fill="FFFFFF"/>
        </w:rPr>
        <w:t xml:space="preserve"> também não podemos comparar os r</w:t>
      </w:r>
      <w:r w:rsidR="00277C27">
        <w:rPr>
          <w:rFonts w:cstheme="minorHAnsi"/>
          <w:sz w:val="20"/>
          <w:szCs w:val="20"/>
          <w:shd w:val="clear" w:color="auto" w:fill="FFFFFF"/>
        </w:rPr>
        <w:t>esultados em termos de eficácia na prevenção da recaída pela amostra mínima analisada.</w:t>
      </w:r>
    </w:p>
    <w:p w:rsidR="00A22DC1" w:rsidRPr="00B32D0F" w:rsidRDefault="00A22DC1" w:rsidP="00222DA7">
      <w:pPr>
        <w:jc w:val="both"/>
        <w:rPr>
          <w:rFonts w:cstheme="minorHAnsi"/>
          <w:b/>
          <w:sz w:val="20"/>
          <w:szCs w:val="20"/>
          <w:shd w:val="clear" w:color="auto" w:fill="FFFFFF"/>
        </w:rPr>
      </w:pPr>
      <w:r w:rsidRPr="00B32D0F">
        <w:rPr>
          <w:rFonts w:cstheme="minorHAnsi"/>
          <w:b/>
          <w:sz w:val="20"/>
          <w:szCs w:val="20"/>
          <w:shd w:val="clear" w:color="auto" w:fill="FFFFFF"/>
        </w:rPr>
        <w:t>Comentário 4: “No 2º paragrafo dos resultados, o auto repete-se afirmando que apenas 2 dos doentes co-infectados apresentavam carga viral indetectável”</w:t>
      </w:r>
    </w:p>
    <w:p w:rsidR="00CD7488" w:rsidRPr="00B32D0F" w:rsidRDefault="00222DA7" w:rsidP="00222DA7">
      <w:pPr>
        <w:jc w:val="both"/>
        <w:rPr>
          <w:rFonts w:cstheme="minorHAnsi"/>
          <w:sz w:val="20"/>
          <w:szCs w:val="20"/>
          <w:shd w:val="clear" w:color="auto" w:fill="FFFFFF"/>
        </w:rPr>
      </w:pPr>
      <w:r w:rsidRPr="00B32D0F">
        <w:rPr>
          <w:rFonts w:cstheme="minorHAnsi"/>
          <w:sz w:val="20"/>
          <w:szCs w:val="20"/>
          <w:shd w:val="clear" w:color="auto" w:fill="FFFFFF"/>
        </w:rPr>
        <w:t xml:space="preserve">- </w:t>
      </w:r>
      <w:r w:rsidR="00A22DC1" w:rsidRPr="00B32D0F">
        <w:rPr>
          <w:rFonts w:cstheme="minorHAnsi"/>
          <w:sz w:val="20"/>
          <w:szCs w:val="20"/>
          <w:shd w:val="clear" w:color="auto" w:fill="FFFFFF"/>
        </w:rPr>
        <w:t xml:space="preserve">Lapso já corrigido no corpo do artigo. </w:t>
      </w:r>
    </w:p>
    <w:p w:rsidR="00A22DC1" w:rsidRPr="00B32D0F" w:rsidRDefault="00A22DC1" w:rsidP="00222DA7">
      <w:pPr>
        <w:jc w:val="both"/>
        <w:rPr>
          <w:rFonts w:cstheme="minorHAnsi"/>
          <w:sz w:val="20"/>
          <w:szCs w:val="20"/>
          <w:shd w:val="clear" w:color="auto" w:fill="FFFFFF"/>
        </w:rPr>
      </w:pPr>
      <w:r w:rsidRPr="00B32D0F">
        <w:rPr>
          <w:rFonts w:cstheme="minorHAnsi"/>
          <w:sz w:val="20"/>
          <w:szCs w:val="20"/>
        </w:rPr>
        <w:br/>
      </w:r>
      <w:r w:rsidRPr="00B32D0F">
        <w:rPr>
          <w:rFonts w:cstheme="minorHAnsi"/>
          <w:b/>
          <w:sz w:val="20"/>
          <w:szCs w:val="20"/>
          <w:shd w:val="clear" w:color="auto" w:fill="FFFFFF"/>
        </w:rPr>
        <w:t>Comentário 5: “O único óbito verificado foi causado directa ou indirectamente pela</w:t>
      </w:r>
      <w:r w:rsidRPr="00B32D0F">
        <w:rPr>
          <w:rFonts w:cstheme="minorHAnsi"/>
          <w:b/>
          <w:sz w:val="20"/>
          <w:szCs w:val="20"/>
        </w:rPr>
        <w:t xml:space="preserve"> </w:t>
      </w:r>
      <w:r w:rsidRPr="00B32D0F">
        <w:rPr>
          <w:rFonts w:cstheme="minorHAnsi"/>
          <w:b/>
          <w:sz w:val="20"/>
          <w:szCs w:val="20"/>
          <w:shd w:val="clear" w:color="auto" w:fill="FFFFFF"/>
        </w:rPr>
        <w:t>Leishmaniose?”</w:t>
      </w:r>
    </w:p>
    <w:p w:rsidR="006A3FCE" w:rsidRPr="00B32D0F" w:rsidRDefault="00222DA7" w:rsidP="00222DA7">
      <w:pPr>
        <w:jc w:val="both"/>
        <w:rPr>
          <w:rFonts w:cstheme="minorHAnsi"/>
          <w:sz w:val="20"/>
          <w:szCs w:val="20"/>
          <w:shd w:val="clear" w:color="auto" w:fill="FFFFFF"/>
        </w:rPr>
      </w:pPr>
      <w:r w:rsidRPr="00B32D0F">
        <w:rPr>
          <w:rFonts w:cstheme="minorHAnsi"/>
          <w:sz w:val="20"/>
          <w:szCs w:val="20"/>
          <w:shd w:val="clear" w:color="auto" w:fill="FFFFFF"/>
        </w:rPr>
        <w:t xml:space="preserve">- </w:t>
      </w:r>
      <w:r w:rsidR="00A22DC1" w:rsidRPr="00B32D0F">
        <w:rPr>
          <w:rFonts w:cstheme="minorHAnsi"/>
          <w:sz w:val="20"/>
          <w:szCs w:val="20"/>
          <w:shd w:val="clear" w:color="auto" w:fill="FFFFFF"/>
        </w:rPr>
        <w:t xml:space="preserve">Acrescentei informação relativamente ao doente que faleceu </w:t>
      </w:r>
      <w:r w:rsidR="00197D58">
        <w:rPr>
          <w:rFonts w:cstheme="minorHAnsi"/>
          <w:sz w:val="20"/>
          <w:szCs w:val="20"/>
          <w:shd w:val="clear" w:color="auto" w:fill="FFFFFF"/>
        </w:rPr>
        <w:t xml:space="preserve">quer no corpo do texto, quer </w:t>
      </w:r>
      <w:r w:rsidR="00A22DC1" w:rsidRPr="00B32D0F">
        <w:rPr>
          <w:rFonts w:cstheme="minorHAnsi"/>
          <w:sz w:val="20"/>
          <w:szCs w:val="20"/>
          <w:shd w:val="clear" w:color="auto" w:fill="FFFFFF"/>
        </w:rPr>
        <w:t>nas notas da tabela nr.1. De facto o único óbito</w:t>
      </w:r>
      <w:r w:rsidR="00911EEA" w:rsidRPr="00B32D0F">
        <w:rPr>
          <w:rFonts w:cstheme="minorHAnsi"/>
          <w:sz w:val="20"/>
          <w:szCs w:val="20"/>
          <w:shd w:val="clear" w:color="auto" w:fill="FFFFFF"/>
        </w:rPr>
        <w:t xml:space="preserve"> registado verificou-se na 2ª recaída do doente nr.5. Apesar do doente ter cumprido quimioprofilaxia após o primeiro diagnóstico</w:t>
      </w:r>
      <w:r w:rsidR="00517139" w:rsidRPr="00B32D0F">
        <w:rPr>
          <w:rFonts w:cstheme="minorHAnsi"/>
          <w:sz w:val="20"/>
          <w:szCs w:val="20"/>
          <w:shd w:val="clear" w:color="auto" w:fill="FFFFFF"/>
        </w:rPr>
        <w:t>, teve</w:t>
      </w:r>
      <w:r w:rsidR="00911EEA" w:rsidRPr="00B32D0F">
        <w:rPr>
          <w:rFonts w:cstheme="minorHAnsi"/>
          <w:sz w:val="20"/>
          <w:szCs w:val="20"/>
          <w:shd w:val="clear" w:color="auto" w:fill="FFFFFF"/>
        </w:rPr>
        <w:t xml:space="preserve"> uma primeira recaída após a qual abandonou </w:t>
      </w:r>
      <w:r w:rsidR="00517139" w:rsidRPr="00B32D0F">
        <w:rPr>
          <w:rFonts w:cstheme="minorHAnsi"/>
          <w:sz w:val="20"/>
          <w:szCs w:val="20"/>
          <w:shd w:val="clear" w:color="auto" w:fill="FFFFFF"/>
        </w:rPr>
        <w:t>a TARV, a quimioprofilaxia</w:t>
      </w:r>
      <w:r w:rsidR="00911EEA" w:rsidRPr="00B32D0F">
        <w:rPr>
          <w:rFonts w:cstheme="minorHAnsi"/>
          <w:sz w:val="20"/>
          <w:szCs w:val="20"/>
          <w:shd w:val="clear" w:color="auto" w:fill="FFFFFF"/>
        </w:rPr>
        <w:t xml:space="preserve"> e evoluiu assim para um estado de grave comprometimento </w:t>
      </w:r>
      <w:r w:rsidRPr="00B32D0F">
        <w:rPr>
          <w:rFonts w:cstheme="minorHAnsi"/>
          <w:sz w:val="20"/>
          <w:szCs w:val="20"/>
          <w:shd w:val="clear" w:color="auto" w:fill="FFFFFF"/>
        </w:rPr>
        <w:t>imunológico que</w:t>
      </w:r>
      <w:r w:rsidR="00E2593B" w:rsidRPr="00B32D0F">
        <w:rPr>
          <w:rFonts w:cstheme="minorHAnsi"/>
          <w:sz w:val="20"/>
          <w:szCs w:val="20"/>
          <w:shd w:val="clear" w:color="auto" w:fill="FFFFFF"/>
        </w:rPr>
        <w:t xml:space="preserve"> associou à</w:t>
      </w:r>
      <w:r w:rsidR="00911EEA" w:rsidRPr="00B32D0F">
        <w:rPr>
          <w:rFonts w:cstheme="minorHAnsi"/>
          <w:sz w:val="20"/>
          <w:szCs w:val="20"/>
          <w:shd w:val="clear" w:color="auto" w:fill="FFFFFF"/>
        </w:rPr>
        <w:t xml:space="preserve"> co-infe</w:t>
      </w:r>
      <w:r w:rsidR="00E2593B" w:rsidRPr="00B32D0F">
        <w:rPr>
          <w:rFonts w:cstheme="minorHAnsi"/>
          <w:sz w:val="20"/>
          <w:szCs w:val="20"/>
          <w:shd w:val="clear" w:color="auto" w:fill="FFFFFF"/>
        </w:rPr>
        <w:t>cção LV-VIH</w:t>
      </w:r>
      <w:r w:rsidR="00911EEA" w:rsidRPr="00B32D0F">
        <w:rPr>
          <w:rFonts w:cstheme="minorHAnsi"/>
          <w:sz w:val="20"/>
          <w:szCs w:val="20"/>
          <w:shd w:val="clear" w:color="auto" w:fill="FFFFFF"/>
        </w:rPr>
        <w:t xml:space="preserve"> uma tuberculose disseminada grave que acabou por </w:t>
      </w:r>
      <w:r w:rsidRPr="00B32D0F">
        <w:rPr>
          <w:rFonts w:cstheme="minorHAnsi"/>
          <w:sz w:val="20"/>
          <w:szCs w:val="20"/>
          <w:shd w:val="clear" w:color="auto" w:fill="FFFFFF"/>
        </w:rPr>
        <w:t>culminar na</w:t>
      </w:r>
      <w:r w:rsidR="00911EEA" w:rsidRPr="00B32D0F">
        <w:rPr>
          <w:rFonts w:cstheme="minorHAnsi"/>
          <w:sz w:val="20"/>
          <w:szCs w:val="20"/>
          <w:shd w:val="clear" w:color="auto" w:fill="FFFFFF"/>
        </w:rPr>
        <w:t xml:space="preserve"> morte</w:t>
      </w:r>
      <w:r w:rsidRPr="00B32D0F">
        <w:rPr>
          <w:rFonts w:cstheme="minorHAnsi"/>
          <w:sz w:val="20"/>
          <w:szCs w:val="20"/>
          <w:shd w:val="clear" w:color="auto" w:fill="FFFFFF"/>
        </w:rPr>
        <w:t xml:space="preserve"> – logo não causada directamente pela LV</w:t>
      </w:r>
      <w:r w:rsidR="00911EEA" w:rsidRPr="00B32D0F">
        <w:rPr>
          <w:rFonts w:cstheme="minorHAnsi"/>
          <w:sz w:val="20"/>
          <w:szCs w:val="20"/>
          <w:shd w:val="clear" w:color="auto" w:fill="FFFFFF"/>
        </w:rPr>
        <w:t xml:space="preserve">. </w:t>
      </w:r>
    </w:p>
    <w:p w:rsidR="00CD7488" w:rsidRPr="00B32D0F" w:rsidRDefault="00E2593B" w:rsidP="00222DA7">
      <w:pPr>
        <w:jc w:val="both"/>
        <w:rPr>
          <w:rFonts w:cstheme="minorHAnsi"/>
          <w:b/>
          <w:sz w:val="20"/>
          <w:szCs w:val="20"/>
          <w:shd w:val="clear" w:color="auto" w:fill="FFFFFF"/>
        </w:rPr>
      </w:pPr>
      <w:r w:rsidRPr="00B32D0F">
        <w:rPr>
          <w:rFonts w:cstheme="minorHAnsi"/>
          <w:b/>
          <w:sz w:val="20"/>
          <w:szCs w:val="20"/>
          <w:shd w:val="clear" w:color="auto" w:fill="FFFFFF"/>
        </w:rPr>
        <w:t>Comentário 6: “Como foram definidas as recaídas? por quanto tempo foi preconizada a</w:t>
      </w:r>
      <w:r w:rsidRPr="00B32D0F">
        <w:rPr>
          <w:rFonts w:cstheme="minorHAnsi"/>
          <w:b/>
          <w:sz w:val="20"/>
          <w:szCs w:val="20"/>
        </w:rPr>
        <w:t xml:space="preserve"> </w:t>
      </w:r>
      <w:r w:rsidRPr="00B32D0F">
        <w:rPr>
          <w:rFonts w:cstheme="minorHAnsi"/>
          <w:b/>
          <w:sz w:val="20"/>
          <w:szCs w:val="20"/>
          <w:shd w:val="clear" w:color="auto" w:fill="FFFFFF"/>
        </w:rPr>
        <w:t>necessidade de profilaxia secundária? e como foi decidido o fármaco a usar</w:t>
      </w:r>
      <w:r w:rsidRPr="00B32D0F">
        <w:rPr>
          <w:rFonts w:cstheme="minorHAnsi"/>
          <w:b/>
          <w:sz w:val="20"/>
          <w:szCs w:val="20"/>
        </w:rPr>
        <w:t xml:space="preserve"> </w:t>
      </w:r>
      <w:r w:rsidRPr="00B32D0F">
        <w:rPr>
          <w:rFonts w:cstheme="minorHAnsi"/>
          <w:b/>
          <w:sz w:val="20"/>
          <w:szCs w:val="20"/>
          <w:shd w:val="clear" w:color="auto" w:fill="FFFFFF"/>
        </w:rPr>
        <w:t>- anfotericina vs pentamidina?</w:t>
      </w:r>
      <w:r w:rsidR="00CD7488" w:rsidRPr="00B32D0F">
        <w:rPr>
          <w:rFonts w:cstheme="minorHAnsi"/>
          <w:b/>
          <w:sz w:val="20"/>
          <w:szCs w:val="20"/>
          <w:shd w:val="clear" w:color="auto" w:fill="FFFFFF"/>
        </w:rPr>
        <w:t>”</w:t>
      </w:r>
    </w:p>
    <w:p w:rsidR="00FA186D" w:rsidRPr="00B32D0F" w:rsidRDefault="00FA186D" w:rsidP="00B20ED8">
      <w:pPr>
        <w:jc w:val="both"/>
        <w:rPr>
          <w:rFonts w:cstheme="minorHAnsi"/>
          <w:b/>
          <w:sz w:val="20"/>
          <w:szCs w:val="20"/>
          <w:shd w:val="clear" w:color="auto" w:fill="FFFFFF"/>
        </w:rPr>
      </w:pPr>
      <w:r w:rsidRPr="00B32D0F">
        <w:rPr>
          <w:rFonts w:cstheme="minorHAnsi"/>
          <w:sz w:val="20"/>
          <w:szCs w:val="20"/>
        </w:rPr>
        <w:t xml:space="preserve">A definição de recaída, conceito interligado </w:t>
      </w:r>
      <w:r w:rsidR="00585422">
        <w:rPr>
          <w:rFonts w:cstheme="minorHAnsi"/>
          <w:sz w:val="20"/>
          <w:szCs w:val="20"/>
        </w:rPr>
        <w:t>com a questão da falência terapê</w:t>
      </w:r>
      <w:r w:rsidRPr="00B32D0F">
        <w:rPr>
          <w:rFonts w:cstheme="minorHAnsi"/>
          <w:sz w:val="20"/>
          <w:szCs w:val="20"/>
        </w:rPr>
        <w:t xml:space="preserve">utica, será justificada no comentário 7. </w:t>
      </w:r>
    </w:p>
    <w:p w:rsidR="00CD7488" w:rsidRPr="00B32D0F" w:rsidRDefault="00FA186D" w:rsidP="00B20ED8">
      <w:pPr>
        <w:jc w:val="both"/>
        <w:rPr>
          <w:bCs/>
          <w:sz w:val="20"/>
          <w:szCs w:val="20"/>
        </w:rPr>
      </w:pPr>
      <w:r w:rsidRPr="00B32D0F">
        <w:rPr>
          <w:rFonts w:cstheme="minorHAnsi"/>
          <w:sz w:val="20"/>
          <w:szCs w:val="20"/>
        </w:rPr>
        <w:t xml:space="preserve">Todos os </w:t>
      </w:r>
      <w:r w:rsidR="00222DA7" w:rsidRPr="00B32D0F">
        <w:rPr>
          <w:rFonts w:cstheme="minorHAnsi"/>
          <w:sz w:val="20"/>
          <w:szCs w:val="20"/>
        </w:rPr>
        <w:t>doentes com co-infecção VIH-LV</w:t>
      </w:r>
      <w:r w:rsidRPr="00B32D0F">
        <w:rPr>
          <w:rFonts w:cstheme="minorHAnsi"/>
          <w:sz w:val="20"/>
          <w:szCs w:val="20"/>
        </w:rPr>
        <w:t xml:space="preserve"> deveria</w:t>
      </w:r>
      <w:r w:rsidR="00222DA7" w:rsidRPr="00B32D0F">
        <w:rPr>
          <w:rFonts w:cstheme="minorHAnsi"/>
          <w:sz w:val="20"/>
          <w:szCs w:val="20"/>
        </w:rPr>
        <w:t>m</w:t>
      </w:r>
      <w:r w:rsidRPr="00B32D0F">
        <w:rPr>
          <w:rFonts w:cstheme="minorHAnsi"/>
          <w:sz w:val="20"/>
          <w:szCs w:val="20"/>
        </w:rPr>
        <w:t xml:space="preserve"> cumprir quimioprofilaxia</w:t>
      </w:r>
      <w:r w:rsidR="00585422">
        <w:rPr>
          <w:rFonts w:cstheme="minorHAnsi"/>
          <w:sz w:val="20"/>
          <w:szCs w:val="20"/>
        </w:rPr>
        <w:t xml:space="preserve"> após confirmação de cura inicial (</w:t>
      </w:r>
      <w:r w:rsidR="00585422" w:rsidRPr="00B32D0F">
        <w:rPr>
          <w:bCs/>
          <w:sz w:val="20"/>
          <w:szCs w:val="20"/>
        </w:rPr>
        <w:t>com exames directo e cultural do aspirado medular negativos</w:t>
      </w:r>
      <w:r w:rsidR="00585422">
        <w:rPr>
          <w:bCs/>
          <w:sz w:val="20"/>
          <w:szCs w:val="20"/>
        </w:rPr>
        <w:t>) e</w:t>
      </w:r>
      <w:r w:rsidR="00585422" w:rsidRPr="00B32D0F">
        <w:rPr>
          <w:rFonts w:cstheme="minorHAnsi"/>
          <w:sz w:val="20"/>
          <w:szCs w:val="20"/>
        </w:rPr>
        <w:t xml:space="preserve"> </w:t>
      </w:r>
      <w:r w:rsidR="00222DA7" w:rsidRPr="00B32D0F">
        <w:rPr>
          <w:rFonts w:cstheme="minorHAnsi"/>
          <w:sz w:val="20"/>
          <w:szCs w:val="20"/>
        </w:rPr>
        <w:t>até obter</w:t>
      </w:r>
      <w:r w:rsidR="00222DA7" w:rsidRPr="00B32D0F">
        <w:rPr>
          <w:bCs/>
          <w:sz w:val="20"/>
          <w:szCs w:val="20"/>
        </w:rPr>
        <w:t xml:space="preserve"> uma contagem de células T</w:t>
      </w:r>
      <w:r w:rsidR="00222DA7" w:rsidRPr="00B32D0F">
        <w:rPr>
          <w:sz w:val="20"/>
          <w:szCs w:val="20"/>
        </w:rPr>
        <w:t>CD</w:t>
      </w:r>
      <w:r w:rsidR="00222DA7" w:rsidRPr="00B32D0F">
        <w:rPr>
          <w:sz w:val="20"/>
          <w:szCs w:val="20"/>
          <w:vertAlign w:val="subscript"/>
        </w:rPr>
        <w:t xml:space="preserve">4+ </w:t>
      </w:r>
      <w:r w:rsidR="00222DA7" w:rsidRPr="00B32D0F">
        <w:rPr>
          <w:sz w:val="20"/>
          <w:szCs w:val="20"/>
        </w:rPr>
        <w:t xml:space="preserve">consistentemente superior </w:t>
      </w:r>
      <w:r w:rsidR="00222DA7" w:rsidRPr="00B32D0F">
        <w:rPr>
          <w:bCs/>
          <w:sz w:val="20"/>
          <w:szCs w:val="20"/>
        </w:rPr>
        <w:t>a 200céls/uL durante um período mínimo de 6 meses</w:t>
      </w:r>
      <w:r w:rsidR="00B20ED8" w:rsidRPr="00B32D0F">
        <w:rPr>
          <w:bCs/>
          <w:sz w:val="20"/>
          <w:szCs w:val="20"/>
        </w:rPr>
        <w:t>. No entanto</w:t>
      </w:r>
      <w:r w:rsidR="00222DA7" w:rsidRPr="00B32D0F">
        <w:rPr>
          <w:bCs/>
          <w:sz w:val="20"/>
          <w:szCs w:val="20"/>
        </w:rPr>
        <w:t xml:space="preserve">, </w:t>
      </w:r>
      <w:r w:rsidR="00B20ED8" w:rsidRPr="00B32D0F">
        <w:rPr>
          <w:bCs/>
          <w:sz w:val="20"/>
          <w:szCs w:val="20"/>
        </w:rPr>
        <w:t xml:space="preserve">pela limitação de se tratar de um estudo retrospectivo, mais uma vez, </w:t>
      </w:r>
      <w:r w:rsidR="00222DA7" w:rsidRPr="00B32D0F">
        <w:rPr>
          <w:bCs/>
          <w:sz w:val="20"/>
          <w:szCs w:val="20"/>
        </w:rPr>
        <w:t>nem todos os registos do seguimento</w:t>
      </w:r>
      <w:r w:rsidR="00197D58">
        <w:rPr>
          <w:bCs/>
          <w:sz w:val="20"/>
          <w:szCs w:val="20"/>
        </w:rPr>
        <w:t xml:space="preserve"> foram disponibilizados e vários</w:t>
      </w:r>
      <w:r w:rsidR="00222DA7" w:rsidRPr="00B32D0F">
        <w:rPr>
          <w:bCs/>
          <w:sz w:val="20"/>
          <w:szCs w:val="20"/>
        </w:rPr>
        <w:t xml:space="preserve"> doentes abandonaram-no antes dos critérios estarem cump</w:t>
      </w:r>
      <w:r w:rsidR="00F65082" w:rsidRPr="00B32D0F">
        <w:rPr>
          <w:bCs/>
          <w:sz w:val="20"/>
          <w:szCs w:val="20"/>
        </w:rPr>
        <w:t>r</w:t>
      </w:r>
      <w:r w:rsidR="00222DA7" w:rsidRPr="00B32D0F">
        <w:rPr>
          <w:bCs/>
          <w:sz w:val="20"/>
          <w:szCs w:val="20"/>
        </w:rPr>
        <w:t>idos</w:t>
      </w:r>
      <w:r w:rsidR="00B20ED8" w:rsidRPr="00B32D0F">
        <w:rPr>
          <w:bCs/>
          <w:sz w:val="20"/>
          <w:szCs w:val="20"/>
        </w:rPr>
        <w:t xml:space="preserve">, pelo que o tempo de quimioprofilaxia não pôde, infelizmente, ser uma variável estudada, apenas sendo possível saber se o doente </w:t>
      </w:r>
      <w:r w:rsidR="00F65082" w:rsidRPr="00B32D0F">
        <w:rPr>
          <w:bCs/>
          <w:sz w:val="20"/>
          <w:szCs w:val="20"/>
        </w:rPr>
        <w:t xml:space="preserve">aderiu às </w:t>
      </w:r>
      <w:r w:rsidR="00197D58">
        <w:rPr>
          <w:bCs/>
          <w:sz w:val="20"/>
          <w:szCs w:val="20"/>
        </w:rPr>
        <w:t xml:space="preserve">primeiras </w:t>
      </w:r>
      <w:r w:rsidR="00F65082" w:rsidRPr="00B32D0F">
        <w:rPr>
          <w:bCs/>
          <w:sz w:val="20"/>
          <w:szCs w:val="20"/>
        </w:rPr>
        <w:t xml:space="preserve">consultas </w:t>
      </w:r>
      <w:r w:rsidR="00B20ED8" w:rsidRPr="00B32D0F">
        <w:rPr>
          <w:bCs/>
          <w:sz w:val="20"/>
          <w:szCs w:val="20"/>
        </w:rPr>
        <w:t>ou se estava a fazê</w:t>
      </w:r>
      <w:r w:rsidR="00F65082" w:rsidRPr="00B32D0F">
        <w:rPr>
          <w:bCs/>
          <w:sz w:val="20"/>
          <w:szCs w:val="20"/>
        </w:rPr>
        <w:t>-la no momento da recaída</w:t>
      </w:r>
      <w:r w:rsidR="00197D58">
        <w:rPr>
          <w:bCs/>
          <w:sz w:val="20"/>
          <w:szCs w:val="20"/>
        </w:rPr>
        <w:t>.</w:t>
      </w:r>
    </w:p>
    <w:p w:rsidR="00F65082" w:rsidRPr="00B32D0F" w:rsidRDefault="00F65082" w:rsidP="00B20ED8">
      <w:pPr>
        <w:jc w:val="both"/>
        <w:rPr>
          <w:rFonts w:cstheme="minorHAnsi"/>
          <w:sz w:val="20"/>
          <w:szCs w:val="20"/>
        </w:rPr>
      </w:pPr>
      <w:r w:rsidRPr="00B32D0F">
        <w:rPr>
          <w:bCs/>
          <w:sz w:val="20"/>
          <w:szCs w:val="20"/>
        </w:rPr>
        <w:t>Relativamente ao fármaco de escolha, uma vez que não existe um consenso em relaç</w:t>
      </w:r>
      <w:r w:rsidR="00585422">
        <w:rPr>
          <w:bCs/>
          <w:sz w:val="20"/>
          <w:szCs w:val="20"/>
        </w:rPr>
        <w:t>ão à escolha correc</w:t>
      </w:r>
      <w:r w:rsidR="00AE2F85">
        <w:rPr>
          <w:bCs/>
          <w:sz w:val="20"/>
          <w:szCs w:val="20"/>
        </w:rPr>
        <w:t xml:space="preserve">ta, terá também dependido da experiência dos clínicos. A partir de 2010 a escolha recaiu apenas na Anfotericina B lipossómica devido à descontinuação no mercado da Pentamidina em aerossol. </w:t>
      </w:r>
    </w:p>
    <w:p w:rsidR="00197D58" w:rsidRDefault="00197D58" w:rsidP="00222DA7">
      <w:pPr>
        <w:jc w:val="both"/>
        <w:rPr>
          <w:rFonts w:cstheme="minorHAnsi"/>
          <w:b/>
          <w:sz w:val="20"/>
          <w:szCs w:val="20"/>
          <w:shd w:val="clear" w:color="auto" w:fill="FFFFFF"/>
        </w:rPr>
      </w:pPr>
    </w:p>
    <w:p w:rsidR="00E2593B" w:rsidRPr="00B32D0F" w:rsidRDefault="00E2593B" w:rsidP="00222DA7">
      <w:pPr>
        <w:jc w:val="both"/>
        <w:rPr>
          <w:rFonts w:cstheme="minorHAnsi"/>
          <w:sz w:val="20"/>
          <w:szCs w:val="20"/>
        </w:rPr>
      </w:pPr>
      <w:r w:rsidRPr="00B32D0F">
        <w:rPr>
          <w:rFonts w:cstheme="minorHAnsi"/>
          <w:b/>
          <w:sz w:val="20"/>
          <w:szCs w:val="20"/>
          <w:shd w:val="clear" w:color="auto" w:fill="FFFFFF"/>
        </w:rPr>
        <w:t>Comentário 7: “Para além do numero de recaídas, quantos doentes foram considerados em</w:t>
      </w:r>
      <w:r w:rsidR="00CD7488" w:rsidRPr="00B32D0F">
        <w:rPr>
          <w:rFonts w:cstheme="minorHAnsi"/>
          <w:b/>
          <w:sz w:val="20"/>
          <w:szCs w:val="20"/>
          <w:shd w:val="clear" w:color="auto" w:fill="FFFFFF"/>
        </w:rPr>
        <w:t xml:space="preserve"> </w:t>
      </w:r>
      <w:r w:rsidRPr="00B32D0F">
        <w:rPr>
          <w:rFonts w:cstheme="minorHAnsi"/>
          <w:b/>
          <w:sz w:val="20"/>
          <w:szCs w:val="20"/>
          <w:shd w:val="clear" w:color="auto" w:fill="FFFFFF"/>
        </w:rPr>
        <w:t>falência terapêutica? e como é que essa falência foi definida? e como foi ultrapassada?”</w:t>
      </w:r>
      <w:r w:rsidRPr="00B32D0F">
        <w:rPr>
          <w:rFonts w:cstheme="minorHAnsi"/>
          <w:b/>
          <w:sz w:val="20"/>
          <w:szCs w:val="20"/>
        </w:rPr>
        <w:br/>
      </w:r>
      <w:r w:rsidRPr="00B32D0F">
        <w:rPr>
          <w:rFonts w:cstheme="minorHAnsi"/>
          <w:b/>
          <w:sz w:val="20"/>
          <w:szCs w:val="20"/>
        </w:rPr>
        <w:br/>
      </w:r>
      <w:r w:rsidRPr="00B32D0F">
        <w:rPr>
          <w:rFonts w:cstheme="minorHAnsi"/>
          <w:sz w:val="20"/>
          <w:szCs w:val="20"/>
        </w:rPr>
        <w:t xml:space="preserve">- </w:t>
      </w:r>
      <w:r w:rsidR="00FA186D" w:rsidRPr="00B32D0F">
        <w:rPr>
          <w:rFonts w:cstheme="minorHAnsi"/>
          <w:sz w:val="20"/>
          <w:szCs w:val="20"/>
        </w:rPr>
        <w:t xml:space="preserve">De acordo com Griensven et al (referência bibliográfica nr. 3 do artigo) a definição de </w:t>
      </w:r>
      <w:r w:rsidR="00FA186D" w:rsidRPr="00B32D0F">
        <w:rPr>
          <w:rFonts w:cstheme="minorHAnsi"/>
          <w:sz w:val="20"/>
          <w:szCs w:val="20"/>
          <w:u w:val="single"/>
        </w:rPr>
        <w:t xml:space="preserve">falência </w:t>
      </w:r>
      <w:r w:rsidR="00FA186D" w:rsidRPr="00B32D0F">
        <w:rPr>
          <w:rFonts w:cstheme="minorHAnsi"/>
          <w:sz w:val="20"/>
          <w:szCs w:val="20"/>
          <w:u w:val="single"/>
        </w:rPr>
        <w:lastRenderedPageBreak/>
        <w:t xml:space="preserve">terapêutica </w:t>
      </w:r>
      <w:r w:rsidR="00FA186D" w:rsidRPr="00B32D0F">
        <w:rPr>
          <w:rFonts w:cstheme="minorHAnsi"/>
          <w:sz w:val="20"/>
          <w:szCs w:val="20"/>
        </w:rPr>
        <w:t xml:space="preserve">pode referir-se a uma </w:t>
      </w:r>
      <w:r w:rsidR="00FA186D" w:rsidRPr="00B32D0F">
        <w:rPr>
          <w:rFonts w:cstheme="minorHAnsi"/>
          <w:sz w:val="20"/>
          <w:szCs w:val="20"/>
          <w:u w:val="single"/>
        </w:rPr>
        <w:t>falência inicial</w:t>
      </w:r>
      <w:r w:rsidR="00FA186D" w:rsidRPr="00B32D0F">
        <w:rPr>
          <w:rFonts w:cstheme="minorHAnsi"/>
          <w:sz w:val="20"/>
          <w:szCs w:val="20"/>
        </w:rPr>
        <w:t>, ou seja, falência</w:t>
      </w:r>
      <w:r w:rsidRPr="00B32D0F">
        <w:rPr>
          <w:rFonts w:cstheme="minorHAnsi"/>
          <w:sz w:val="20"/>
          <w:szCs w:val="20"/>
        </w:rPr>
        <w:t xml:space="preserve"> na eliminação do parasita no final do esquema terapêutico </w:t>
      </w:r>
      <w:r w:rsidR="00FA186D" w:rsidRPr="00B32D0F">
        <w:rPr>
          <w:rFonts w:cstheme="minorHAnsi"/>
          <w:sz w:val="20"/>
          <w:szCs w:val="20"/>
        </w:rPr>
        <w:t xml:space="preserve">ou a </w:t>
      </w:r>
      <w:r w:rsidR="00FA186D" w:rsidRPr="00B32D0F">
        <w:rPr>
          <w:rFonts w:cstheme="minorHAnsi"/>
          <w:sz w:val="20"/>
          <w:szCs w:val="20"/>
          <w:u w:val="single"/>
        </w:rPr>
        <w:t>recaída</w:t>
      </w:r>
      <w:r w:rsidR="00FA186D" w:rsidRPr="00B32D0F">
        <w:rPr>
          <w:rFonts w:cstheme="minorHAnsi"/>
          <w:sz w:val="20"/>
          <w:szCs w:val="20"/>
        </w:rPr>
        <w:t>, que se refere a</w:t>
      </w:r>
      <w:r w:rsidRPr="00B32D0F">
        <w:rPr>
          <w:rFonts w:cstheme="minorHAnsi"/>
          <w:sz w:val="20"/>
          <w:szCs w:val="20"/>
        </w:rPr>
        <w:t xml:space="preserve"> reaparecimento de parasitas no período de </w:t>
      </w:r>
      <w:r w:rsidRPr="00B32D0F">
        <w:rPr>
          <w:rFonts w:cstheme="minorHAnsi"/>
          <w:i/>
          <w:iCs/>
          <w:sz w:val="20"/>
          <w:szCs w:val="20"/>
        </w:rPr>
        <w:t xml:space="preserve">follow-up </w:t>
      </w:r>
      <w:r w:rsidRPr="00B32D0F">
        <w:rPr>
          <w:rFonts w:cstheme="minorHAnsi"/>
          <w:sz w:val="20"/>
          <w:szCs w:val="20"/>
        </w:rPr>
        <w:t>após cura inicial documentada</w:t>
      </w:r>
      <w:r w:rsidR="00FA186D" w:rsidRPr="00B32D0F">
        <w:rPr>
          <w:rFonts w:cstheme="minorHAnsi"/>
          <w:sz w:val="20"/>
          <w:szCs w:val="20"/>
        </w:rPr>
        <w:t>, habitualmente nos 6 primeiros meses</w:t>
      </w:r>
      <w:r w:rsidR="006D3B80" w:rsidRPr="00B32D0F">
        <w:rPr>
          <w:rFonts w:cstheme="minorHAnsi"/>
          <w:sz w:val="20"/>
          <w:szCs w:val="20"/>
        </w:rPr>
        <w:t>.</w:t>
      </w:r>
      <w:r w:rsidR="00FA186D" w:rsidRPr="00B32D0F">
        <w:rPr>
          <w:rFonts w:cstheme="minorHAnsi"/>
          <w:sz w:val="20"/>
          <w:szCs w:val="20"/>
        </w:rPr>
        <w:t xml:space="preserve"> </w:t>
      </w:r>
      <w:r w:rsidRPr="00B32D0F">
        <w:rPr>
          <w:rFonts w:cstheme="minorHAnsi"/>
          <w:sz w:val="20"/>
          <w:szCs w:val="20"/>
        </w:rPr>
        <w:t xml:space="preserve">Desde modo, dos 6 casos descritos como recaída </w:t>
      </w:r>
      <w:r w:rsidR="00AE2F85">
        <w:rPr>
          <w:rFonts w:cstheme="minorHAnsi"/>
          <w:sz w:val="20"/>
          <w:szCs w:val="20"/>
        </w:rPr>
        <w:t>nenhum deles é considerado uma</w:t>
      </w:r>
      <w:r w:rsidRPr="00B32D0F">
        <w:rPr>
          <w:rFonts w:cstheme="minorHAnsi"/>
          <w:sz w:val="20"/>
          <w:szCs w:val="20"/>
        </w:rPr>
        <w:t xml:space="preserve"> falência terapêutica </w:t>
      </w:r>
      <w:r w:rsidR="00AE2F85">
        <w:rPr>
          <w:rFonts w:cstheme="minorHAnsi"/>
          <w:sz w:val="20"/>
          <w:szCs w:val="20"/>
        </w:rPr>
        <w:t xml:space="preserve">inicial </w:t>
      </w:r>
      <w:r w:rsidRPr="00B32D0F">
        <w:rPr>
          <w:rFonts w:cstheme="minorHAnsi"/>
          <w:sz w:val="20"/>
          <w:szCs w:val="20"/>
        </w:rPr>
        <w:t>uma vez que</w:t>
      </w:r>
      <w:r w:rsidR="00FA186D" w:rsidRPr="00B32D0F">
        <w:rPr>
          <w:rFonts w:cstheme="minorHAnsi"/>
          <w:sz w:val="20"/>
          <w:szCs w:val="20"/>
        </w:rPr>
        <w:t xml:space="preserve"> </w:t>
      </w:r>
      <w:r w:rsidR="006D3B80" w:rsidRPr="00B32D0F">
        <w:rPr>
          <w:rFonts w:cstheme="minorHAnsi"/>
          <w:sz w:val="20"/>
          <w:szCs w:val="20"/>
        </w:rPr>
        <w:t xml:space="preserve">como se </w:t>
      </w:r>
      <w:r w:rsidR="00FA186D" w:rsidRPr="00B32D0F">
        <w:rPr>
          <w:rFonts w:cstheme="minorHAnsi"/>
          <w:sz w:val="20"/>
          <w:szCs w:val="20"/>
        </w:rPr>
        <w:t>pode ver no capítulo Resultados:</w:t>
      </w:r>
      <w:r w:rsidRPr="00B32D0F">
        <w:rPr>
          <w:rFonts w:cstheme="minorHAnsi"/>
          <w:sz w:val="20"/>
          <w:szCs w:val="20"/>
        </w:rPr>
        <w:t xml:space="preserve"> “</w:t>
      </w:r>
      <w:r w:rsidR="00FA186D" w:rsidRPr="00B32D0F">
        <w:rPr>
          <w:rFonts w:cstheme="minorHAnsi"/>
          <w:sz w:val="20"/>
          <w:szCs w:val="20"/>
        </w:rPr>
        <w:t xml:space="preserve">o </w:t>
      </w:r>
      <w:r w:rsidRPr="00B32D0F">
        <w:rPr>
          <w:rFonts w:cstheme="minorHAnsi"/>
          <w:bCs/>
          <w:sz w:val="20"/>
          <w:szCs w:val="20"/>
        </w:rPr>
        <w:t>tempo médio registado até à primeira recaída foi de 17,2 meses (± 4,2 meses) com mínimo de 12 meses e máximo de 24 meses”</w:t>
      </w:r>
      <w:r w:rsidR="006D3B80" w:rsidRPr="00B32D0F">
        <w:rPr>
          <w:rFonts w:cstheme="minorHAnsi"/>
          <w:bCs/>
          <w:sz w:val="20"/>
          <w:szCs w:val="20"/>
        </w:rPr>
        <w:t>.</w:t>
      </w:r>
    </w:p>
    <w:p w:rsidR="006D3B80" w:rsidRPr="00B32D0F" w:rsidRDefault="00FA186D" w:rsidP="00222DA7">
      <w:pPr>
        <w:jc w:val="both"/>
        <w:rPr>
          <w:rFonts w:cstheme="minorHAnsi"/>
          <w:sz w:val="20"/>
          <w:szCs w:val="20"/>
        </w:rPr>
      </w:pPr>
      <w:r w:rsidRPr="00B32D0F">
        <w:rPr>
          <w:rFonts w:cstheme="minorHAnsi"/>
          <w:sz w:val="20"/>
          <w:szCs w:val="20"/>
        </w:rPr>
        <w:t>Deste modo</w:t>
      </w:r>
      <w:r w:rsidR="006D3B80" w:rsidRPr="00B32D0F">
        <w:rPr>
          <w:rFonts w:cstheme="minorHAnsi"/>
          <w:sz w:val="20"/>
          <w:szCs w:val="20"/>
        </w:rPr>
        <w:t xml:space="preserve">, e como num estudo retrospectivo como este não conseguimos distinguir o perfil genético da espécie de </w:t>
      </w:r>
      <w:r w:rsidR="006D3B80" w:rsidRPr="00B32D0F">
        <w:rPr>
          <w:rFonts w:cstheme="minorHAnsi"/>
          <w:i/>
          <w:sz w:val="20"/>
          <w:szCs w:val="20"/>
        </w:rPr>
        <w:t>Leishmania spp</w:t>
      </w:r>
      <w:r w:rsidR="00CD7488" w:rsidRPr="00B32D0F">
        <w:rPr>
          <w:rFonts w:cstheme="minorHAnsi"/>
          <w:sz w:val="20"/>
          <w:szCs w:val="20"/>
        </w:rPr>
        <w:t>, tal como foi realizado</w:t>
      </w:r>
      <w:r w:rsidR="006D3B80" w:rsidRPr="00B32D0F">
        <w:rPr>
          <w:rFonts w:cstheme="minorHAnsi"/>
          <w:sz w:val="20"/>
          <w:szCs w:val="20"/>
        </w:rPr>
        <w:t xml:space="preserve"> por exemplo no artigo de Lachaud et al</w:t>
      </w:r>
      <w:r w:rsidR="006D3B80" w:rsidRPr="00B32D0F">
        <w:rPr>
          <w:rFonts w:cstheme="minorHAnsi"/>
          <w:sz w:val="20"/>
          <w:szCs w:val="20"/>
          <w:vertAlign w:val="superscript"/>
        </w:rPr>
        <w:t xml:space="preserve"> </w:t>
      </w:r>
      <w:r w:rsidR="006D3B80" w:rsidRPr="00B32D0F">
        <w:rPr>
          <w:rFonts w:cstheme="minorHAnsi"/>
          <w:sz w:val="20"/>
          <w:szCs w:val="20"/>
        </w:rPr>
        <w:t>(referência bibliográfia 1</w:t>
      </w:r>
      <w:r w:rsidR="00AE2F85">
        <w:rPr>
          <w:rFonts w:cstheme="minorHAnsi"/>
          <w:sz w:val="20"/>
          <w:szCs w:val="20"/>
        </w:rPr>
        <w:t>4</w:t>
      </w:r>
      <w:r w:rsidR="006D3B80" w:rsidRPr="00B32D0F">
        <w:rPr>
          <w:rFonts w:cstheme="minorHAnsi"/>
          <w:sz w:val="20"/>
          <w:szCs w:val="20"/>
        </w:rPr>
        <w:t xml:space="preserve"> no artigo), não se fez distinção entre recaída e reinfecção, uma vez que não nos é possível sabê-lo. </w:t>
      </w:r>
    </w:p>
    <w:p w:rsidR="00B71259" w:rsidRPr="00B32D0F" w:rsidRDefault="006D3B80" w:rsidP="00222DA7">
      <w:pPr>
        <w:jc w:val="both"/>
        <w:rPr>
          <w:rFonts w:cstheme="minorHAnsi"/>
          <w:sz w:val="20"/>
          <w:szCs w:val="20"/>
        </w:rPr>
      </w:pPr>
      <w:r w:rsidRPr="00B32D0F">
        <w:rPr>
          <w:rFonts w:cstheme="minorHAnsi"/>
          <w:sz w:val="20"/>
          <w:szCs w:val="20"/>
        </w:rPr>
        <w:t>Assim sendo, utilizá</w:t>
      </w:r>
      <w:r w:rsidR="00FA186D" w:rsidRPr="00B32D0F">
        <w:rPr>
          <w:rFonts w:cstheme="minorHAnsi"/>
          <w:sz w:val="20"/>
          <w:szCs w:val="20"/>
        </w:rPr>
        <w:t>mos o conceito de “</w:t>
      </w:r>
      <w:r w:rsidR="00FA186D" w:rsidRPr="00B32D0F">
        <w:rPr>
          <w:rFonts w:cstheme="minorHAnsi"/>
          <w:sz w:val="20"/>
          <w:szCs w:val="20"/>
          <w:u w:val="single"/>
        </w:rPr>
        <w:t>recaída</w:t>
      </w:r>
      <w:r w:rsidR="00FA186D" w:rsidRPr="00B32D0F">
        <w:rPr>
          <w:rFonts w:cstheme="minorHAnsi"/>
          <w:sz w:val="20"/>
          <w:szCs w:val="20"/>
        </w:rPr>
        <w:t xml:space="preserve">” </w:t>
      </w:r>
      <w:r w:rsidRPr="00B32D0F">
        <w:rPr>
          <w:rFonts w:cstheme="minorHAnsi"/>
          <w:sz w:val="20"/>
          <w:szCs w:val="20"/>
        </w:rPr>
        <w:t xml:space="preserve">de forma livre, </w:t>
      </w:r>
      <w:r w:rsidR="00B71259" w:rsidRPr="00B32D0F">
        <w:rPr>
          <w:rFonts w:cstheme="minorHAnsi"/>
          <w:sz w:val="20"/>
          <w:szCs w:val="20"/>
        </w:rPr>
        <w:t xml:space="preserve">em todos os casos com confirmação </w:t>
      </w:r>
      <w:r w:rsidRPr="00B32D0F">
        <w:rPr>
          <w:rFonts w:cstheme="minorHAnsi"/>
          <w:sz w:val="20"/>
          <w:szCs w:val="20"/>
        </w:rPr>
        <w:t>biológica</w:t>
      </w:r>
      <w:r w:rsidR="00B71259" w:rsidRPr="00B32D0F">
        <w:rPr>
          <w:rFonts w:cstheme="minorHAnsi"/>
          <w:sz w:val="20"/>
          <w:szCs w:val="20"/>
        </w:rPr>
        <w:t xml:space="preserve"> do parasita após cura confirmada (em exame directo ou cultural, não se utilizando a PCR positiva como indicador de recaída)</w:t>
      </w:r>
      <w:r w:rsidR="00CD7488" w:rsidRPr="00B32D0F">
        <w:rPr>
          <w:rFonts w:cstheme="minorHAnsi"/>
          <w:sz w:val="20"/>
          <w:szCs w:val="20"/>
        </w:rPr>
        <w:t>.</w:t>
      </w:r>
    </w:p>
    <w:p w:rsidR="00CD7488" w:rsidRPr="00B32D0F" w:rsidRDefault="00E2593B" w:rsidP="00222DA7">
      <w:pPr>
        <w:jc w:val="both"/>
        <w:rPr>
          <w:rFonts w:cstheme="minorHAnsi"/>
          <w:sz w:val="20"/>
          <w:szCs w:val="20"/>
        </w:rPr>
      </w:pPr>
      <w:r w:rsidRPr="00B32D0F">
        <w:rPr>
          <w:rFonts w:cstheme="minorHAnsi"/>
          <w:sz w:val="20"/>
          <w:szCs w:val="20"/>
        </w:rPr>
        <w:t xml:space="preserve">NOTA: Um viés aqui encontrado é que </w:t>
      </w:r>
      <w:r w:rsidR="00AE2F85">
        <w:rPr>
          <w:rFonts w:cstheme="minorHAnsi"/>
          <w:sz w:val="20"/>
          <w:szCs w:val="20"/>
        </w:rPr>
        <w:t>vários doentes</w:t>
      </w:r>
      <w:r w:rsidRPr="00B32D0F">
        <w:rPr>
          <w:rFonts w:cstheme="minorHAnsi"/>
          <w:sz w:val="20"/>
          <w:szCs w:val="20"/>
        </w:rPr>
        <w:t xml:space="preserve"> abandonaram </w:t>
      </w:r>
      <w:r w:rsidR="00F5342C" w:rsidRPr="00B32D0F">
        <w:rPr>
          <w:rFonts w:cstheme="minorHAnsi"/>
          <w:sz w:val="20"/>
          <w:szCs w:val="20"/>
        </w:rPr>
        <w:t xml:space="preserve">de imediato o </w:t>
      </w:r>
      <w:r w:rsidRPr="00B32D0F">
        <w:rPr>
          <w:rFonts w:cstheme="minorHAnsi"/>
          <w:sz w:val="20"/>
          <w:szCs w:val="20"/>
        </w:rPr>
        <w:t xml:space="preserve">seguimento pelo que não fazendo a pesquisa do parasita durante o follow up também não se consegue ter a </w:t>
      </w:r>
      <w:r w:rsidR="00AE2F85">
        <w:rPr>
          <w:rFonts w:cstheme="minorHAnsi"/>
          <w:sz w:val="20"/>
          <w:szCs w:val="20"/>
        </w:rPr>
        <w:t>certeza da eficácia terapeutica</w:t>
      </w:r>
      <w:r w:rsidRPr="00B32D0F">
        <w:rPr>
          <w:rFonts w:cstheme="minorHAnsi"/>
          <w:sz w:val="20"/>
          <w:szCs w:val="20"/>
        </w:rPr>
        <w:t>.</w:t>
      </w:r>
      <w:r w:rsidR="00CD7488" w:rsidRPr="00B32D0F">
        <w:rPr>
          <w:rFonts w:cstheme="minorHAnsi"/>
          <w:sz w:val="20"/>
          <w:szCs w:val="20"/>
        </w:rPr>
        <w:t xml:space="preserve"> Estes podem, eventualmente</w:t>
      </w:r>
      <w:r w:rsidR="00AE2F85">
        <w:rPr>
          <w:rFonts w:cstheme="minorHAnsi"/>
          <w:sz w:val="20"/>
          <w:szCs w:val="20"/>
        </w:rPr>
        <w:t>,</w:t>
      </w:r>
      <w:r w:rsidR="00CD7488" w:rsidRPr="00B32D0F">
        <w:rPr>
          <w:rFonts w:cstheme="minorHAnsi"/>
          <w:sz w:val="20"/>
          <w:szCs w:val="20"/>
        </w:rPr>
        <w:t xml:space="preserve"> ter-se tratado de fal</w:t>
      </w:r>
      <w:r w:rsidR="00222DA7" w:rsidRPr="00B32D0F">
        <w:rPr>
          <w:rFonts w:cstheme="minorHAnsi"/>
          <w:sz w:val="20"/>
          <w:szCs w:val="20"/>
        </w:rPr>
        <w:t>ência</w:t>
      </w:r>
      <w:r w:rsidR="00AE2F85">
        <w:rPr>
          <w:rFonts w:cstheme="minorHAnsi"/>
          <w:sz w:val="20"/>
          <w:szCs w:val="20"/>
        </w:rPr>
        <w:t>s</w:t>
      </w:r>
      <w:r w:rsidR="00222DA7" w:rsidRPr="00B32D0F">
        <w:rPr>
          <w:rFonts w:cstheme="minorHAnsi"/>
          <w:sz w:val="20"/>
          <w:szCs w:val="20"/>
        </w:rPr>
        <w:t xml:space="preserve"> terapê</w:t>
      </w:r>
      <w:r w:rsidR="00CD7488" w:rsidRPr="00B32D0F">
        <w:rPr>
          <w:rFonts w:cstheme="minorHAnsi"/>
          <w:sz w:val="20"/>
          <w:szCs w:val="20"/>
        </w:rPr>
        <w:t>utica</w:t>
      </w:r>
      <w:r w:rsidR="00AE2F85">
        <w:rPr>
          <w:rFonts w:cstheme="minorHAnsi"/>
          <w:sz w:val="20"/>
          <w:szCs w:val="20"/>
        </w:rPr>
        <w:t>s</w:t>
      </w:r>
      <w:r w:rsidR="00CD7488" w:rsidRPr="00B32D0F">
        <w:rPr>
          <w:rFonts w:cstheme="minorHAnsi"/>
          <w:sz w:val="20"/>
          <w:szCs w:val="20"/>
        </w:rPr>
        <w:t>, mas não temos dados que o suportem.</w:t>
      </w:r>
    </w:p>
    <w:p w:rsidR="00911EEA" w:rsidRPr="00B32D0F" w:rsidRDefault="00E2593B" w:rsidP="00222DA7">
      <w:pPr>
        <w:jc w:val="both"/>
        <w:rPr>
          <w:rFonts w:cstheme="minorHAnsi"/>
          <w:b/>
          <w:sz w:val="20"/>
          <w:szCs w:val="20"/>
          <w:shd w:val="clear" w:color="auto" w:fill="FFFFFF"/>
        </w:rPr>
      </w:pPr>
      <w:r w:rsidRPr="00B32D0F">
        <w:rPr>
          <w:rFonts w:cstheme="minorHAnsi"/>
          <w:sz w:val="20"/>
          <w:szCs w:val="20"/>
        </w:rPr>
        <w:br/>
      </w:r>
      <w:r w:rsidR="00B20ED8" w:rsidRPr="00B32D0F">
        <w:rPr>
          <w:rFonts w:cstheme="minorHAnsi"/>
          <w:b/>
          <w:sz w:val="20"/>
          <w:szCs w:val="20"/>
          <w:shd w:val="clear" w:color="auto" w:fill="FFFFFF"/>
        </w:rPr>
        <w:t>Cometário 8: “S</w:t>
      </w:r>
      <w:r w:rsidRPr="00B32D0F">
        <w:rPr>
          <w:rFonts w:cstheme="minorHAnsi"/>
          <w:b/>
          <w:sz w:val="20"/>
          <w:szCs w:val="20"/>
          <w:shd w:val="clear" w:color="auto" w:fill="FFFFFF"/>
        </w:rPr>
        <w:t>e nos imunodeprimidos a infecção por Leishmania é mais prevalente e</w:t>
      </w:r>
      <w:r w:rsidR="00B20ED8" w:rsidRPr="00B32D0F">
        <w:rPr>
          <w:rFonts w:cstheme="minorHAnsi"/>
          <w:b/>
          <w:sz w:val="20"/>
          <w:szCs w:val="20"/>
          <w:shd w:val="clear" w:color="auto" w:fill="FFFFFF"/>
        </w:rPr>
        <w:t xml:space="preserve"> </w:t>
      </w:r>
      <w:r w:rsidRPr="00B32D0F">
        <w:rPr>
          <w:rFonts w:cstheme="minorHAnsi"/>
          <w:b/>
          <w:sz w:val="20"/>
          <w:szCs w:val="20"/>
          <w:shd w:val="clear" w:color="auto" w:fill="FFFFFF"/>
        </w:rPr>
        <w:t>habitualmente com uma clínica mais exuberante, não me parece que seja</w:t>
      </w:r>
      <w:r w:rsidR="00B20ED8" w:rsidRPr="00B32D0F">
        <w:rPr>
          <w:rFonts w:cstheme="minorHAnsi"/>
          <w:b/>
          <w:sz w:val="20"/>
          <w:szCs w:val="20"/>
          <w:shd w:val="clear" w:color="auto" w:fill="FFFFFF"/>
        </w:rPr>
        <w:t xml:space="preserve"> </w:t>
      </w:r>
      <w:r w:rsidRPr="00B32D0F">
        <w:rPr>
          <w:rFonts w:cstheme="minorHAnsi"/>
          <w:b/>
          <w:sz w:val="20"/>
          <w:szCs w:val="20"/>
          <w:shd w:val="clear" w:color="auto" w:fill="FFFFFF"/>
        </w:rPr>
        <w:t>adequado afirmar na conclusão que o diagnóstico pode ser difícil em</w:t>
      </w:r>
      <w:r w:rsidR="00B20ED8" w:rsidRPr="00B32D0F">
        <w:rPr>
          <w:rFonts w:cstheme="minorHAnsi"/>
          <w:b/>
          <w:sz w:val="20"/>
          <w:szCs w:val="20"/>
          <w:shd w:val="clear" w:color="auto" w:fill="FFFFFF"/>
        </w:rPr>
        <w:t xml:space="preserve"> </w:t>
      </w:r>
      <w:r w:rsidRPr="00B32D0F">
        <w:rPr>
          <w:rFonts w:cstheme="minorHAnsi"/>
          <w:b/>
          <w:sz w:val="20"/>
          <w:szCs w:val="20"/>
          <w:shd w:val="clear" w:color="auto" w:fill="FFFFFF"/>
        </w:rPr>
        <w:t>oposição aos imunocomprometidos</w:t>
      </w:r>
      <w:r w:rsidR="00B20ED8" w:rsidRPr="00B32D0F">
        <w:rPr>
          <w:rFonts w:cstheme="minorHAnsi"/>
          <w:b/>
          <w:sz w:val="20"/>
          <w:szCs w:val="20"/>
          <w:shd w:val="clear" w:color="auto" w:fill="FFFFFF"/>
        </w:rPr>
        <w:t>”</w:t>
      </w:r>
    </w:p>
    <w:p w:rsidR="00F65082" w:rsidRPr="00B32D0F" w:rsidRDefault="00F65082" w:rsidP="00222DA7">
      <w:pPr>
        <w:jc w:val="both"/>
        <w:rPr>
          <w:rFonts w:cstheme="minorHAnsi"/>
          <w:sz w:val="20"/>
          <w:szCs w:val="20"/>
        </w:rPr>
      </w:pPr>
      <w:r w:rsidRPr="00B32D0F">
        <w:rPr>
          <w:rFonts w:cstheme="minorHAnsi"/>
          <w:sz w:val="20"/>
          <w:szCs w:val="20"/>
        </w:rPr>
        <w:t>Concordo com o comentário, uma vez que o diagnóstico não é mais difícil que nos imunocompetentes, pode ser mais exuberante ou mais atípico, mas terá de ser sempre um diagnóstico a considerar quando existe nível de suspeição. A correcção foi efectuada no corpo do texto.</w:t>
      </w:r>
    </w:p>
    <w:p w:rsidR="00F65082" w:rsidRPr="00B32D0F" w:rsidRDefault="00F65082" w:rsidP="00222DA7">
      <w:pPr>
        <w:pBdr>
          <w:bottom w:val="single" w:sz="12" w:space="1" w:color="auto"/>
        </w:pBdr>
        <w:jc w:val="both"/>
        <w:rPr>
          <w:rFonts w:cstheme="minorHAnsi"/>
          <w:b/>
          <w:sz w:val="20"/>
          <w:szCs w:val="20"/>
        </w:rPr>
      </w:pPr>
    </w:p>
    <w:p w:rsidR="004708B6" w:rsidRDefault="004708B6" w:rsidP="00222DA7">
      <w:pPr>
        <w:jc w:val="both"/>
        <w:rPr>
          <w:rFonts w:cstheme="minorHAnsi"/>
          <w:b/>
          <w:sz w:val="20"/>
          <w:szCs w:val="20"/>
        </w:rPr>
      </w:pPr>
    </w:p>
    <w:p w:rsidR="00C86A9E" w:rsidRPr="00B32D0F" w:rsidRDefault="001D2FD4" w:rsidP="00222DA7">
      <w:pPr>
        <w:jc w:val="both"/>
        <w:rPr>
          <w:rFonts w:cstheme="minorHAnsi"/>
          <w:b/>
          <w:sz w:val="20"/>
          <w:szCs w:val="20"/>
        </w:rPr>
      </w:pPr>
      <w:r w:rsidRPr="00B32D0F">
        <w:rPr>
          <w:rFonts w:cstheme="minorHAnsi"/>
          <w:b/>
          <w:sz w:val="20"/>
          <w:szCs w:val="20"/>
        </w:rPr>
        <w:t>Revisor B</w:t>
      </w:r>
    </w:p>
    <w:p w:rsidR="001D2FD4" w:rsidRPr="00506318" w:rsidRDefault="001D2FD4" w:rsidP="00222DA7">
      <w:pPr>
        <w:jc w:val="both"/>
        <w:rPr>
          <w:rFonts w:cstheme="minorHAnsi"/>
          <w:b/>
          <w:sz w:val="20"/>
          <w:szCs w:val="20"/>
          <w:u w:val="single"/>
        </w:rPr>
      </w:pPr>
      <w:r w:rsidRPr="00506318">
        <w:rPr>
          <w:rFonts w:cstheme="minorHAnsi"/>
          <w:b/>
          <w:sz w:val="20"/>
          <w:szCs w:val="20"/>
          <w:u w:val="single"/>
        </w:rPr>
        <w:t>Relativamente às alterações sugeridas à estrutura:</w:t>
      </w:r>
    </w:p>
    <w:p w:rsidR="00506318" w:rsidRPr="00506318" w:rsidRDefault="001D2FD4" w:rsidP="00222DA7">
      <w:pPr>
        <w:jc w:val="both"/>
        <w:rPr>
          <w:rFonts w:cstheme="minorHAnsi"/>
          <w:b/>
          <w:sz w:val="20"/>
          <w:szCs w:val="20"/>
        </w:rPr>
      </w:pPr>
      <w:r w:rsidRPr="00506318">
        <w:rPr>
          <w:rFonts w:cstheme="minorHAnsi"/>
          <w:b/>
          <w:sz w:val="20"/>
          <w:szCs w:val="20"/>
        </w:rPr>
        <w:t>- Detalhe relativamente ao motivo das recaídas nos dois casos que cumpriam TARV e profilaxia</w:t>
      </w:r>
      <w:r w:rsidR="00506318" w:rsidRPr="00506318">
        <w:rPr>
          <w:rFonts w:cstheme="minorHAnsi"/>
          <w:b/>
          <w:sz w:val="20"/>
          <w:szCs w:val="20"/>
        </w:rPr>
        <w:t>.</w:t>
      </w:r>
    </w:p>
    <w:p w:rsidR="00506318" w:rsidRDefault="00506318" w:rsidP="00222DA7">
      <w:pPr>
        <w:jc w:val="both"/>
        <w:rPr>
          <w:sz w:val="20"/>
          <w:szCs w:val="20"/>
        </w:rPr>
      </w:pPr>
      <w:r>
        <w:rPr>
          <w:rFonts w:cstheme="minorHAnsi"/>
          <w:sz w:val="20"/>
          <w:szCs w:val="20"/>
        </w:rPr>
        <w:t xml:space="preserve">Este é o tópico que toda a bibliografia ainda questiona, não havendo justificações inequívocas nem factores preditivos de recaída para além dos referidos, que justifique que tal aconteça, mas vários são os artigos que descrevem casos semelhantes, como por exemplo, </w:t>
      </w:r>
      <w:r>
        <w:rPr>
          <w:sz w:val="20"/>
          <w:szCs w:val="20"/>
        </w:rPr>
        <w:t xml:space="preserve">Villanueva </w:t>
      </w:r>
      <w:r w:rsidRPr="002E3856">
        <w:rPr>
          <w:i/>
          <w:sz w:val="20"/>
          <w:szCs w:val="20"/>
        </w:rPr>
        <w:t>et al</w:t>
      </w:r>
      <w:r>
        <w:rPr>
          <w:sz w:val="20"/>
          <w:szCs w:val="20"/>
        </w:rPr>
        <w:t xml:space="preserve"> </w:t>
      </w:r>
      <w:r>
        <w:rPr>
          <w:sz w:val="20"/>
          <w:szCs w:val="20"/>
        </w:rPr>
        <w:t xml:space="preserve">que </w:t>
      </w:r>
      <w:r>
        <w:rPr>
          <w:sz w:val="20"/>
          <w:szCs w:val="20"/>
        </w:rPr>
        <w:t>identific</w:t>
      </w:r>
      <w:r>
        <w:rPr>
          <w:sz w:val="20"/>
          <w:szCs w:val="20"/>
        </w:rPr>
        <w:t>ou</w:t>
      </w:r>
      <w:r>
        <w:rPr>
          <w:sz w:val="20"/>
          <w:szCs w:val="20"/>
        </w:rPr>
        <w:t xml:space="preserve"> dois casos de recaída com contagem de 274 e 302</w:t>
      </w:r>
      <w:r w:rsidRPr="00D67925">
        <w:rPr>
          <w:sz w:val="20"/>
          <w:szCs w:val="20"/>
        </w:rPr>
        <w:t xml:space="preserve"> </w:t>
      </w:r>
      <w:r>
        <w:rPr>
          <w:sz w:val="20"/>
          <w:szCs w:val="20"/>
        </w:rPr>
        <w:t>células T</w:t>
      </w:r>
      <w:r w:rsidRPr="000256D9">
        <w:rPr>
          <w:sz w:val="20"/>
          <w:szCs w:val="20"/>
        </w:rPr>
        <w:t>CD</w:t>
      </w:r>
      <w:r w:rsidRPr="000256D9">
        <w:rPr>
          <w:sz w:val="20"/>
          <w:szCs w:val="20"/>
          <w:vertAlign w:val="subscript"/>
        </w:rPr>
        <w:t>4+</w:t>
      </w:r>
      <w:r w:rsidRPr="00D67925">
        <w:rPr>
          <w:sz w:val="20"/>
          <w:szCs w:val="20"/>
        </w:rPr>
        <w:t>/uL</w:t>
      </w:r>
      <w:r>
        <w:rPr>
          <w:sz w:val="20"/>
          <w:szCs w:val="20"/>
        </w:rPr>
        <w:t xml:space="preserve">. </w:t>
      </w:r>
    </w:p>
    <w:p w:rsidR="00506318" w:rsidRDefault="00506318" w:rsidP="00222DA7">
      <w:pPr>
        <w:jc w:val="both"/>
        <w:rPr>
          <w:rFonts w:cstheme="minorHAnsi"/>
          <w:sz w:val="20"/>
          <w:szCs w:val="20"/>
        </w:rPr>
      </w:pPr>
      <w:r>
        <w:rPr>
          <w:sz w:val="20"/>
          <w:szCs w:val="20"/>
        </w:rPr>
        <w:t xml:space="preserve">Com base na bibliografia consultada acrescentou-se um parágrafo à discussão do artigo que tenta justificar estes casos com base na resposta celular comprometida destes doentes. </w:t>
      </w:r>
    </w:p>
    <w:p w:rsidR="00506318" w:rsidRDefault="00506318" w:rsidP="00506318">
      <w:pPr>
        <w:spacing w:after="0"/>
        <w:jc w:val="both"/>
        <w:rPr>
          <w:sz w:val="20"/>
          <w:szCs w:val="20"/>
        </w:rPr>
      </w:pPr>
      <w:r>
        <w:rPr>
          <w:sz w:val="20"/>
          <w:szCs w:val="20"/>
        </w:rPr>
        <w:t>[</w:t>
      </w:r>
      <w:r w:rsidRPr="004708B6">
        <w:rPr>
          <w:i/>
          <w:sz w:val="20"/>
          <w:szCs w:val="20"/>
        </w:rPr>
        <w:t>Sabe-se que, quer o VIH, quer a LV afectam a imunidade mediada por células T e pensa-se que actuem sinergisticamente na redução da efectividade da resposta imune do hospedeiro. Assim, a baixa contagem inicial de células TCD</w:t>
      </w:r>
      <w:r w:rsidRPr="004708B6">
        <w:rPr>
          <w:i/>
          <w:sz w:val="20"/>
          <w:szCs w:val="20"/>
          <w:vertAlign w:val="subscript"/>
        </w:rPr>
        <w:t>4+</w:t>
      </w:r>
      <w:r w:rsidRPr="004708B6">
        <w:rPr>
          <w:i/>
          <w:sz w:val="20"/>
          <w:szCs w:val="20"/>
        </w:rPr>
        <w:t xml:space="preserve"> permite a disseminação do parasita através do sistema mononuclear fagocítico no início da infecção aumentando assim o número de locais que alojam parasitas quiescentes </w:t>
      </w:r>
      <w:r w:rsidRPr="004708B6">
        <w:rPr>
          <w:i/>
          <w:sz w:val="20"/>
          <w:szCs w:val="20"/>
        </w:rPr>
        <w:lastRenderedPageBreak/>
        <w:t>que se perpetuam (chamados “santuários”)</w:t>
      </w:r>
      <w:r w:rsidRPr="004708B6">
        <w:rPr>
          <w:i/>
          <w:sz w:val="20"/>
          <w:szCs w:val="20"/>
          <w:vertAlign w:val="superscript"/>
        </w:rPr>
        <w:t xml:space="preserve"> </w:t>
      </w:r>
      <w:r w:rsidRPr="004708B6">
        <w:rPr>
          <w:i/>
          <w:sz w:val="20"/>
          <w:szCs w:val="20"/>
        </w:rPr>
        <w:t>e onde a exposição aos fármacos é meno</w:t>
      </w:r>
      <w:r w:rsidR="004708B6">
        <w:rPr>
          <w:i/>
          <w:sz w:val="20"/>
          <w:szCs w:val="20"/>
        </w:rPr>
        <w:t>r</w:t>
      </w:r>
      <w:r w:rsidRPr="004708B6">
        <w:rPr>
          <w:i/>
          <w:sz w:val="20"/>
          <w:szCs w:val="20"/>
        </w:rPr>
        <w:t xml:space="preserve"> o que pode explicar as recaídas tão prevalentes neste subgrupo de doentes</w:t>
      </w:r>
      <w:r w:rsidRPr="0026707B">
        <w:rPr>
          <w:sz w:val="20"/>
          <w:szCs w:val="20"/>
        </w:rPr>
        <w:t>.</w:t>
      </w:r>
      <w:r>
        <w:rPr>
          <w:sz w:val="20"/>
          <w:szCs w:val="20"/>
        </w:rPr>
        <w:t>]</w:t>
      </w:r>
    </w:p>
    <w:p w:rsidR="00506318" w:rsidRPr="00506318" w:rsidRDefault="00506318" w:rsidP="00506318">
      <w:pPr>
        <w:spacing w:after="0"/>
        <w:jc w:val="both"/>
        <w:rPr>
          <w:sz w:val="20"/>
          <w:szCs w:val="20"/>
        </w:rPr>
      </w:pPr>
    </w:p>
    <w:p w:rsidR="001D2FD4" w:rsidRPr="00506318" w:rsidRDefault="001D2FD4" w:rsidP="00222DA7">
      <w:pPr>
        <w:jc w:val="both"/>
        <w:rPr>
          <w:rFonts w:cstheme="minorHAnsi"/>
          <w:b/>
          <w:sz w:val="20"/>
          <w:szCs w:val="20"/>
        </w:rPr>
      </w:pPr>
      <w:r w:rsidRPr="00506318">
        <w:rPr>
          <w:rFonts w:cstheme="minorHAnsi"/>
          <w:b/>
          <w:sz w:val="20"/>
          <w:szCs w:val="20"/>
        </w:rPr>
        <w:t>- Foram devidamente corrigidas no corpo do artigo as referência bibliográficas que por lapso não correspon</w:t>
      </w:r>
      <w:r w:rsidR="00506318">
        <w:rPr>
          <w:rFonts w:cstheme="minorHAnsi"/>
          <w:b/>
          <w:sz w:val="20"/>
          <w:szCs w:val="20"/>
        </w:rPr>
        <w:t>diam ao artigo que as suportava (uma corrigida e outra retirada).</w:t>
      </w:r>
    </w:p>
    <w:p w:rsidR="00B04F4D" w:rsidRPr="00506318" w:rsidRDefault="00B04F4D" w:rsidP="00222DA7">
      <w:pPr>
        <w:jc w:val="both"/>
        <w:rPr>
          <w:rFonts w:cstheme="minorHAnsi"/>
          <w:b/>
          <w:sz w:val="20"/>
          <w:szCs w:val="20"/>
        </w:rPr>
      </w:pPr>
      <w:r w:rsidRPr="00506318">
        <w:rPr>
          <w:rFonts w:cstheme="minorHAnsi"/>
          <w:b/>
          <w:sz w:val="20"/>
          <w:szCs w:val="20"/>
        </w:rPr>
        <w:t xml:space="preserve">- Foram igualmente corrigidos os pequenos pormenores de conteúdo e forma que estavam imprecisos. </w:t>
      </w:r>
    </w:p>
    <w:p w:rsidR="001D2FD4" w:rsidRDefault="001D2FD4" w:rsidP="00222DA7">
      <w:pPr>
        <w:jc w:val="both"/>
        <w:rPr>
          <w:rFonts w:cstheme="minorHAnsi"/>
          <w:sz w:val="20"/>
          <w:szCs w:val="20"/>
        </w:rPr>
      </w:pPr>
      <w:r w:rsidRPr="00B32D0F">
        <w:rPr>
          <w:rFonts w:cstheme="minorHAnsi"/>
          <w:sz w:val="20"/>
          <w:szCs w:val="20"/>
        </w:rPr>
        <w:t xml:space="preserve">- </w:t>
      </w:r>
      <w:r w:rsidRPr="00506318">
        <w:rPr>
          <w:rFonts w:cstheme="minorHAnsi"/>
          <w:b/>
          <w:sz w:val="20"/>
          <w:szCs w:val="20"/>
        </w:rPr>
        <w:t>A tabela foi restruturada e melhorado o título</w:t>
      </w:r>
      <w:r w:rsidRPr="00B32D0F">
        <w:rPr>
          <w:rFonts w:cstheme="minorHAnsi"/>
          <w:sz w:val="20"/>
          <w:szCs w:val="20"/>
        </w:rPr>
        <w:t>, como se poderá ver no próprio artigo. A única sugestão que não</w:t>
      </w:r>
      <w:r w:rsidR="00506318">
        <w:rPr>
          <w:rFonts w:cstheme="minorHAnsi"/>
          <w:sz w:val="20"/>
          <w:szCs w:val="20"/>
        </w:rPr>
        <w:t xml:space="preserve"> consegui aplicar foi a distinção</w:t>
      </w:r>
      <w:r w:rsidRPr="00B32D0F">
        <w:rPr>
          <w:rFonts w:cstheme="minorHAnsi"/>
          <w:sz w:val="20"/>
          <w:szCs w:val="20"/>
        </w:rPr>
        <w:t xml:space="preserve"> na tabela caso</w:t>
      </w:r>
      <w:r w:rsidR="00701D93" w:rsidRPr="00B32D0F">
        <w:rPr>
          <w:rFonts w:cstheme="minorHAnsi"/>
          <w:sz w:val="20"/>
          <w:szCs w:val="20"/>
        </w:rPr>
        <w:t xml:space="preserve"> se tratava de uma recaída </w:t>
      </w:r>
      <w:r w:rsidRPr="00B32D0F">
        <w:rPr>
          <w:rFonts w:cstheme="minorHAnsi"/>
          <w:sz w:val="20"/>
          <w:szCs w:val="20"/>
        </w:rPr>
        <w:t>(persistência d</w:t>
      </w:r>
      <w:r w:rsidR="003C24C3" w:rsidRPr="00B32D0F">
        <w:rPr>
          <w:rFonts w:cstheme="minorHAnsi"/>
          <w:sz w:val="20"/>
          <w:szCs w:val="20"/>
        </w:rPr>
        <w:t>o</w:t>
      </w:r>
      <w:r w:rsidR="006D3B80" w:rsidRPr="00B32D0F">
        <w:rPr>
          <w:rFonts w:cstheme="minorHAnsi"/>
          <w:sz w:val="20"/>
          <w:szCs w:val="20"/>
        </w:rPr>
        <w:t xml:space="preserve"> </w:t>
      </w:r>
      <w:r w:rsidR="003C24C3" w:rsidRPr="00B32D0F">
        <w:rPr>
          <w:rFonts w:cstheme="minorHAnsi"/>
          <w:sz w:val="20"/>
          <w:szCs w:val="20"/>
        </w:rPr>
        <w:t xml:space="preserve">mesmo </w:t>
      </w:r>
      <w:r w:rsidRPr="00B32D0F">
        <w:rPr>
          <w:rFonts w:cstheme="minorHAnsi"/>
          <w:sz w:val="20"/>
          <w:szCs w:val="20"/>
        </w:rPr>
        <w:t>parasita) ou recorrência</w:t>
      </w:r>
      <w:r w:rsidR="00701D93" w:rsidRPr="00B32D0F">
        <w:rPr>
          <w:rFonts w:cstheme="minorHAnsi"/>
          <w:sz w:val="20"/>
          <w:szCs w:val="20"/>
        </w:rPr>
        <w:t xml:space="preserve"> (infecção por outra estirpe), uma vez que</w:t>
      </w:r>
      <w:r w:rsidRPr="00B32D0F">
        <w:rPr>
          <w:rFonts w:cstheme="minorHAnsi"/>
          <w:sz w:val="20"/>
          <w:szCs w:val="20"/>
        </w:rPr>
        <w:t>, sendo um estudo retrospectivo, a</w:t>
      </w:r>
      <w:r w:rsidR="00701D93" w:rsidRPr="00B32D0F">
        <w:rPr>
          <w:rFonts w:cstheme="minorHAnsi"/>
          <w:sz w:val="20"/>
          <w:szCs w:val="20"/>
        </w:rPr>
        <w:t>s</w:t>
      </w:r>
      <w:r w:rsidRPr="00B32D0F">
        <w:rPr>
          <w:rFonts w:cstheme="minorHAnsi"/>
          <w:sz w:val="20"/>
          <w:szCs w:val="20"/>
        </w:rPr>
        <w:t xml:space="preserve"> única</w:t>
      </w:r>
      <w:r w:rsidR="00701D93" w:rsidRPr="00B32D0F">
        <w:rPr>
          <w:rFonts w:cstheme="minorHAnsi"/>
          <w:sz w:val="20"/>
          <w:szCs w:val="20"/>
        </w:rPr>
        <w:t>s</w:t>
      </w:r>
      <w:r w:rsidRPr="00B32D0F">
        <w:rPr>
          <w:rFonts w:cstheme="minorHAnsi"/>
          <w:sz w:val="20"/>
          <w:szCs w:val="20"/>
        </w:rPr>
        <w:t xml:space="preserve"> </w:t>
      </w:r>
      <w:r w:rsidR="00506318">
        <w:rPr>
          <w:rFonts w:cstheme="minorHAnsi"/>
          <w:sz w:val="20"/>
          <w:szCs w:val="20"/>
        </w:rPr>
        <w:t>variáveis que foram possíveis de</w:t>
      </w:r>
      <w:r w:rsidR="00701D93" w:rsidRPr="00B32D0F">
        <w:rPr>
          <w:rFonts w:cstheme="minorHAnsi"/>
          <w:sz w:val="20"/>
          <w:szCs w:val="20"/>
        </w:rPr>
        <w:t xml:space="preserve"> analisar foram</w:t>
      </w:r>
      <w:r w:rsidRPr="00B32D0F">
        <w:rPr>
          <w:rFonts w:cstheme="minorHAnsi"/>
          <w:sz w:val="20"/>
          <w:szCs w:val="20"/>
        </w:rPr>
        <w:t xml:space="preserve"> a identificação de</w:t>
      </w:r>
      <w:r w:rsidR="003C24C3" w:rsidRPr="00B32D0F">
        <w:rPr>
          <w:rFonts w:cstheme="minorHAnsi"/>
          <w:sz w:val="20"/>
          <w:szCs w:val="20"/>
        </w:rPr>
        <w:t xml:space="preserve"> formas amastigotas, a positividade das culturas com identificação </w:t>
      </w:r>
      <w:r w:rsidR="00506318">
        <w:rPr>
          <w:rFonts w:cstheme="minorHAnsi"/>
          <w:sz w:val="20"/>
          <w:szCs w:val="20"/>
        </w:rPr>
        <w:t>de</w:t>
      </w:r>
      <w:r w:rsidR="003C24C3" w:rsidRPr="00B32D0F">
        <w:rPr>
          <w:rFonts w:cstheme="minorHAnsi"/>
          <w:sz w:val="20"/>
          <w:szCs w:val="20"/>
        </w:rPr>
        <w:t xml:space="preserve"> </w:t>
      </w:r>
      <w:r w:rsidR="003C24C3" w:rsidRPr="00506318">
        <w:rPr>
          <w:rFonts w:cstheme="minorHAnsi"/>
          <w:i/>
          <w:sz w:val="20"/>
          <w:szCs w:val="20"/>
        </w:rPr>
        <w:t>Leishmania</w:t>
      </w:r>
      <w:r w:rsidR="00506318" w:rsidRPr="00506318">
        <w:rPr>
          <w:rFonts w:cstheme="minorHAnsi"/>
          <w:i/>
          <w:sz w:val="20"/>
          <w:szCs w:val="20"/>
        </w:rPr>
        <w:t xml:space="preserve"> spp.</w:t>
      </w:r>
      <w:r w:rsidR="00506318">
        <w:rPr>
          <w:rFonts w:cstheme="minorHAnsi"/>
          <w:sz w:val="20"/>
          <w:szCs w:val="20"/>
        </w:rPr>
        <w:t xml:space="preserve"> </w:t>
      </w:r>
      <w:r w:rsidR="003C24C3" w:rsidRPr="00B32D0F">
        <w:rPr>
          <w:rFonts w:cstheme="minorHAnsi"/>
          <w:sz w:val="20"/>
          <w:szCs w:val="20"/>
        </w:rPr>
        <w:t>ou a positividade do teste de PCR, não tendo sido aplicado nenhum teste que distinga perfil genético da espécie, tal como foi realizado, por exemplo, no artigo de Lachaud et al.</w:t>
      </w:r>
    </w:p>
    <w:p w:rsidR="00172412" w:rsidRPr="00B32D0F" w:rsidRDefault="00172412" w:rsidP="00222DA7">
      <w:pPr>
        <w:jc w:val="both"/>
        <w:rPr>
          <w:rFonts w:cstheme="minorHAnsi"/>
          <w:sz w:val="20"/>
          <w:szCs w:val="20"/>
        </w:rPr>
      </w:pPr>
      <w:r>
        <w:rPr>
          <w:rFonts w:cstheme="minorHAnsi"/>
          <w:sz w:val="20"/>
          <w:szCs w:val="20"/>
        </w:rPr>
        <w:t>Optámos por retirar a coluna referente ao nr de recaídas uma vez que na verdade o estudo só analisa de forma documentada a primeira recaída, sendo os restantes dados referentes a re-internamentos, podendo estes serem motivados por recaída</w:t>
      </w:r>
      <w:bookmarkStart w:id="0" w:name="_GoBack"/>
      <w:bookmarkEnd w:id="0"/>
      <w:r>
        <w:rPr>
          <w:rFonts w:cstheme="minorHAnsi"/>
          <w:sz w:val="20"/>
          <w:szCs w:val="20"/>
        </w:rPr>
        <w:t xml:space="preserve"> ou falências terapeuticas, como se explica na discussão.</w:t>
      </w:r>
    </w:p>
    <w:p w:rsidR="001D2FD4" w:rsidRPr="00B32D0F" w:rsidRDefault="001D2FD4" w:rsidP="00222DA7">
      <w:pPr>
        <w:jc w:val="both"/>
        <w:rPr>
          <w:rFonts w:cstheme="minorHAnsi"/>
          <w:b/>
          <w:sz w:val="20"/>
          <w:szCs w:val="20"/>
        </w:rPr>
      </w:pPr>
      <w:r w:rsidRPr="00B32D0F">
        <w:rPr>
          <w:rFonts w:cstheme="minorHAnsi"/>
          <w:b/>
          <w:sz w:val="20"/>
          <w:szCs w:val="20"/>
        </w:rPr>
        <w:t>Relativamente às alterações sugeridas à extensão:</w:t>
      </w:r>
    </w:p>
    <w:p w:rsidR="001D2FD4" w:rsidRPr="00B32D0F" w:rsidRDefault="001D2FD4" w:rsidP="00222DA7">
      <w:pPr>
        <w:jc w:val="both"/>
        <w:rPr>
          <w:rFonts w:cstheme="minorHAnsi"/>
          <w:sz w:val="20"/>
          <w:szCs w:val="20"/>
        </w:rPr>
      </w:pPr>
      <w:r w:rsidRPr="00B32D0F">
        <w:rPr>
          <w:rFonts w:cstheme="minorHAnsi"/>
          <w:sz w:val="20"/>
          <w:szCs w:val="20"/>
        </w:rPr>
        <w:t xml:space="preserve">- Penso ter feito o possível para reduzir ligeiramente a introdução do artigo sem alterar a estrutura e o conteúdo que considero importantes. </w:t>
      </w:r>
    </w:p>
    <w:p w:rsidR="00B04F4D" w:rsidRPr="00B32D0F" w:rsidRDefault="00B04F4D" w:rsidP="00222DA7">
      <w:pPr>
        <w:jc w:val="both"/>
        <w:rPr>
          <w:rFonts w:cstheme="minorHAnsi"/>
          <w:sz w:val="20"/>
          <w:szCs w:val="20"/>
        </w:rPr>
      </w:pPr>
      <w:r w:rsidRPr="00B32D0F">
        <w:rPr>
          <w:rFonts w:cstheme="minorHAnsi"/>
          <w:sz w:val="20"/>
          <w:szCs w:val="20"/>
        </w:rPr>
        <w:t>- Foi restruturada a tabela, com a restrição já descrita acima</w:t>
      </w:r>
    </w:p>
    <w:p w:rsidR="00F65082" w:rsidRDefault="00F65082" w:rsidP="00222DA7">
      <w:pPr>
        <w:pBdr>
          <w:bottom w:val="single" w:sz="12" w:space="1" w:color="auto"/>
        </w:pBdr>
        <w:jc w:val="both"/>
        <w:rPr>
          <w:rFonts w:cstheme="minorHAnsi"/>
          <w:sz w:val="20"/>
          <w:szCs w:val="20"/>
        </w:rPr>
      </w:pPr>
    </w:p>
    <w:p w:rsidR="00506318" w:rsidRDefault="00506318" w:rsidP="00222DA7">
      <w:pPr>
        <w:jc w:val="both"/>
        <w:rPr>
          <w:rFonts w:cstheme="minorHAnsi"/>
          <w:b/>
          <w:sz w:val="20"/>
          <w:szCs w:val="20"/>
        </w:rPr>
      </w:pPr>
    </w:p>
    <w:p w:rsidR="00F65082" w:rsidRPr="00506318" w:rsidRDefault="00B029A0" w:rsidP="00222DA7">
      <w:pPr>
        <w:jc w:val="both"/>
        <w:rPr>
          <w:rFonts w:cstheme="minorHAnsi"/>
          <w:b/>
          <w:sz w:val="20"/>
          <w:szCs w:val="20"/>
        </w:rPr>
      </w:pPr>
      <w:r w:rsidRPr="00506318">
        <w:rPr>
          <w:rFonts w:cstheme="minorHAnsi"/>
          <w:b/>
          <w:sz w:val="20"/>
          <w:szCs w:val="20"/>
        </w:rPr>
        <w:t>Notas do Editor:</w:t>
      </w:r>
    </w:p>
    <w:p w:rsidR="00E87FC4" w:rsidRPr="00B32D0F" w:rsidRDefault="00E87FC4" w:rsidP="00222DA7">
      <w:pPr>
        <w:jc w:val="both"/>
        <w:rPr>
          <w:rFonts w:cstheme="minorHAnsi"/>
          <w:sz w:val="20"/>
          <w:szCs w:val="20"/>
        </w:rPr>
      </w:pPr>
      <w:r w:rsidRPr="00B32D0F">
        <w:rPr>
          <w:rFonts w:cstheme="minorHAnsi"/>
          <w:sz w:val="20"/>
          <w:szCs w:val="20"/>
        </w:rPr>
        <w:t xml:space="preserve">No corpo do resumo </w:t>
      </w:r>
      <w:r w:rsidR="00506318">
        <w:rPr>
          <w:rFonts w:cstheme="minorHAnsi"/>
          <w:sz w:val="20"/>
          <w:szCs w:val="20"/>
        </w:rPr>
        <w:t>e abstract foram separados os pa</w:t>
      </w:r>
      <w:r w:rsidRPr="00B32D0F">
        <w:rPr>
          <w:rFonts w:cstheme="minorHAnsi"/>
          <w:sz w:val="20"/>
          <w:szCs w:val="20"/>
        </w:rPr>
        <w:t>rágrafos Discussão e Conclusões, de acordo com o sugerido.</w:t>
      </w:r>
    </w:p>
    <w:p w:rsidR="00E87FC4" w:rsidRPr="00B32D0F" w:rsidRDefault="00E87FC4" w:rsidP="00222DA7">
      <w:pPr>
        <w:jc w:val="both"/>
        <w:rPr>
          <w:rFonts w:cstheme="minorHAnsi"/>
          <w:sz w:val="20"/>
          <w:szCs w:val="20"/>
        </w:rPr>
      </w:pPr>
      <w:r w:rsidRPr="00B32D0F">
        <w:rPr>
          <w:rFonts w:cstheme="minorHAnsi"/>
          <w:sz w:val="20"/>
          <w:szCs w:val="20"/>
        </w:rPr>
        <w:t>Correcção das imprecisões na bibliografia feitas no corpo do artigo.</w:t>
      </w:r>
    </w:p>
    <w:p w:rsidR="001D2FD4" w:rsidRPr="00B32D0F" w:rsidRDefault="001D2FD4" w:rsidP="00222DA7">
      <w:pPr>
        <w:jc w:val="both"/>
        <w:rPr>
          <w:rFonts w:cstheme="minorHAnsi"/>
          <w:sz w:val="20"/>
          <w:szCs w:val="20"/>
        </w:rPr>
      </w:pPr>
    </w:p>
    <w:sectPr w:rsidR="001D2FD4" w:rsidRPr="00B32D0F" w:rsidSect="00800EFF">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EC" w:rsidRDefault="00AD24EC" w:rsidP="00506318">
      <w:pPr>
        <w:spacing w:after="0" w:line="240" w:lineRule="auto"/>
      </w:pPr>
      <w:r>
        <w:separator/>
      </w:r>
    </w:p>
  </w:endnote>
  <w:endnote w:type="continuationSeparator" w:id="0">
    <w:p w:rsidR="00AD24EC" w:rsidRDefault="00AD24EC" w:rsidP="0050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EC" w:rsidRDefault="00AD24EC" w:rsidP="00506318">
      <w:pPr>
        <w:spacing w:after="0" w:line="240" w:lineRule="auto"/>
      </w:pPr>
      <w:r>
        <w:separator/>
      </w:r>
    </w:p>
  </w:footnote>
  <w:footnote w:type="continuationSeparator" w:id="0">
    <w:p w:rsidR="00AD24EC" w:rsidRDefault="00AD24EC" w:rsidP="00506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D4"/>
    <w:rsid w:val="000B5D78"/>
    <w:rsid w:val="000D2248"/>
    <w:rsid w:val="00134AE2"/>
    <w:rsid w:val="00172412"/>
    <w:rsid w:val="00197D58"/>
    <w:rsid w:val="001D2FD4"/>
    <w:rsid w:val="00222DA7"/>
    <w:rsid w:val="00277C27"/>
    <w:rsid w:val="0031246E"/>
    <w:rsid w:val="00373A0E"/>
    <w:rsid w:val="003C24C3"/>
    <w:rsid w:val="004708B6"/>
    <w:rsid w:val="004D5F3A"/>
    <w:rsid w:val="00506318"/>
    <w:rsid w:val="00517139"/>
    <w:rsid w:val="00585422"/>
    <w:rsid w:val="005A7F0D"/>
    <w:rsid w:val="006A3FCE"/>
    <w:rsid w:val="006D3B80"/>
    <w:rsid w:val="00701D93"/>
    <w:rsid w:val="00800EFF"/>
    <w:rsid w:val="008A6B41"/>
    <w:rsid w:val="00911EEA"/>
    <w:rsid w:val="00946A89"/>
    <w:rsid w:val="009E2F12"/>
    <w:rsid w:val="00A22DC1"/>
    <w:rsid w:val="00AD24EC"/>
    <w:rsid w:val="00AE2F85"/>
    <w:rsid w:val="00AF5E26"/>
    <w:rsid w:val="00B029A0"/>
    <w:rsid w:val="00B04F4D"/>
    <w:rsid w:val="00B20ED8"/>
    <w:rsid w:val="00B32D0F"/>
    <w:rsid w:val="00B71259"/>
    <w:rsid w:val="00C26F53"/>
    <w:rsid w:val="00C34CA6"/>
    <w:rsid w:val="00C86A9E"/>
    <w:rsid w:val="00C9416D"/>
    <w:rsid w:val="00CD7488"/>
    <w:rsid w:val="00E2593B"/>
    <w:rsid w:val="00E728E7"/>
    <w:rsid w:val="00E87FC4"/>
    <w:rsid w:val="00EB004A"/>
    <w:rsid w:val="00F5342C"/>
    <w:rsid w:val="00F65082"/>
    <w:rsid w:val="00FA18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71259"/>
    <w:pPr>
      <w:spacing w:before="100" w:beforeAutospacing="1" w:after="100" w:afterAutospacing="1" w:line="240" w:lineRule="auto"/>
    </w:pPr>
    <w:rPr>
      <w:rFonts w:ascii="Times New Roman" w:eastAsia="Times New Roman" w:hAnsi="Times New Roman" w:cs="Times New Roman"/>
      <w:noProof w:val="0"/>
      <w:sz w:val="24"/>
      <w:szCs w:val="24"/>
      <w:lang w:eastAsia="pt-PT"/>
    </w:rPr>
  </w:style>
  <w:style w:type="paragraph" w:styleId="Textodebalo">
    <w:name w:val="Balloon Text"/>
    <w:basedOn w:val="Normal"/>
    <w:link w:val="TextodebaloChar"/>
    <w:uiPriority w:val="99"/>
    <w:semiHidden/>
    <w:unhideWhenUsed/>
    <w:rsid w:val="00800E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0EFF"/>
    <w:rPr>
      <w:rFonts w:ascii="Tahoma" w:hAnsi="Tahoma" w:cs="Tahoma"/>
      <w:noProof/>
      <w:sz w:val="16"/>
      <w:szCs w:val="16"/>
    </w:rPr>
  </w:style>
  <w:style w:type="paragraph" w:styleId="Textodenotadefim">
    <w:name w:val="endnote text"/>
    <w:basedOn w:val="Normal"/>
    <w:link w:val="TextodenotadefimChar"/>
    <w:uiPriority w:val="99"/>
    <w:unhideWhenUsed/>
    <w:rsid w:val="00506318"/>
    <w:pPr>
      <w:spacing w:after="0" w:line="240" w:lineRule="auto"/>
    </w:pPr>
    <w:rPr>
      <w:noProof w:val="0"/>
      <w:sz w:val="20"/>
      <w:szCs w:val="20"/>
    </w:rPr>
  </w:style>
  <w:style w:type="character" w:customStyle="1" w:styleId="TextodenotadefimChar">
    <w:name w:val="Texto de nota de fim Char"/>
    <w:basedOn w:val="Fontepargpadro"/>
    <w:link w:val="Textodenotadefim"/>
    <w:uiPriority w:val="99"/>
    <w:rsid w:val="00506318"/>
    <w:rPr>
      <w:sz w:val="20"/>
      <w:szCs w:val="20"/>
    </w:rPr>
  </w:style>
  <w:style w:type="character" w:styleId="Refdenotadefim">
    <w:name w:val="endnote reference"/>
    <w:basedOn w:val="Fontepargpadro"/>
    <w:uiPriority w:val="99"/>
    <w:semiHidden/>
    <w:unhideWhenUsed/>
    <w:rsid w:val="00506318"/>
    <w:rPr>
      <w:vertAlign w:val="superscript"/>
    </w:rPr>
  </w:style>
  <w:style w:type="character" w:customStyle="1" w:styleId="apple-converted-space">
    <w:name w:val="apple-converted-space"/>
    <w:basedOn w:val="Fontepargpadro"/>
    <w:rsid w:val="00506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71259"/>
    <w:pPr>
      <w:spacing w:before="100" w:beforeAutospacing="1" w:after="100" w:afterAutospacing="1" w:line="240" w:lineRule="auto"/>
    </w:pPr>
    <w:rPr>
      <w:rFonts w:ascii="Times New Roman" w:eastAsia="Times New Roman" w:hAnsi="Times New Roman" w:cs="Times New Roman"/>
      <w:noProof w:val="0"/>
      <w:sz w:val="24"/>
      <w:szCs w:val="24"/>
      <w:lang w:eastAsia="pt-PT"/>
    </w:rPr>
  </w:style>
  <w:style w:type="paragraph" w:styleId="Textodebalo">
    <w:name w:val="Balloon Text"/>
    <w:basedOn w:val="Normal"/>
    <w:link w:val="TextodebaloChar"/>
    <w:uiPriority w:val="99"/>
    <w:semiHidden/>
    <w:unhideWhenUsed/>
    <w:rsid w:val="00800E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0EFF"/>
    <w:rPr>
      <w:rFonts w:ascii="Tahoma" w:hAnsi="Tahoma" w:cs="Tahoma"/>
      <w:noProof/>
      <w:sz w:val="16"/>
      <w:szCs w:val="16"/>
    </w:rPr>
  </w:style>
  <w:style w:type="paragraph" w:styleId="Textodenotadefim">
    <w:name w:val="endnote text"/>
    <w:basedOn w:val="Normal"/>
    <w:link w:val="TextodenotadefimChar"/>
    <w:uiPriority w:val="99"/>
    <w:unhideWhenUsed/>
    <w:rsid w:val="00506318"/>
    <w:pPr>
      <w:spacing w:after="0" w:line="240" w:lineRule="auto"/>
    </w:pPr>
    <w:rPr>
      <w:noProof w:val="0"/>
      <w:sz w:val="20"/>
      <w:szCs w:val="20"/>
    </w:rPr>
  </w:style>
  <w:style w:type="character" w:customStyle="1" w:styleId="TextodenotadefimChar">
    <w:name w:val="Texto de nota de fim Char"/>
    <w:basedOn w:val="Fontepargpadro"/>
    <w:link w:val="Textodenotadefim"/>
    <w:uiPriority w:val="99"/>
    <w:rsid w:val="00506318"/>
    <w:rPr>
      <w:sz w:val="20"/>
      <w:szCs w:val="20"/>
    </w:rPr>
  </w:style>
  <w:style w:type="character" w:styleId="Refdenotadefim">
    <w:name w:val="endnote reference"/>
    <w:basedOn w:val="Fontepargpadro"/>
    <w:uiPriority w:val="99"/>
    <w:semiHidden/>
    <w:unhideWhenUsed/>
    <w:rsid w:val="00506318"/>
    <w:rPr>
      <w:vertAlign w:val="superscript"/>
    </w:rPr>
  </w:style>
  <w:style w:type="character" w:customStyle="1" w:styleId="apple-converted-space">
    <w:name w:val="apple-converted-space"/>
    <w:basedOn w:val="Fontepargpadro"/>
    <w:rsid w:val="0050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1840</Words>
  <Characters>9941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dc:creator>
  <cp:lastModifiedBy>Patrícia</cp:lastModifiedBy>
  <cp:revision>15</cp:revision>
  <cp:lastPrinted>2017-01-23T20:26:00Z</cp:lastPrinted>
  <dcterms:created xsi:type="dcterms:W3CDTF">2017-01-22T14:41:00Z</dcterms:created>
  <dcterms:modified xsi:type="dcterms:W3CDTF">2017-01-27T18:57:00Z</dcterms:modified>
</cp:coreProperties>
</file>