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A8" w:rsidRDefault="00E551A8" w:rsidP="004A6AE1">
      <w:pPr>
        <w:spacing w:after="0" w:line="360" w:lineRule="auto"/>
        <w:jc w:val="center"/>
        <w:rPr>
          <w:rFonts w:ascii="Arial" w:hAnsi="Arial" w:cs="Arial"/>
          <w:b/>
          <w:bCs/>
          <w:sz w:val="28"/>
          <w:szCs w:val="28"/>
          <w:lang w:val="pt-PT"/>
        </w:rPr>
      </w:pPr>
    </w:p>
    <w:p w:rsidR="004A6AE1" w:rsidRPr="00CC28B8" w:rsidRDefault="007E2C98" w:rsidP="004A6AE1">
      <w:pPr>
        <w:spacing w:after="0" w:line="360" w:lineRule="auto"/>
        <w:jc w:val="center"/>
        <w:rPr>
          <w:rFonts w:ascii="Arial" w:hAnsi="Arial" w:cs="Arial"/>
          <w:b/>
          <w:sz w:val="28"/>
          <w:szCs w:val="28"/>
        </w:rPr>
      </w:pPr>
      <w:r w:rsidRPr="00CC28B8">
        <w:rPr>
          <w:rFonts w:ascii="Arial" w:hAnsi="Arial" w:cs="Arial"/>
          <w:b/>
          <w:sz w:val="28"/>
          <w:szCs w:val="28"/>
        </w:rPr>
        <w:t>Histologica</w:t>
      </w:r>
      <w:r w:rsidR="00DE3F6A" w:rsidRPr="00CC28B8">
        <w:rPr>
          <w:rFonts w:ascii="Arial" w:hAnsi="Arial" w:cs="Arial"/>
          <w:b/>
          <w:sz w:val="28"/>
          <w:szCs w:val="28"/>
        </w:rPr>
        <w:t>l subtypes and clinical behavio</w:t>
      </w:r>
      <w:r w:rsidR="00A67706" w:rsidRPr="00CC28B8">
        <w:rPr>
          <w:rFonts w:ascii="Arial" w:hAnsi="Arial" w:cs="Arial"/>
          <w:b/>
          <w:sz w:val="28"/>
          <w:szCs w:val="28"/>
        </w:rPr>
        <w:t>r evaluation of salivary gland t</w:t>
      </w:r>
      <w:r w:rsidRPr="00CC28B8">
        <w:rPr>
          <w:rFonts w:ascii="Arial" w:hAnsi="Arial" w:cs="Arial"/>
          <w:b/>
          <w:sz w:val="28"/>
          <w:szCs w:val="28"/>
        </w:rPr>
        <w:t>umors</w:t>
      </w:r>
    </w:p>
    <w:p w:rsidR="007E2C98" w:rsidRPr="00CC28B8" w:rsidRDefault="007E2C98" w:rsidP="004A6AE1">
      <w:pPr>
        <w:spacing w:after="0" w:line="360" w:lineRule="auto"/>
        <w:jc w:val="center"/>
        <w:rPr>
          <w:rFonts w:ascii="Arial" w:hAnsi="Arial" w:cs="Arial"/>
          <w:b/>
          <w:bCs/>
          <w:sz w:val="28"/>
          <w:szCs w:val="28"/>
        </w:rPr>
      </w:pPr>
    </w:p>
    <w:p w:rsidR="00DE3F6A" w:rsidRPr="00CC28B8" w:rsidRDefault="00C21A45" w:rsidP="00DE3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Arial"/>
          <w:b/>
          <w:sz w:val="28"/>
          <w:szCs w:val="28"/>
          <w:lang w:val="pt-PT"/>
        </w:rPr>
      </w:pPr>
      <w:r w:rsidRPr="00CC28B8">
        <w:rPr>
          <w:rFonts w:ascii="Arial" w:hAnsi="Arial" w:cs="Arial"/>
          <w:b/>
          <w:sz w:val="28"/>
          <w:szCs w:val="28"/>
          <w:lang w:val="pt-PT"/>
        </w:rPr>
        <w:t>S</w:t>
      </w:r>
      <w:r w:rsidR="00DE3F6A" w:rsidRPr="00CC28B8">
        <w:rPr>
          <w:rFonts w:ascii="Arial" w:hAnsi="Arial" w:cs="Arial"/>
          <w:b/>
          <w:sz w:val="28"/>
          <w:szCs w:val="28"/>
          <w:lang w:val="pt-PT"/>
        </w:rPr>
        <w:t>ubtipos histológicos e</w:t>
      </w:r>
      <w:r w:rsidRPr="00CC28B8">
        <w:rPr>
          <w:rFonts w:ascii="Arial" w:hAnsi="Arial" w:cs="Arial"/>
          <w:b/>
          <w:sz w:val="28"/>
          <w:szCs w:val="28"/>
          <w:lang w:val="pt-PT"/>
        </w:rPr>
        <w:t xml:space="preserve"> avaliação do</w:t>
      </w:r>
      <w:r w:rsidR="00DE3F6A" w:rsidRPr="00CC28B8">
        <w:rPr>
          <w:rFonts w:ascii="Arial" w:hAnsi="Arial" w:cs="Arial"/>
          <w:b/>
          <w:sz w:val="28"/>
          <w:szCs w:val="28"/>
          <w:lang w:val="pt-PT"/>
        </w:rPr>
        <w:t xml:space="preserve"> comportamento clínico de tumores das glândulas salivares </w:t>
      </w:r>
    </w:p>
    <w:p w:rsidR="006967D8" w:rsidRPr="00CC28B8" w:rsidRDefault="006967D8"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pt-PT" w:eastAsia="pt-PT"/>
        </w:rPr>
      </w:pPr>
      <w:r w:rsidRPr="00CC28B8">
        <w:rPr>
          <w:rFonts w:ascii="Arial" w:hAnsi="Arial" w:cs="Arial"/>
          <w:sz w:val="24"/>
          <w:szCs w:val="24"/>
          <w:lang w:val="pt-PT" w:eastAsia="pt-PT"/>
        </w:rPr>
        <w:t>Jorge Pinheiro</w:t>
      </w:r>
      <w:r w:rsidR="00CA7B05" w:rsidRPr="00CC28B8">
        <w:rPr>
          <w:rFonts w:ascii="Arial" w:hAnsi="Arial" w:cs="Arial"/>
          <w:sz w:val="24"/>
          <w:szCs w:val="24"/>
          <w:lang w:val="pt-PT" w:eastAsia="pt-PT"/>
        </w:rPr>
        <w:t xml:space="preserve"> MD</w:t>
      </w:r>
      <w:r w:rsidRPr="00CC28B8">
        <w:rPr>
          <w:rFonts w:ascii="Arial" w:hAnsi="Arial" w:cs="Arial"/>
          <w:sz w:val="24"/>
          <w:szCs w:val="24"/>
          <w:vertAlign w:val="superscript"/>
          <w:lang w:val="pt-PT" w:eastAsia="pt-PT"/>
        </w:rPr>
        <w:t>1</w:t>
      </w:r>
      <w:r w:rsidRPr="00CC28B8">
        <w:rPr>
          <w:rFonts w:ascii="Arial" w:hAnsi="Arial" w:cs="Arial"/>
          <w:sz w:val="24"/>
          <w:szCs w:val="24"/>
          <w:lang w:val="pt-PT" w:eastAsia="pt-PT"/>
        </w:rPr>
        <w:t>,</w:t>
      </w:r>
    </w:p>
    <w:p w:rsidR="006967D8" w:rsidRPr="00CC28B8" w:rsidRDefault="006967D8"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pt-PT" w:eastAsia="pt-PT"/>
        </w:rPr>
      </w:pPr>
      <w:r w:rsidRPr="00CC28B8">
        <w:rPr>
          <w:rFonts w:ascii="Arial" w:hAnsi="Arial" w:cs="Arial"/>
          <w:sz w:val="24"/>
          <w:szCs w:val="24"/>
          <w:lang w:val="pt-PT" w:eastAsia="pt-PT"/>
        </w:rPr>
        <w:t>Margarida Fernandes</w:t>
      </w:r>
      <w:r w:rsidR="00CA7B05" w:rsidRPr="00CC28B8">
        <w:rPr>
          <w:rFonts w:ascii="Arial" w:hAnsi="Arial" w:cs="Arial"/>
          <w:sz w:val="24"/>
          <w:szCs w:val="24"/>
          <w:lang w:val="pt-PT" w:eastAsia="pt-PT"/>
        </w:rPr>
        <w:t xml:space="preserve"> MD</w:t>
      </w:r>
      <w:r w:rsidRPr="00CC28B8">
        <w:rPr>
          <w:rFonts w:ascii="Arial" w:hAnsi="Arial" w:cs="Arial"/>
          <w:sz w:val="24"/>
          <w:szCs w:val="24"/>
          <w:vertAlign w:val="superscript"/>
          <w:lang w:val="pt-PT" w:eastAsia="pt-PT"/>
        </w:rPr>
        <w:t>1</w:t>
      </w:r>
      <w:r w:rsidRPr="00CC28B8">
        <w:rPr>
          <w:rFonts w:ascii="Arial" w:hAnsi="Arial" w:cs="Arial"/>
          <w:sz w:val="24"/>
          <w:szCs w:val="24"/>
          <w:lang w:val="pt-PT" w:eastAsia="pt-PT"/>
        </w:rPr>
        <w:t>,</w:t>
      </w:r>
    </w:p>
    <w:p w:rsidR="006967D8" w:rsidRPr="00CC28B8" w:rsidRDefault="006967D8"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pt-PT" w:eastAsia="pt-PT"/>
        </w:rPr>
      </w:pPr>
      <w:r w:rsidRPr="00CC28B8">
        <w:rPr>
          <w:rFonts w:ascii="Arial" w:hAnsi="Arial" w:cs="Arial"/>
          <w:sz w:val="24"/>
          <w:szCs w:val="24"/>
          <w:lang w:val="pt-PT" w:eastAsia="pt-PT"/>
        </w:rPr>
        <w:t xml:space="preserve"> Ana Rodrigues Pereira</w:t>
      </w:r>
      <w:r w:rsidR="00CA7B05" w:rsidRPr="00CC28B8">
        <w:rPr>
          <w:rFonts w:ascii="Arial" w:hAnsi="Arial" w:cs="Arial"/>
          <w:sz w:val="24"/>
          <w:szCs w:val="24"/>
          <w:lang w:val="pt-PT" w:eastAsia="pt-PT"/>
        </w:rPr>
        <w:t xml:space="preserve"> MD</w:t>
      </w:r>
      <w:r w:rsidRPr="00CC28B8">
        <w:rPr>
          <w:rFonts w:ascii="Arial" w:hAnsi="Arial" w:cs="Arial"/>
          <w:sz w:val="24"/>
          <w:szCs w:val="24"/>
          <w:vertAlign w:val="superscript"/>
          <w:lang w:val="pt-PT" w:eastAsia="pt-PT"/>
        </w:rPr>
        <w:t>1</w:t>
      </w:r>
      <w:r w:rsidRPr="00CC28B8">
        <w:rPr>
          <w:rFonts w:ascii="Arial" w:hAnsi="Arial" w:cs="Arial"/>
          <w:sz w:val="24"/>
          <w:szCs w:val="24"/>
          <w:lang w:val="pt-PT" w:eastAsia="pt-PT"/>
        </w:rPr>
        <w:t xml:space="preserve">, </w:t>
      </w:r>
    </w:p>
    <w:p w:rsidR="006967D8" w:rsidRPr="00CC28B8" w:rsidRDefault="006967D8"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vertAlign w:val="superscript"/>
          <w:lang w:val="pt-PT" w:eastAsia="pt-PT"/>
        </w:rPr>
      </w:pPr>
      <w:r w:rsidRPr="00CC28B8">
        <w:rPr>
          <w:rFonts w:ascii="Arial" w:hAnsi="Arial" w:cs="Arial"/>
          <w:sz w:val="24"/>
          <w:szCs w:val="24"/>
          <w:lang w:val="pt-PT" w:eastAsia="pt-PT"/>
        </w:rPr>
        <w:t>José Manuel Lopes</w:t>
      </w:r>
      <w:r w:rsidR="00CA7B05" w:rsidRPr="00CC28B8">
        <w:rPr>
          <w:rFonts w:ascii="Arial" w:hAnsi="Arial" w:cs="Arial"/>
          <w:sz w:val="24"/>
          <w:szCs w:val="24"/>
          <w:lang w:val="pt-PT" w:eastAsia="pt-PT"/>
        </w:rPr>
        <w:t xml:space="preserve"> MD, PhD</w:t>
      </w:r>
      <w:r w:rsidRPr="00CC28B8">
        <w:rPr>
          <w:rFonts w:ascii="Arial" w:hAnsi="Arial" w:cs="Arial"/>
          <w:sz w:val="24"/>
          <w:szCs w:val="24"/>
          <w:vertAlign w:val="superscript"/>
          <w:lang w:val="pt-PT" w:eastAsia="pt-PT"/>
        </w:rPr>
        <w:t>1,2</w:t>
      </w:r>
    </w:p>
    <w:p w:rsidR="006967D8" w:rsidRPr="00CC28B8" w:rsidRDefault="006967D8"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pt-PT" w:eastAsia="pt-PT"/>
        </w:rPr>
      </w:pPr>
    </w:p>
    <w:p w:rsidR="002C5FC9" w:rsidRPr="00CC28B8" w:rsidRDefault="002C5FC9"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pt-PT" w:eastAsia="pt-PT"/>
        </w:rPr>
      </w:pPr>
    </w:p>
    <w:p w:rsidR="006967D8" w:rsidRPr="00CC28B8" w:rsidRDefault="006967D8"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pt-PT" w:eastAsia="pt-PT"/>
        </w:rPr>
      </w:pPr>
      <w:r w:rsidRPr="00CC28B8">
        <w:rPr>
          <w:rFonts w:ascii="Arial" w:hAnsi="Arial" w:cs="Arial"/>
          <w:sz w:val="24"/>
          <w:szCs w:val="24"/>
          <w:lang w:val="pt-PT" w:eastAsia="pt-PT"/>
        </w:rPr>
        <w:t>1. Department of Pathology, Centro Hospitalar São João,</w:t>
      </w:r>
      <w:r w:rsidR="008D4ED6" w:rsidRPr="00CC28B8">
        <w:rPr>
          <w:rFonts w:ascii="Arial" w:hAnsi="Arial" w:cs="Arial"/>
          <w:sz w:val="24"/>
          <w:szCs w:val="24"/>
          <w:lang w:val="pt-PT" w:eastAsia="pt-PT"/>
        </w:rPr>
        <w:t xml:space="preserve"> </w:t>
      </w:r>
      <w:r w:rsidR="00D531B3" w:rsidRPr="00CC28B8">
        <w:rPr>
          <w:rFonts w:ascii="Arial" w:hAnsi="Arial" w:cs="Arial"/>
          <w:sz w:val="24"/>
          <w:szCs w:val="24"/>
          <w:lang w:val="pt-PT" w:eastAsia="pt-PT"/>
        </w:rPr>
        <w:t>Porto, Portugal.</w:t>
      </w:r>
    </w:p>
    <w:p w:rsidR="006967D8" w:rsidRPr="00CC28B8" w:rsidRDefault="006967D8" w:rsidP="0069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pt-PT" w:eastAsia="pt-PT"/>
        </w:rPr>
      </w:pPr>
      <w:r w:rsidRPr="00CC28B8">
        <w:rPr>
          <w:rFonts w:ascii="Arial" w:hAnsi="Arial" w:cs="Arial"/>
          <w:sz w:val="24"/>
          <w:szCs w:val="24"/>
          <w:lang w:val="pt-PT" w:eastAsia="pt-PT"/>
        </w:rPr>
        <w:t xml:space="preserve">2. Department of Pathology and Oncology, Faculdade de Medicina </w:t>
      </w:r>
      <w:r w:rsidR="00D531B3" w:rsidRPr="00CC28B8">
        <w:rPr>
          <w:rFonts w:ascii="Arial" w:hAnsi="Arial" w:cs="Arial"/>
          <w:sz w:val="24"/>
          <w:szCs w:val="24"/>
          <w:lang w:val="pt-PT" w:eastAsia="pt-PT"/>
        </w:rPr>
        <w:t>da Universidade do Porto, Porto, Portugal.</w:t>
      </w:r>
    </w:p>
    <w:p w:rsidR="006967D8" w:rsidRPr="00CC28B8" w:rsidRDefault="006967D8" w:rsidP="0093094C">
      <w:pPr>
        <w:spacing w:after="0" w:line="360" w:lineRule="auto"/>
        <w:jc w:val="both"/>
        <w:rPr>
          <w:rFonts w:ascii="Arial" w:hAnsi="Arial" w:cs="Arial"/>
          <w:sz w:val="24"/>
          <w:szCs w:val="24"/>
          <w:lang w:val="pt-PT"/>
        </w:rPr>
      </w:pPr>
    </w:p>
    <w:p w:rsidR="006967D8" w:rsidRPr="00CC28B8" w:rsidRDefault="006967D8" w:rsidP="0093094C">
      <w:pPr>
        <w:spacing w:after="0" w:line="360" w:lineRule="auto"/>
        <w:jc w:val="both"/>
        <w:rPr>
          <w:rFonts w:ascii="Arial" w:hAnsi="Arial" w:cs="Arial"/>
          <w:b/>
          <w:sz w:val="24"/>
          <w:szCs w:val="24"/>
          <w:lang w:val="pt-PT"/>
        </w:rPr>
      </w:pPr>
      <w:r w:rsidRPr="00CC28B8">
        <w:rPr>
          <w:rFonts w:ascii="Arial" w:hAnsi="Arial" w:cs="Arial"/>
          <w:b/>
          <w:sz w:val="24"/>
          <w:szCs w:val="24"/>
          <w:lang w:val="pt-PT"/>
        </w:rPr>
        <w:t>Correspondência do autor</w:t>
      </w:r>
    </w:p>
    <w:p w:rsidR="004A6AE1" w:rsidRPr="00CC28B8" w:rsidRDefault="00833124" w:rsidP="0093094C">
      <w:pPr>
        <w:spacing w:after="0" w:line="360" w:lineRule="auto"/>
        <w:jc w:val="both"/>
        <w:rPr>
          <w:rFonts w:ascii="Arial" w:hAnsi="Arial" w:cs="Arial"/>
          <w:sz w:val="24"/>
          <w:szCs w:val="24"/>
          <w:lang w:val="pt-PT"/>
        </w:rPr>
      </w:pPr>
      <w:r w:rsidRPr="00CC28B8">
        <w:rPr>
          <w:rFonts w:ascii="Arial" w:hAnsi="Arial" w:cs="Arial"/>
          <w:b/>
          <w:sz w:val="24"/>
          <w:szCs w:val="24"/>
          <w:lang w:val="pt-PT"/>
        </w:rPr>
        <w:t>morada:</w:t>
      </w:r>
      <w:r w:rsidRPr="00CC28B8">
        <w:rPr>
          <w:rFonts w:ascii="Arial" w:hAnsi="Arial" w:cs="Arial"/>
          <w:sz w:val="24"/>
          <w:szCs w:val="24"/>
          <w:lang w:val="pt-PT"/>
        </w:rPr>
        <w:t xml:space="preserve"> Centro Hospitalar São João - Serviço de anatomia patológica, </w:t>
      </w:r>
      <w:r w:rsidRPr="00CC28B8">
        <w:rPr>
          <w:rFonts w:ascii="Arial" w:hAnsi="Arial" w:cs="Arial"/>
          <w:sz w:val="24"/>
          <w:szCs w:val="24"/>
          <w:shd w:val="clear" w:color="auto" w:fill="FFFFFF"/>
          <w:lang w:val="pt-PT"/>
        </w:rPr>
        <w:t>Alameda Prof. Hernâni Monteiro, 4200–319 - Porto, Portugal</w:t>
      </w:r>
    </w:p>
    <w:p w:rsidR="006967D8" w:rsidRPr="00CC28B8" w:rsidRDefault="00833124" w:rsidP="0093094C">
      <w:pPr>
        <w:spacing w:after="0" w:line="360" w:lineRule="auto"/>
        <w:jc w:val="both"/>
        <w:rPr>
          <w:rFonts w:ascii="Arial" w:hAnsi="Arial" w:cs="Arial"/>
          <w:sz w:val="24"/>
          <w:szCs w:val="24"/>
          <w:lang w:val="pt-PT"/>
        </w:rPr>
      </w:pPr>
      <w:r w:rsidRPr="00CC28B8">
        <w:rPr>
          <w:rFonts w:ascii="Arial" w:hAnsi="Arial" w:cs="Arial"/>
          <w:b/>
          <w:sz w:val="24"/>
          <w:szCs w:val="24"/>
          <w:lang w:val="pt-PT"/>
        </w:rPr>
        <w:t>e-mail:</w:t>
      </w:r>
      <w:r w:rsidRPr="00CC28B8">
        <w:rPr>
          <w:rFonts w:ascii="Arial" w:hAnsi="Arial" w:cs="Arial"/>
          <w:sz w:val="24"/>
          <w:szCs w:val="24"/>
          <w:lang w:val="pt-PT"/>
        </w:rPr>
        <w:t xml:space="preserve"> jorge.nature@gmail.com</w:t>
      </w:r>
    </w:p>
    <w:p w:rsidR="006967D8" w:rsidRPr="00CC28B8" w:rsidRDefault="006967D8" w:rsidP="0093094C">
      <w:pPr>
        <w:spacing w:after="0" w:line="360" w:lineRule="auto"/>
        <w:jc w:val="both"/>
        <w:rPr>
          <w:rFonts w:ascii="Arial" w:hAnsi="Arial" w:cs="Arial"/>
          <w:sz w:val="24"/>
          <w:szCs w:val="24"/>
          <w:lang w:val="pt-PT"/>
        </w:rPr>
      </w:pPr>
    </w:p>
    <w:p w:rsidR="002C5FC9" w:rsidRPr="00CC28B8" w:rsidRDefault="00833124" w:rsidP="0093094C">
      <w:pPr>
        <w:spacing w:after="0" w:line="360" w:lineRule="auto"/>
        <w:jc w:val="both"/>
        <w:rPr>
          <w:rFonts w:ascii="Arial" w:hAnsi="Arial" w:cs="Arial"/>
          <w:sz w:val="24"/>
          <w:szCs w:val="24"/>
          <w:lang w:val="pt-PT"/>
        </w:rPr>
      </w:pPr>
      <w:r w:rsidRPr="00CC28B8">
        <w:rPr>
          <w:rFonts w:ascii="Arial" w:hAnsi="Arial" w:cs="Arial"/>
          <w:b/>
          <w:sz w:val="24"/>
          <w:szCs w:val="24"/>
          <w:lang w:val="pt-PT"/>
        </w:rPr>
        <w:t>Título breve para cabeçalho:</w:t>
      </w:r>
      <w:r w:rsidRPr="00CC28B8">
        <w:rPr>
          <w:rFonts w:ascii="Arial" w:hAnsi="Arial" w:cs="Arial"/>
          <w:sz w:val="24"/>
          <w:szCs w:val="24"/>
          <w:lang w:val="pt-PT"/>
        </w:rPr>
        <w:t xml:space="preserve"> Salivary gland tumors </w:t>
      </w:r>
      <w:r w:rsidR="00BE1721" w:rsidRPr="00CC28B8">
        <w:rPr>
          <w:rFonts w:ascii="Arial" w:hAnsi="Arial" w:cs="Arial"/>
          <w:sz w:val="24"/>
          <w:szCs w:val="24"/>
          <w:lang w:val="pt-PT"/>
        </w:rPr>
        <w:t xml:space="preserve">at </w:t>
      </w:r>
      <w:r w:rsidRPr="00CC28B8">
        <w:rPr>
          <w:rFonts w:ascii="Arial" w:hAnsi="Arial" w:cs="Arial"/>
          <w:sz w:val="24"/>
          <w:szCs w:val="24"/>
          <w:lang w:val="pt-PT"/>
        </w:rPr>
        <w:t>CHSJ (2005-2015)</w:t>
      </w:r>
    </w:p>
    <w:p w:rsidR="00D531B3" w:rsidRPr="00CC28B8" w:rsidRDefault="00D531B3" w:rsidP="0093094C">
      <w:pPr>
        <w:spacing w:after="0" w:line="360" w:lineRule="auto"/>
        <w:jc w:val="both"/>
        <w:rPr>
          <w:rFonts w:ascii="Arial" w:hAnsi="Arial" w:cs="Arial"/>
          <w:sz w:val="24"/>
          <w:szCs w:val="24"/>
          <w:lang w:val="pt-PT"/>
        </w:rPr>
      </w:pPr>
    </w:p>
    <w:p w:rsidR="00D531B3" w:rsidRPr="00CC28B8" w:rsidRDefault="00D531B3" w:rsidP="0093094C">
      <w:pPr>
        <w:spacing w:after="0" w:line="360" w:lineRule="auto"/>
        <w:jc w:val="both"/>
        <w:rPr>
          <w:rFonts w:ascii="Arial" w:hAnsi="Arial" w:cs="Arial"/>
          <w:b/>
          <w:bCs/>
          <w:sz w:val="24"/>
          <w:szCs w:val="24"/>
        </w:rPr>
      </w:pPr>
      <w:r w:rsidRPr="00CC28B8">
        <w:rPr>
          <w:rFonts w:ascii="Arial" w:hAnsi="Arial" w:cs="Arial"/>
          <w:b/>
          <w:sz w:val="24"/>
          <w:szCs w:val="24"/>
        </w:rPr>
        <w:t xml:space="preserve">Finding sources: </w:t>
      </w:r>
      <w:r w:rsidRPr="00CC28B8">
        <w:rPr>
          <w:rFonts w:ascii="Arial" w:hAnsi="Arial" w:cs="Arial"/>
          <w:sz w:val="24"/>
          <w:szCs w:val="24"/>
        </w:rPr>
        <w:t>No subsidies or grants contributed to this work.</w:t>
      </w: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2C5FC9" w:rsidRDefault="002C5FC9" w:rsidP="0093094C">
      <w:pPr>
        <w:spacing w:after="0" w:line="360" w:lineRule="auto"/>
        <w:jc w:val="both"/>
        <w:rPr>
          <w:rFonts w:ascii="Arial" w:hAnsi="Arial" w:cs="Arial"/>
          <w:b/>
          <w:bCs/>
        </w:rPr>
      </w:pPr>
    </w:p>
    <w:p w:rsidR="0072012C" w:rsidRDefault="0072012C" w:rsidP="0093094C">
      <w:pPr>
        <w:spacing w:after="0" w:line="360" w:lineRule="auto"/>
        <w:jc w:val="both"/>
        <w:rPr>
          <w:rFonts w:ascii="Arial" w:hAnsi="Arial" w:cs="Arial"/>
          <w:b/>
          <w:bCs/>
        </w:rPr>
      </w:pPr>
    </w:p>
    <w:p w:rsidR="00DE3F6A" w:rsidRPr="00D531B3" w:rsidRDefault="00DE3F6A" w:rsidP="0093094C">
      <w:pPr>
        <w:spacing w:after="0" w:line="360" w:lineRule="auto"/>
        <w:jc w:val="both"/>
        <w:rPr>
          <w:rFonts w:ascii="Arial" w:hAnsi="Arial" w:cs="Arial"/>
          <w:b/>
          <w:bCs/>
        </w:rPr>
      </w:pPr>
    </w:p>
    <w:p w:rsidR="002C5FC9" w:rsidRPr="00D531B3" w:rsidRDefault="002C5FC9" w:rsidP="0093094C">
      <w:pPr>
        <w:spacing w:after="0" w:line="360" w:lineRule="auto"/>
        <w:jc w:val="both"/>
        <w:rPr>
          <w:rFonts w:ascii="Arial" w:hAnsi="Arial" w:cs="Arial"/>
          <w:b/>
          <w:bCs/>
        </w:rPr>
      </w:pPr>
    </w:p>
    <w:p w:rsidR="007E2C98" w:rsidRPr="00CC28B8" w:rsidRDefault="007E2C98"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Arial" w:hAnsi="Arial" w:cs="Arial"/>
          <w:b/>
        </w:rPr>
      </w:pPr>
      <w:r w:rsidRPr="00CC28B8">
        <w:rPr>
          <w:rFonts w:ascii="Arial" w:hAnsi="Arial" w:cs="Arial"/>
          <w:b/>
        </w:rPr>
        <w:lastRenderedPageBreak/>
        <w:t>Histologica</w:t>
      </w:r>
      <w:r w:rsidR="00DE3F6A" w:rsidRPr="00CC28B8">
        <w:rPr>
          <w:rFonts w:ascii="Arial" w:hAnsi="Arial" w:cs="Arial"/>
          <w:b/>
        </w:rPr>
        <w:t>l subtypes and clinical behavio</w:t>
      </w:r>
      <w:r w:rsidR="00A67706" w:rsidRPr="00CC28B8">
        <w:rPr>
          <w:rFonts w:ascii="Arial" w:hAnsi="Arial" w:cs="Arial"/>
          <w:b/>
        </w:rPr>
        <w:t>r evaluation of salivary gland t</w:t>
      </w:r>
      <w:r w:rsidRPr="00CC28B8">
        <w:rPr>
          <w:rFonts w:ascii="Arial" w:hAnsi="Arial" w:cs="Arial"/>
          <w:b/>
        </w:rPr>
        <w:t xml:space="preserve">umors </w:t>
      </w:r>
    </w:p>
    <w:p w:rsidR="00EA6921" w:rsidRPr="00CC28B8" w:rsidRDefault="00507C6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Arial" w:hAnsi="Arial" w:cs="Arial"/>
          <w:b/>
        </w:rPr>
      </w:pPr>
      <w:r w:rsidRPr="00CC28B8">
        <w:rPr>
          <w:rFonts w:ascii="Arial" w:hAnsi="Arial" w:cs="Arial"/>
          <w:b/>
        </w:rPr>
        <w:t>ABSTRACT</w:t>
      </w:r>
    </w:p>
    <w:p w:rsidR="00A22046" w:rsidRPr="00CC28B8" w:rsidRDefault="00A2204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Introduction</w:t>
      </w:r>
    </w:p>
    <w:p w:rsidR="00A22046" w:rsidRPr="00CC28B8" w:rsidRDefault="00A2204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Salivary gland tumors</w:t>
      </w:r>
      <w:r w:rsidR="00371CAC" w:rsidRPr="00CC28B8">
        <w:rPr>
          <w:rFonts w:ascii="Arial" w:hAnsi="Arial" w:cs="Arial"/>
        </w:rPr>
        <w:t xml:space="preserve"> (SGT)</w:t>
      </w:r>
      <w:r w:rsidRPr="00CC28B8">
        <w:rPr>
          <w:rFonts w:ascii="Arial" w:hAnsi="Arial" w:cs="Arial"/>
        </w:rPr>
        <w:t xml:space="preserve"> include a wide spectrum of histological subtypes and clinical behavior, which we aim to evaluate.  </w:t>
      </w:r>
    </w:p>
    <w:p w:rsidR="00A22046" w:rsidRPr="00CC28B8" w:rsidRDefault="00A2204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p>
    <w:p w:rsidR="00A22046" w:rsidRPr="00CC28B8" w:rsidRDefault="00AC1A93"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Material and M</w:t>
      </w:r>
      <w:r w:rsidR="00A22046" w:rsidRPr="00CC28B8">
        <w:rPr>
          <w:rFonts w:ascii="Arial" w:hAnsi="Arial" w:cs="Arial"/>
        </w:rPr>
        <w:t>ethods</w:t>
      </w:r>
    </w:p>
    <w:p w:rsidR="004D4616" w:rsidRPr="00CC28B8" w:rsidRDefault="004D4616" w:rsidP="00D70CAB">
      <w:pPr>
        <w:autoSpaceDE w:val="0"/>
        <w:autoSpaceDN w:val="0"/>
        <w:adjustRightInd w:val="0"/>
        <w:spacing w:after="0" w:line="312" w:lineRule="auto"/>
        <w:jc w:val="both"/>
        <w:rPr>
          <w:rFonts w:ascii="Arial" w:hAnsi="Arial" w:cs="Arial"/>
        </w:rPr>
      </w:pPr>
      <w:r w:rsidRPr="00CC28B8">
        <w:rPr>
          <w:rFonts w:ascii="Arial" w:hAnsi="Arial" w:cs="Arial"/>
        </w:rPr>
        <w:t xml:space="preserve">We performed a retrospective study of all SGT diagnosed and treated at the Centro </w:t>
      </w:r>
      <w:proofErr w:type="spellStart"/>
      <w:r w:rsidRPr="00CC28B8">
        <w:rPr>
          <w:rFonts w:ascii="Arial" w:hAnsi="Arial" w:cs="Arial"/>
        </w:rPr>
        <w:t>Hospitalar</w:t>
      </w:r>
      <w:proofErr w:type="spellEnd"/>
      <w:r w:rsidRPr="00CC28B8">
        <w:rPr>
          <w:rFonts w:ascii="Arial" w:hAnsi="Arial" w:cs="Arial"/>
        </w:rPr>
        <w:t xml:space="preserve"> São </w:t>
      </w:r>
      <w:proofErr w:type="spellStart"/>
      <w:r w:rsidRPr="00CC28B8">
        <w:rPr>
          <w:rFonts w:ascii="Arial" w:hAnsi="Arial" w:cs="Arial"/>
        </w:rPr>
        <w:t>João</w:t>
      </w:r>
      <w:proofErr w:type="spellEnd"/>
      <w:r w:rsidRPr="00CC28B8">
        <w:rPr>
          <w:rFonts w:ascii="Arial" w:hAnsi="Arial" w:cs="Arial"/>
        </w:rPr>
        <w:t>, Porto, between 2005 and 2015. Histological re-evaluation was performed in all cases and patient files were reviewed and clinical data and follow-up was collected. Disease-free survival and overall survival were evaluated using Kaplan-Meier survival curves and compared using the Mantel-Cox log-rank test. The significance threshold was set at .05.</w:t>
      </w:r>
    </w:p>
    <w:p w:rsidR="00A22046" w:rsidRPr="00CC28B8" w:rsidRDefault="00A2204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p>
    <w:p w:rsidR="00A22046" w:rsidRPr="00CC28B8" w:rsidRDefault="00A2204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Results</w:t>
      </w:r>
    </w:p>
    <w:p w:rsidR="00D70CAB" w:rsidRPr="00CC28B8" w:rsidRDefault="00D70CAB" w:rsidP="00D70CAB">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We selected 295 cases, 150 males with a mean age at diagnosis of 50.4 (±16.4) years.</w:t>
      </w:r>
    </w:p>
    <w:p w:rsidR="00D70CAB" w:rsidRPr="00CC28B8" w:rsidRDefault="00D70CAB" w:rsidP="00D70CAB">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Primary benign epithelial tumors [n=228 (77.3%)] were mostly pleomorphic adenomas [n=148 (64.9%)] and Warthin tumors [n=61 (26.8%)].</w:t>
      </w:r>
    </w:p>
    <w:p w:rsidR="00D70CAB" w:rsidRPr="00CC28B8" w:rsidRDefault="00D70CAB" w:rsidP="00D70CAB">
      <w:pPr>
        <w:pStyle w:val="Default"/>
        <w:tabs>
          <w:tab w:val="left" w:pos="8505"/>
        </w:tabs>
        <w:spacing w:line="312" w:lineRule="auto"/>
        <w:jc w:val="both"/>
        <w:rPr>
          <w:rFonts w:ascii="Arial" w:hAnsi="Arial" w:cs="Arial"/>
          <w:color w:val="auto"/>
          <w:sz w:val="22"/>
          <w:szCs w:val="22"/>
          <w:lang w:eastAsia="pt-PT"/>
        </w:rPr>
      </w:pPr>
      <w:r w:rsidRPr="00CC28B8">
        <w:rPr>
          <w:rFonts w:ascii="Arial" w:hAnsi="Arial" w:cs="Arial"/>
          <w:color w:val="auto"/>
          <w:sz w:val="22"/>
          <w:szCs w:val="22"/>
          <w:lang w:eastAsia="pt-PT"/>
        </w:rPr>
        <w:t>Primary malignant epithelial tumors [n=43 (14.8%)] included mucoepidermoid [n=16 (37.2%)], adenoid cystic [n=6 (14.0%)] and acinic cell [n=5 (11.6%)] carcinomas; 32</w:t>
      </w:r>
      <w:r w:rsidRPr="00CC28B8">
        <w:rPr>
          <w:rFonts w:ascii="Arial" w:hAnsi="Arial" w:cs="Arial"/>
          <w:color w:val="auto"/>
          <w:sz w:val="22"/>
          <w:szCs w:val="22"/>
        </w:rPr>
        <w:t xml:space="preserve"> (74.4%) in parotid, 2 (4.6%) in submandibular and 9 (21%) in minor salivary glands. Primary epithelial tumors were more frequently malignant in minor (33.3%) than in major (13.9%) salivary glands. </w:t>
      </w:r>
      <w:r w:rsidRPr="00CC28B8">
        <w:rPr>
          <w:rFonts w:ascii="Arial" w:hAnsi="Arial" w:cs="Arial"/>
          <w:color w:val="auto"/>
          <w:sz w:val="22"/>
          <w:szCs w:val="22"/>
          <w:lang w:eastAsia="pt-PT"/>
        </w:rPr>
        <w:t xml:space="preserve">Local recurrence occurred in </w:t>
      </w:r>
      <w:r w:rsidRPr="00CC28B8">
        <w:rPr>
          <w:rFonts w:ascii="Arial" w:hAnsi="Arial" w:cs="Arial"/>
          <w:color w:val="auto"/>
          <w:sz w:val="22"/>
          <w:szCs w:val="22"/>
        </w:rPr>
        <w:t xml:space="preserve">30.2% </w:t>
      </w:r>
      <w:r w:rsidRPr="00CC28B8">
        <w:rPr>
          <w:rFonts w:ascii="Arial" w:hAnsi="Arial" w:cs="Arial"/>
          <w:color w:val="auto"/>
          <w:sz w:val="22"/>
          <w:szCs w:val="22"/>
          <w:lang w:eastAsia="pt-PT"/>
        </w:rPr>
        <w:t xml:space="preserve">and distant metastases in 25.6% tumors. The mean disease-free interval was 26 (±37.5) months; most metastases were in lung and central nervous system. The </w:t>
      </w:r>
      <w:r w:rsidRPr="00CC28B8">
        <w:rPr>
          <w:rFonts w:ascii="Arial" w:hAnsi="Arial" w:cs="Arial"/>
          <w:color w:val="auto"/>
          <w:sz w:val="22"/>
          <w:szCs w:val="22"/>
        </w:rPr>
        <w:t>5 and 10 year disease-free survival rates were 63.4% and 50.1%</w:t>
      </w:r>
      <w:r w:rsidR="00371CAC" w:rsidRPr="00CC28B8">
        <w:rPr>
          <w:rFonts w:ascii="Arial" w:hAnsi="Arial" w:cs="Arial"/>
          <w:color w:val="auto"/>
          <w:sz w:val="22"/>
          <w:szCs w:val="22"/>
        </w:rPr>
        <w:t>, respectively</w:t>
      </w:r>
      <w:r w:rsidRPr="00CC28B8">
        <w:rPr>
          <w:rFonts w:ascii="Arial" w:hAnsi="Arial" w:cs="Arial"/>
          <w:color w:val="auto"/>
          <w:sz w:val="22"/>
          <w:szCs w:val="22"/>
        </w:rPr>
        <w:t xml:space="preserve">; the 5 and 10 year disease-specific survival rates were 76.9% and 57.9%, respectively.  </w:t>
      </w:r>
    </w:p>
    <w:p w:rsidR="00D70CAB" w:rsidRPr="00CC28B8" w:rsidRDefault="00D70CAB" w:rsidP="00D70CAB">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 xml:space="preserve">Primary salivary tumors included also lymphomas [n=8 (2.7%)] and soft tissue tumors [n=5 (1.7%)]. Secondary tumors included metastases of carcinomas [n=7 (2.4%)] and involvement by lymphoma [n=1 (0.3%)]. </w:t>
      </w:r>
    </w:p>
    <w:p w:rsidR="00A22046" w:rsidRPr="00CC28B8" w:rsidRDefault="00A2204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p>
    <w:p w:rsidR="00A22046" w:rsidRPr="00CC28B8" w:rsidRDefault="00A22046" w:rsidP="00D70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rPr>
      </w:pPr>
      <w:r w:rsidRPr="00CC28B8">
        <w:rPr>
          <w:rFonts w:ascii="Arial" w:hAnsi="Arial" w:cs="Arial"/>
        </w:rPr>
        <w:t xml:space="preserve">Discussion </w:t>
      </w:r>
    </w:p>
    <w:p w:rsidR="00A22046" w:rsidRPr="00CC28B8" w:rsidRDefault="00A22046" w:rsidP="00D70CAB">
      <w:pPr>
        <w:pStyle w:val="HTMLPreformatted"/>
        <w:shd w:val="clear" w:color="auto" w:fill="FFFFFF"/>
        <w:spacing w:line="312" w:lineRule="auto"/>
        <w:jc w:val="both"/>
        <w:rPr>
          <w:rFonts w:ascii="Arial" w:hAnsi="Arial" w:cs="Arial"/>
          <w:sz w:val="22"/>
          <w:szCs w:val="22"/>
        </w:rPr>
      </w:pPr>
      <w:r w:rsidRPr="00CC28B8">
        <w:rPr>
          <w:rFonts w:ascii="Arial" w:hAnsi="Arial" w:cs="Arial"/>
          <w:sz w:val="22"/>
          <w:szCs w:val="22"/>
        </w:rPr>
        <w:t xml:space="preserve">Our results </w:t>
      </w:r>
      <w:r w:rsidR="00C24911" w:rsidRPr="00CC28B8">
        <w:rPr>
          <w:rFonts w:ascii="Arial" w:hAnsi="Arial" w:cs="Arial"/>
          <w:sz w:val="22"/>
          <w:szCs w:val="22"/>
        </w:rPr>
        <w:t>concerning</w:t>
      </w:r>
      <w:r w:rsidRPr="00CC28B8">
        <w:rPr>
          <w:rFonts w:ascii="Arial" w:hAnsi="Arial" w:cs="Arial"/>
          <w:sz w:val="22"/>
          <w:szCs w:val="22"/>
        </w:rPr>
        <w:t xml:space="preserve"> age, gender, histological </w:t>
      </w:r>
      <w:r w:rsidR="000361D8" w:rsidRPr="00CC28B8">
        <w:rPr>
          <w:rFonts w:ascii="Arial" w:hAnsi="Arial" w:cs="Arial"/>
          <w:sz w:val="22"/>
          <w:szCs w:val="22"/>
        </w:rPr>
        <w:t>sub</w:t>
      </w:r>
      <w:r w:rsidRPr="00CC28B8">
        <w:rPr>
          <w:rFonts w:ascii="Arial" w:hAnsi="Arial" w:cs="Arial"/>
          <w:sz w:val="22"/>
          <w:szCs w:val="22"/>
        </w:rPr>
        <w:t xml:space="preserve">type, frequency and clinical behavior of salivary tumors </w:t>
      </w:r>
      <w:r w:rsidR="00C24911" w:rsidRPr="00CC28B8">
        <w:rPr>
          <w:rFonts w:ascii="Arial" w:hAnsi="Arial" w:cs="Arial"/>
          <w:sz w:val="22"/>
          <w:szCs w:val="22"/>
        </w:rPr>
        <w:t xml:space="preserve">are in agreement with </w:t>
      </w:r>
      <w:r w:rsidRPr="00CC28B8">
        <w:rPr>
          <w:rFonts w:ascii="Arial" w:hAnsi="Arial" w:cs="Arial"/>
          <w:sz w:val="22"/>
          <w:szCs w:val="22"/>
        </w:rPr>
        <w:t xml:space="preserve">European </w:t>
      </w:r>
      <w:r w:rsidR="00C24911" w:rsidRPr="00CC28B8">
        <w:rPr>
          <w:rFonts w:ascii="Arial" w:hAnsi="Arial" w:cs="Arial"/>
          <w:sz w:val="22"/>
          <w:szCs w:val="22"/>
        </w:rPr>
        <w:t>studies</w:t>
      </w:r>
      <w:r w:rsidRPr="00CC28B8">
        <w:rPr>
          <w:rFonts w:ascii="Arial" w:hAnsi="Arial" w:cs="Arial"/>
          <w:sz w:val="22"/>
          <w:szCs w:val="22"/>
        </w:rPr>
        <w:t xml:space="preserve">. Divergence with </w:t>
      </w:r>
      <w:proofErr w:type="spellStart"/>
      <w:r w:rsidRPr="00CC28B8">
        <w:rPr>
          <w:rFonts w:ascii="Arial" w:hAnsi="Arial" w:cs="Arial"/>
          <w:sz w:val="22"/>
          <w:szCs w:val="22"/>
        </w:rPr>
        <w:t>portuguese</w:t>
      </w:r>
      <w:proofErr w:type="spellEnd"/>
      <w:r w:rsidRPr="00CC28B8">
        <w:rPr>
          <w:rFonts w:ascii="Arial" w:hAnsi="Arial" w:cs="Arial"/>
          <w:sz w:val="22"/>
          <w:szCs w:val="22"/>
        </w:rPr>
        <w:t xml:space="preserve"> </w:t>
      </w:r>
      <w:r w:rsidR="00C24911" w:rsidRPr="00CC28B8">
        <w:rPr>
          <w:rFonts w:ascii="Arial" w:hAnsi="Arial" w:cs="Arial"/>
          <w:sz w:val="22"/>
          <w:szCs w:val="22"/>
        </w:rPr>
        <w:t>studies</w:t>
      </w:r>
      <w:r w:rsidRPr="00CC28B8">
        <w:rPr>
          <w:rFonts w:ascii="Arial" w:hAnsi="Arial" w:cs="Arial"/>
          <w:sz w:val="22"/>
          <w:szCs w:val="22"/>
        </w:rPr>
        <w:t xml:space="preserve"> might</w:t>
      </w:r>
      <w:r w:rsidR="00C24911" w:rsidRPr="00CC28B8">
        <w:rPr>
          <w:rFonts w:ascii="Arial" w:hAnsi="Arial" w:cs="Arial"/>
          <w:sz w:val="22"/>
          <w:szCs w:val="22"/>
        </w:rPr>
        <w:t xml:space="preserve"> be</w:t>
      </w:r>
      <w:r w:rsidRPr="00CC28B8">
        <w:rPr>
          <w:rFonts w:ascii="Arial" w:hAnsi="Arial" w:cs="Arial"/>
          <w:sz w:val="22"/>
          <w:szCs w:val="22"/>
        </w:rPr>
        <w:t xml:space="preserve"> relate</w:t>
      </w:r>
      <w:r w:rsidR="00C24911" w:rsidRPr="00CC28B8">
        <w:rPr>
          <w:rFonts w:ascii="Arial" w:hAnsi="Arial" w:cs="Arial"/>
          <w:sz w:val="22"/>
          <w:szCs w:val="22"/>
        </w:rPr>
        <w:t>d</w:t>
      </w:r>
      <w:r w:rsidRPr="00CC28B8">
        <w:rPr>
          <w:rFonts w:ascii="Arial" w:hAnsi="Arial" w:cs="Arial"/>
          <w:sz w:val="22"/>
          <w:szCs w:val="22"/>
        </w:rPr>
        <w:t xml:space="preserve"> with </w:t>
      </w:r>
      <w:r w:rsidR="00C24911" w:rsidRPr="00CC28B8">
        <w:rPr>
          <w:rFonts w:ascii="Arial" w:hAnsi="Arial" w:cs="Arial"/>
          <w:sz w:val="22"/>
          <w:szCs w:val="22"/>
        </w:rPr>
        <w:t xml:space="preserve">the </w:t>
      </w:r>
      <w:r w:rsidRPr="00CC28B8">
        <w:rPr>
          <w:rFonts w:ascii="Arial" w:hAnsi="Arial" w:cs="Arial"/>
          <w:sz w:val="22"/>
          <w:szCs w:val="22"/>
        </w:rPr>
        <w:t xml:space="preserve">inclusion criteria, clinical referral and time lag variations. </w:t>
      </w:r>
    </w:p>
    <w:p w:rsidR="00A22046" w:rsidRPr="00CC28B8" w:rsidRDefault="00A22046" w:rsidP="00D70CAB">
      <w:pPr>
        <w:pStyle w:val="HTMLPreformatted"/>
        <w:shd w:val="clear" w:color="auto" w:fill="FFFFFF"/>
        <w:spacing w:line="312" w:lineRule="auto"/>
        <w:jc w:val="both"/>
        <w:rPr>
          <w:rFonts w:ascii="Arial" w:hAnsi="Arial" w:cs="Arial"/>
          <w:sz w:val="22"/>
          <w:szCs w:val="22"/>
        </w:rPr>
      </w:pPr>
    </w:p>
    <w:p w:rsidR="00A22046" w:rsidRPr="00CC28B8" w:rsidRDefault="00A22046" w:rsidP="00D70CAB">
      <w:pPr>
        <w:pStyle w:val="HTMLPreformatted"/>
        <w:shd w:val="clear" w:color="auto" w:fill="FFFFFF"/>
        <w:spacing w:line="312" w:lineRule="auto"/>
        <w:jc w:val="both"/>
        <w:rPr>
          <w:rFonts w:ascii="Arial" w:hAnsi="Arial" w:cs="Arial"/>
          <w:sz w:val="22"/>
          <w:szCs w:val="22"/>
        </w:rPr>
      </w:pPr>
      <w:r w:rsidRPr="00CC28B8">
        <w:rPr>
          <w:rFonts w:ascii="Arial" w:hAnsi="Arial" w:cs="Arial"/>
          <w:sz w:val="22"/>
          <w:szCs w:val="22"/>
        </w:rPr>
        <w:t>Conclusion</w:t>
      </w:r>
    </w:p>
    <w:p w:rsidR="00A22046" w:rsidRPr="00CC28B8" w:rsidRDefault="00A22046" w:rsidP="00D70CAB">
      <w:pPr>
        <w:pStyle w:val="HTMLPreformatted"/>
        <w:shd w:val="clear" w:color="auto" w:fill="FFFFFF"/>
        <w:spacing w:line="312" w:lineRule="auto"/>
        <w:jc w:val="both"/>
        <w:rPr>
          <w:rFonts w:ascii="Arial" w:hAnsi="Arial" w:cs="Arial"/>
          <w:sz w:val="22"/>
          <w:szCs w:val="22"/>
        </w:rPr>
      </w:pPr>
      <w:r w:rsidRPr="00CC28B8">
        <w:rPr>
          <w:rFonts w:ascii="Arial" w:hAnsi="Arial" w:cs="Arial"/>
          <w:sz w:val="22"/>
          <w:szCs w:val="22"/>
        </w:rPr>
        <w:t>Although uncommon, salivary gland tumors occur in a wide age range and include histological subtypes with diverse prognosis.</w:t>
      </w:r>
    </w:p>
    <w:p w:rsidR="005E0B38" w:rsidRPr="00CC28B8" w:rsidRDefault="005E0B38" w:rsidP="00D70CAB">
      <w:pPr>
        <w:autoSpaceDE w:val="0"/>
        <w:autoSpaceDN w:val="0"/>
        <w:adjustRightInd w:val="0"/>
        <w:spacing w:after="0" w:line="312" w:lineRule="auto"/>
        <w:rPr>
          <w:rFonts w:ascii="Arial" w:hAnsi="Arial" w:cs="Arial"/>
        </w:rPr>
      </w:pPr>
    </w:p>
    <w:p w:rsidR="004A6AE1" w:rsidRPr="00CC28B8" w:rsidRDefault="00DB0C29" w:rsidP="00D70CAB">
      <w:pPr>
        <w:autoSpaceDE w:val="0"/>
        <w:autoSpaceDN w:val="0"/>
        <w:adjustRightInd w:val="0"/>
        <w:spacing w:after="0" w:line="312" w:lineRule="auto"/>
        <w:rPr>
          <w:rFonts w:ascii="Arial" w:hAnsi="Arial" w:cs="Arial"/>
        </w:rPr>
      </w:pPr>
      <w:r w:rsidRPr="00CC28B8">
        <w:rPr>
          <w:rFonts w:ascii="Arial" w:hAnsi="Arial" w:cs="Arial"/>
        </w:rPr>
        <w:t xml:space="preserve">Key words: </w:t>
      </w:r>
      <w:r w:rsidR="000342FF" w:rsidRPr="00CC28B8">
        <w:rPr>
          <w:rFonts w:ascii="Arial" w:hAnsi="Arial" w:cs="Arial"/>
        </w:rPr>
        <w:t>Salivary gland neoplasm</w:t>
      </w:r>
      <w:r w:rsidRPr="00CC28B8">
        <w:rPr>
          <w:rFonts w:ascii="Arial" w:hAnsi="Arial" w:cs="Arial"/>
        </w:rPr>
        <w:t>;</w:t>
      </w:r>
      <w:r w:rsidR="00981893" w:rsidRPr="00CC28B8">
        <w:rPr>
          <w:rFonts w:ascii="Arial" w:hAnsi="Arial" w:cs="Arial"/>
        </w:rPr>
        <w:t xml:space="preserve"> Retrospective study</w:t>
      </w:r>
      <w:r w:rsidR="000342FF" w:rsidRPr="00CC28B8">
        <w:rPr>
          <w:rFonts w:ascii="Arial" w:hAnsi="Arial" w:cs="Arial"/>
        </w:rPr>
        <w:t>.</w:t>
      </w:r>
    </w:p>
    <w:p w:rsidR="007E2C98" w:rsidRPr="00CC28B8" w:rsidRDefault="00C21A45"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Arial" w:hAnsi="Arial" w:cs="Arial"/>
          <w:b/>
          <w:sz w:val="26"/>
          <w:szCs w:val="26"/>
          <w:lang w:val="pt-PT"/>
        </w:rPr>
      </w:pPr>
      <w:r w:rsidRPr="00CC28B8">
        <w:rPr>
          <w:b/>
          <w:sz w:val="26"/>
          <w:szCs w:val="26"/>
          <w:lang w:val="pt-PT"/>
        </w:rPr>
        <w:lastRenderedPageBreak/>
        <w:t>S</w:t>
      </w:r>
      <w:r w:rsidR="00DE3F6A" w:rsidRPr="00CC28B8">
        <w:rPr>
          <w:b/>
          <w:sz w:val="26"/>
          <w:szCs w:val="26"/>
          <w:lang w:val="pt-PT"/>
        </w:rPr>
        <w:t xml:space="preserve">ubtipos histológicos e </w:t>
      </w:r>
      <w:r w:rsidRPr="00CC28B8">
        <w:rPr>
          <w:b/>
          <w:sz w:val="26"/>
          <w:szCs w:val="26"/>
          <w:lang w:val="pt-PT"/>
        </w:rPr>
        <w:t xml:space="preserve">avaliação do </w:t>
      </w:r>
      <w:r w:rsidR="00DE3F6A" w:rsidRPr="00CC28B8">
        <w:rPr>
          <w:b/>
          <w:sz w:val="26"/>
          <w:szCs w:val="26"/>
          <w:lang w:val="pt-PT"/>
        </w:rPr>
        <w:t xml:space="preserve">comportamento clínico de tumores das glândulas salivares </w:t>
      </w:r>
    </w:p>
    <w:p w:rsidR="004A6AE1" w:rsidRPr="00CC28B8" w:rsidRDefault="00507C66" w:rsidP="00BF1E4D">
      <w:pPr>
        <w:spacing w:after="0" w:line="312" w:lineRule="auto"/>
        <w:jc w:val="center"/>
        <w:rPr>
          <w:rFonts w:ascii="Arial" w:hAnsi="Arial" w:cs="Arial"/>
          <w:lang w:val="pt-PT"/>
        </w:rPr>
      </w:pPr>
      <w:r w:rsidRPr="00CC28B8">
        <w:rPr>
          <w:rFonts w:ascii="Arial" w:hAnsi="Arial" w:cs="Arial"/>
          <w:b/>
          <w:lang w:val="pt-PT"/>
        </w:rPr>
        <w:t>RESUMO</w:t>
      </w:r>
      <w:r w:rsidR="002C5FC9" w:rsidRPr="00CC28B8">
        <w:rPr>
          <w:rFonts w:ascii="Arial" w:hAnsi="Arial" w:cs="Arial"/>
          <w:b/>
          <w:lang w:val="pt-PT"/>
        </w:rPr>
        <w:t xml:space="preserve"> </w:t>
      </w: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Introdução</w:t>
      </w: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Os tumores das glândulas salivares</w:t>
      </w:r>
      <w:r w:rsidR="00371CAC" w:rsidRPr="00CC28B8">
        <w:rPr>
          <w:rFonts w:ascii="Arial" w:hAnsi="Arial" w:cs="Arial"/>
          <w:lang w:val="pt-PT"/>
        </w:rPr>
        <w:t xml:space="preserve"> (TGS)</w:t>
      </w:r>
      <w:r w:rsidRPr="00CC28B8">
        <w:rPr>
          <w:rFonts w:ascii="Arial" w:hAnsi="Arial" w:cs="Arial"/>
          <w:lang w:val="pt-PT"/>
        </w:rPr>
        <w:t xml:space="preserve"> incluem um vasto espetro de subtipos histológicos e comportamento clínico que pretendemos avaliar.</w:t>
      </w: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sz w:val="16"/>
          <w:szCs w:val="16"/>
          <w:lang w:val="pt-PT"/>
        </w:rPr>
      </w:pP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Material e métodos</w:t>
      </w:r>
    </w:p>
    <w:p w:rsidR="00875ABA" w:rsidRPr="00CC28B8" w:rsidRDefault="00C21A45"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 xml:space="preserve">Realizou-se um estudo retrospetivo de todos os TGS diagnosticados e tratados no Centro Hospitalar São João, Porto, entre 2005 e 2011. Realizou-se reavaliação histológica de todos os casos. Os processos clínicos foram consultados e foram colhidos dados clínicos e de </w:t>
      </w:r>
      <w:r w:rsidRPr="00CC28B8">
        <w:rPr>
          <w:rFonts w:ascii="Arial" w:hAnsi="Arial" w:cs="Arial"/>
          <w:i/>
          <w:lang w:val="pt-PT"/>
        </w:rPr>
        <w:t>follow-up</w:t>
      </w:r>
      <w:r w:rsidRPr="00CC28B8">
        <w:rPr>
          <w:rFonts w:ascii="Arial" w:hAnsi="Arial" w:cs="Arial"/>
          <w:lang w:val="pt-PT"/>
        </w:rPr>
        <w:t>. A sobrevida livre de doença e a sobrevida global foram avaliadas usando as curvas de sobrevida de Kaplan-Meier e comparadas com o teste de log-rank Mantel-Cox. O limiar de significância foi estabelecido em 0,05.</w:t>
      </w:r>
    </w:p>
    <w:p w:rsidR="00C21A45" w:rsidRPr="00CC28B8" w:rsidRDefault="00C21A45"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sz w:val="16"/>
          <w:szCs w:val="16"/>
          <w:lang w:val="pt-PT"/>
        </w:rPr>
      </w:pP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Resultados</w:t>
      </w:r>
    </w:p>
    <w:p w:rsidR="00875ABA" w:rsidRPr="00CC28B8" w:rsidRDefault="00D90165"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Selecionaram</w:t>
      </w:r>
      <w:r w:rsidR="00875ABA" w:rsidRPr="00CC28B8">
        <w:rPr>
          <w:rFonts w:ascii="Arial" w:hAnsi="Arial" w:cs="Arial"/>
          <w:lang w:val="pt-PT"/>
        </w:rPr>
        <w:t>-se 295 casos, 150 no género masculino, com idade média de 50,4 anos.</w:t>
      </w: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N</w:t>
      </w:r>
      <w:r w:rsidR="00D70CAB" w:rsidRPr="00CC28B8">
        <w:rPr>
          <w:rFonts w:ascii="Arial" w:hAnsi="Arial" w:cs="Arial"/>
          <w:lang w:val="pt-PT"/>
        </w:rPr>
        <w:t>os tumores epiteliais benignos [n=228 (</w:t>
      </w:r>
      <w:r w:rsidRPr="00CC28B8">
        <w:rPr>
          <w:rFonts w:ascii="Arial" w:hAnsi="Arial" w:cs="Arial"/>
          <w:lang w:val="pt-PT"/>
        </w:rPr>
        <w:t>77,3%)</w:t>
      </w:r>
      <w:r w:rsidR="00D70CAB" w:rsidRPr="00CC28B8">
        <w:rPr>
          <w:rFonts w:ascii="Arial" w:hAnsi="Arial" w:cs="Arial"/>
          <w:lang w:val="pt-PT"/>
        </w:rPr>
        <w:t>]</w:t>
      </w:r>
      <w:r w:rsidRPr="00CC28B8">
        <w:rPr>
          <w:rFonts w:ascii="Arial" w:hAnsi="Arial" w:cs="Arial"/>
          <w:lang w:val="pt-PT"/>
        </w:rPr>
        <w:t xml:space="preserve"> </w:t>
      </w:r>
      <w:r w:rsidR="00D90165" w:rsidRPr="00CC28B8">
        <w:rPr>
          <w:rFonts w:ascii="Arial" w:hAnsi="Arial" w:cs="Arial"/>
          <w:lang w:val="pt-PT"/>
        </w:rPr>
        <w:t xml:space="preserve">predominaram os </w:t>
      </w:r>
      <w:r w:rsidRPr="00CC28B8">
        <w:rPr>
          <w:rFonts w:ascii="Arial" w:hAnsi="Arial" w:cs="Arial"/>
          <w:lang w:val="pt-PT"/>
        </w:rPr>
        <w:t xml:space="preserve">adenomas pleomórficos </w:t>
      </w:r>
      <w:r w:rsidR="00227926" w:rsidRPr="00CC28B8">
        <w:rPr>
          <w:rFonts w:ascii="Arial" w:hAnsi="Arial" w:cs="Arial"/>
          <w:lang w:val="pt-PT"/>
        </w:rPr>
        <w:t>[n=148 (64,</w:t>
      </w:r>
      <w:r w:rsidR="00D70CAB" w:rsidRPr="00CC28B8">
        <w:rPr>
          <w:rFonts w:ascii="Arial" w:hAnsi="Arial" w:cs="Arial"/>
          <w:lang w:val="pt-PT"/>
        </w:rPr>
        <w:t xml:space="preserve">9%)] </w:t>
      </w:r>
      <w:r w:rsidRPr="00CC28B8">
        <w:rPr>
          <w:rFonts w:ascii="Arial" w:hAnsi="Arial" w:cs="Arial"/>
          <w:lang w:val="pt-PT"/>
        </w:rPr>
        <w:t>e</w:t>
      </w:r>
      <w:r w:rsidR="00D90165" w:rsidRPr="00CC28B8">
        <w:rPr>
          <w:rFonts w:ascii="Arial" w:hAnsi="Arial" w:cs="Arial"/>
          <w:lang w:val="pt-PT"/>
        </w:rPr>
        <w:t xml:space="preserve"> os</w:t>
      </w:r>
      <w:r w:rsidRPr="00CC28B8">
        <w:rPr>
          <w:rFonts w:ascii="Arial" w:hAnsi="Arial" w:cs="Arial"/>
          <w:lang w:val="pt-PT"/>
        </w:rPr>
        <w:t xml:space="preserve"> tumores de Warthin </w:t>
      </w:r>
      <w:r w:rsidR="00227926" w:rsidRPr="00CC28B8">
        <w:rPr>
          <w:rFonts w:ascii="Arial" w:hAnsi="Arial" w:cs="Arial"/>
          <w:lang w:val="pt-PT"/>
        </w:rPr>
        <w:t>[n=61 (26,</w:t>
      </w:r>
      <w:r w:rsidR="00D70CAB" w:rsidRPr="00CC28B8">
        <w:rPr>
          <w:rFonts w:ascii="Arial" w:hAnsi="Arial" w:cs="Arial"/>
          <w:lang w:val="pt-PT"/>
        </w:rPr>
        <w:t>8%)].</w:t>
      </w:r>
    </w:p>
    <w:p w:rsidR="00875ABA" w:rsidRPr="00CC28B8" w:rsidRDefault="00875ABA" w:rsidP="00BF1E4D">
      <w:pPr>
        <w:pStyle w:val="Default"/>
        <w:spacing w:line="312" w:lineRule="auto"/>
        <w:jc w:val="both"/>
        <w:rPr>
          <w:rFonts w:ascii="Arial" w:hAnsi="Arial" w:cs="Arial"/>
          <w:color w:val="auto"/>
          <w:sz w:val="22"/>
          <w:szCs w:val="22"/>
          <w:lang w:val="pt-PT" w:eastAsia="pt-PT"/>
        </w:rPr>
      </w:pPr>
      <w:r w:rsidRPr="00CC28B8">
        <w:rPr>
          <w:rFonts w:ascii="Arial" w:hAnsi="Arial" w:cs="Arial"/>
          <w:color w:val="auto"/>
          <w:sz w:val="22"/>
          <w:szCs w:val="22"/>
          <w:lang w:val="pt-PT" w:eastAsia="pt-PT"/>
        </w:rPr>
        <w:t>Os tumores</w:t>
      </w:r>
      <w:r w:rsidR="00D70CAB" w:rsidRPr="00CC28B8">
        <w:rPr>
          <w:rFonts w:ascii="Arial" w:hAnsi="Arial" w:cs="Arial"/>
          <w:color w:val="auto"/>
          <w:sz w:val="22"/>
          <w:szCs w:val="22"/>
          <w:lang w:val="pt-PT" w:eastAsia="pt-PT"/>
        </w:rPr>
        <w:t xml:space="preserve"> epitelia</w:t>
      </w:r>
      <w:r w:rsidR="00227926" w:rsidRPr="00CC28B8">
        <w:rPr>
          <w:rFonts w:ascii="Arial" w:hAnsi="Arial" w:cs="Arial"/>
          <w:color w:val="auto"/>
          <w:sz w:val="22"/>
          <w:szCs w:val="22"/>
          <w:lang w:val="pt-PT" w:eastAsia="pt-PT"/>
        </w:rPr>
        <w:t>is malignos primários [n=43 (14,</w:t>
      </w:r>
      <w:r w:rsidR="00D70CAB" w:rsidRPr="00CC28B8">
        <w:rPr>
          <w:rFonts w:ascii="Arial" w:hAnsi="Arial" w:cs="Arial"/>
          <w:color w:val="auto"/>
          <w:sz w:val="22"/>
          <w:szCs w:val="22"/>
          <w:lang w:val="pt-PT" w:eastAsia="pt-PT"/>
        </w:rPr>
        <w:t xml:space="preserve">8%)] </w:t>
      </w:r>
      <w:r w:rsidRPr="00CC28B8">
        <w:rPr>
          <w:rFonts w:ascii="Arial" w:hAnsi="Arial" w:cs="Arial"/>
          <w:color w:val="auto"/>
          <w:sz w:val="22"/>
          <w:szCs w:val="22"/>
          <w:lang w:val="pt-PT" w:eastAsia="pt-PT"/>
        </w:rPr>
        <w:t xml:space="preserve">incluíram carcinomas mucoepidermoides </w:t>
      </w:r>
      <w:r w:rsidR="00227926" w:rsidRPr="00CC28B8">
        <w:rPr>
          <w:rFonts w:ascii="Arial" w:hAnsi="Arial" w:cs="Arial"/>
          <w:color w:val="auto"/>
          <w:sz w:val="22"/>
          <w:szCs w:val="22"/>
          <w:lang w:val="pt-PT" w:eastAsia="pt-PT"/>
        </w:rPr>
        <w:t>[n=16 (37,</w:t>
      </w:r>
      <w:r w:rsidR="00D70CAB" w:rsidRPr="00CC28B8">
        <w:rPr>
          <w:rFonts w:ascii="Arial" w:hAnsi="Arial" w:cs="Arial"/>
          <w:color w:val="auto"/>
          <w:sz w:val="22"/>
          <w:szCs w:val="22"/>
          <w:lang w:val="pt-PT" w:eastAsia="pt-PT"/>
        </w:rPr>
        <w:t>2%)]</w:t>
      </w:r>
      <w:r w:rsidRPr="00CC28B8">
        <w:rPr>
          <w:rFonts w:ascii="Arial" w:hAnsi="Arial" w:cs="Arial"/>
          <w:color w:val="auto"/>
          <w:sz w:val="22"/>
          <w:szCs w:val="22"/>
          <w:lang w:val="pt-PT" w:eastAsia="pt-PT"/>
        </w:rPr>
        <w:t xml:space="preserve">, adenoide-císticos </w:t>
      </w:r>
      <w:r w:rsidR="00227926" w:rsidRPr="00CC28B8">
        <w:rPr>
          <w:rFonts w:ascii="Arial" w:hAnsi="Arial" w:cs="Arial"/>
          <w:color w:val="auto"/>
          <w:sz w:val="22"/>
          <w:szCs w:val="22"/>
          <w:lang w:val="pt-PT" w:eastAsia="pt-PT"/>
        </w:rPr>
        <w:t>[n=6 (14,</w:t>
      </w:r>
      <w:r w:rsidR="00D70CAB" w:rsidRPr="00CC28B8">
        <w:rPr>
          <w:rFonts w:ascii="Arial" w:hAnsi="Arial" w:cs="Arial"/>
          <w:color w:val="auto"/>
          <w:sz w:val="22"/>
          <w:szCs w:val="22"/>
          <w:lang w:val="pt-PT" w:eastAsia="pt-PT"/>
        </w:rPr>
        <w:t xml:space="preserve">0%)] </w:t>
      </w:r>
      <w:r w:rsidRPr="00CC28B8">
        <w:rPr>
          <w:rFonts w:ascii="Arial" w:hAnsi="Arial" w:cs="Arial"/>
          <w:color w:val="auto"/>
          <w:sz w:val="22"/>
          <w:szCs w:val="22"/>
          <w:lang w:val="pt-PT" w:eastAsia="pt-PT"/>
        </w:rPr>
        <w:t xml:space="preserve">e de células acinares </w:t>
      </w:r>
      <w:r w:rsidR="00227926" w:rsidRPr="00CC28B8">
        <w:rPr>
          <w:rFonts w:ascii="Arial" w:hAnsi="Arial" w:cs="Arial"/>
          <w:color w:val="auto"/>
          <w:sz w:val="22"/>
          <w:szCs w:val="22"/>
          <w:lang w:val="pt-PT" w:eastAsia="pt-PT"/>
        </w:rPr>
        <w:t>[n=5 (11,</w:t>
      </w:r>
      <w:r w:rsidR="00D70CAB" w:rsidRPr="00CC28B8">
        <w:rPr>
          <w:rFonts w:ascii="Arial" w:hAnsi="Arial" w:cs="Arial"/>
          <w:color w:val="auto"/>
          <w:sz w:val="22"/>
          <w:szCs w:val="22"/>
          <w:lang w:val="pt-PT" w:eastAsia="pt-PT"/>
        </w:rPr>
        <w:t>6%)];</w:t>
      </w:r>
      <w:r w:rsidRPr="00CC28B8">
        <w:rPr>
          <w:rFonts w:ascii="Arial" w:hAnsi="Arial" w:cs="Arial"/>
          <w:color w:val="auto"/>
          <w:sz w:val="22"/>
          <w:szCs w:val="22"/>
          <w:lang w:val="pt-PT"/>
        </w:rPr>
        <w:t xml:space="preserve"> </w:t>
      </w:r>
      <w:r w:rsidR="00227926" w:rsidRPr="00CC28B8">
        <w:rPr>
          <w:rFonts w:ascii="Arial" w:hAnsi="Arial" w:cs="Arial"/>
          <w:color w:val="auto"/>
          <w:sz w:val="22"/>
          <w:szCs w:val="22"/>
          <w:lang w:val="pt-PT"/>
        </w:rPr>
        <w:t>32 (74,</w:t>
      </w:r>
      <w:r w:rsidR="00D70CAB" w:rsidRPr="00CC28B8">
        <w:rPr>
          <w:rFonts w:ascii="Arial" w:hAnsi="Arial" w:cs="Arial"/>
          <w:color w:val="auto"/>
          <w:sz w:val="22"/>
          <w:szCs w:val="22"/>
          <w:lang w:val="pt-PT"/>
        </w:rPr>
        <w:t xml:space="preserve">4%) </w:t>
      </w:r>
      <w:r w:rsidRPr="00CC28B8">
        <w:rPr>
          <w:rFonts w:ascii="Arial" w:hAnsi="Arial" w:cs="Arial"/>
          <w:color w:val="auto"/>
          <w:sz w:val="22"/>
          <w:szCs w:val="22"/>
          <w:lang w:val="pt-PT"/>
        </w:rPr>
        <w:t xml:space="preserve">localizaram-se na parótida, </w:t>
      </w:r>
      <w:r w:rsidR="00227926" w:rsidRPr="00CC28B8">
        <w:rPr>
          <w:rFonts w:ascii="Arial" w:hAnsi="Arial" w:cs="Arial"/>
          <w:color w:val="auto"/>
          <w:sz w:val="22"/>
          <w:szCs w:val="22"/>
          <w:lang w:val="pt-PT"/>
        </w:rPr>
        <w:t>2 (4,</w:t>
      </w:r>
      <w:r w:rsidR="00D70CAB" w:rsidRPr="00CC28B8">
        <w:rPr>
          <w:rFonts w:ascii="Arial" w:hAnsi="Arial" w:cs="Arial"/>
          <w:color w:val="auto"/>
          <w:sz w:val="22"/>
          <w:szCs w:val="22"/>
          <w:lang w:val="pt-PT"/>
        </w:rPr>
        <w:t xml:space="preserve">6%) na </w:t>
      </w:r>
      <w:r w:rsidRPr="00CC28B8">
        <w:rPr>
          <w:rFonts w:ascii="Arial" w:hAnsi="Arial" w:cs="Arial"/>
          <w:color w:val="auto"/>
          <w:sz w:val="22"/>
          <w:szCs w:val="22"/>
          <w:lang w:val="pt-PT"/>
        </w:rPr>
        <w:t xml:space="preserve">submandibular e </w:t>
      </w:r>
      <w:r w:rsidR="00D70CAB" w:rsidRPr="00CC28B8">
        <w:rPr>
          <w:rFonts w:ascii="Arial" w:hAnsi="Arial" w:cs="Arial"/>
          <w:color w:val="auto"/>
          <w:sz w:val="22"/>
          <w:szCs w:val="22"/>
          <w:lang w:val="pt-PT"/>
        </w:rPr>
        <w:t xml:space="preserve">9 (21%) </w:t>
      </w:r>
      <w:r w:rsidRPr="00CC28B8">
        <w:rPr>
          <w:rFonts w:ascii="Arial" w:hAnsi="Arial" w:cs="Arial"/>
          <w:color w:val="auto"/>
          <w:sz w:val="22"/>
          <w:szCs w:val="22"/>
          <w:lang w:val="pt-PT"/>
        </w:rPr>
        <w:t xml:space="preserve">nas glândulas salivares </w:t>
      </w:r>
      <w:r w:rsidRPr="00CC28B8">
        <w:rPr>
          <w:rFonts w:ascii="Arial" w:hAnsi="Arial" w:cs="Arial"/>
          <w:i/>
          <w:color w:val="auto"/>
          <w:sz w:val="22"/>
          <w:szCs w:val="22"/>
          <w:lang w:val="pt-PT"/>
        </w:rPr>
        <w:t>minor</w:t>
      </w:r>
      <w:r w:rsidRPr="00CC28B8">
        <w:rPr>
          <w:rFonts w:ascii="Arial" w:hAnsi="Arial" w:cs="Arial"/>
          <w:color w:val="auto"/>
          <w:sz w:val="22"/>
          <w:szCs w:val="22"/>
          <w:lang w:val="pt-PT"/>
        </w:rPr>
        <w:t>. Os tumores epiteliais primários foram mais</w:t>
      </w:r>
      <w:r w:rsidR="00C21A45" w:rsidRPr="00CC28B8">
        <w:rPr>
          <w:rFonts w:ascii="Arial" w:hAnsi="Arial" w:cs="Arial"/>
          <w:color w:val="auto"/>
          <w:sz w:val="22"/>
          <w:szCs w:val="22"/>
          <w:lang w:val="pt-PT"/>
        </w:rPr>
        <w:t xml:space="preserve"> frequentemente malignos nas glâ</w:t>
      </w:r>
      <w:r w:rsidRPr="00CC28B8">
        <w:rPr>
          <w:rFonts w:ascii="Arial" w:hAnsi="Arial" w:cs="Arial"/>
          <w:color w:val="auto"/>
          <w:sz w:val="22"/>
          <w:szCs w:val="22"/>
          <w:lang w:val="pt-PT"/>
        </w:rPr>
        <w:t xml:space="preserve">ndulas salivares </w:t>
      </w:r>
      <w:r w:rsidRPr="00CC28B8">
        <w:rPr>
          <w:rFonts w:ascii="Arial" w:hAnsi="Arial" w:cs="Arial"/>
          <w:i/>
          <w:color w:val="auto"/>
          <w:sz w:val="22"/>
          <w:szCs w:val="22"/>
          <w:lang w:val="pt-PT"/>
        </w:rPr>
        <w:t>minor</w:t>
      </w:r>
      <w:r w:rsidRPr="00CC28B8">
        <w:rPr>
          <w:rFonts w:ascii="Arial" w:hAnsi="Arial" w:cs="Arial"/>
          <w:color w:val="auto"/>
          <w:sz w:val="22"/>
          <w:szCs w:val="22"/>
          <w:lang w:val="pt-PT"/>
        </w:rPr>
        <w:t xml:space="preserve"> (33,3%) do que nas</w:t>
      </w:r>
      <w:r w:rsidR="00D10062" w:rsidRPr="00CC28B8">
        <w:rPr>
          <w:rFonts w:ascii="Arial" w:hAnsi="Arial" w:cs="Arial"/>
          <w:color w:val="auto"/>
          <w:sz w:val="22"/>
          <w:szCs w:val="22"/>
          <w:lang w:val="pt-PT"/>
        </w:rPr>
        <w:t xml:space="preserve"> </w:t>
      </w:r>
      <w:r w:rsidRPr="00CC28B8">
        <w:rPr>
          <w:rFonts w:ascii="Arial" w:hAnsi="Arial" w:cs="Arial"/>
          <w:i/>
          <w:color w:val="auto"/>
          <w:sz w:val="22"/>
          <w:szCs w:val="22"/>
          <w:lang w:val="pt-PT"/>
        </w:rPr>
        <w:t>major</w:t>
      </w:r>
      <w:r w:rsidRPr="00CC28B8">
        <w:rPr>
          <w:rFonts w:ascii="Arial" w:hAnsi="Arial" w:cs="Arial"/>
          <w:color w:val="auto"/>
          <w:sz w:val="22"/>
          <w:szCs w:val="22"/>
          <w:lang w:val="pt-PT"/>
        </w:rPr>
        <w:t xml:space="preserve"> (13,9%). Observou-se recidiva local em </w:t>
      </w:r>
      <w:r w:rsidR="00227926" w:rsidRPr="00CC28B8">
        <w:rPr>
          <w:rFonts w:ascii="Arial" w:hAnsi="Arial" w:cs="Arial"/>
          <w:color w:val="auto"/>
          <w:sz w:val="22"/>
          <w:szCs w:val="22"/>
          <w:lang w:val="pt-PT" w:eastAsia="pt-PT"/>
        </w:rPr>
        <w:t>30,</w:t>
      </w:r>
      <w:r w:rsidRPr="00CC28B8">
        <w:rPr>
          <w:rFonts w:ascii="Arial" w:hAnsi="Arial" w:cs="Arial"/>
          <w:color w:val="auto"/>
          <w:sz w:val="22"/>
          <w:szCs w:val="22"/>
          <w:lang w:val="pt-PT" w:eastAsia="pt-PT"/>
        </w:rPr>
        <w:t>3%</w:t>
      </w:r>
      <w:r w:rsidRPr="00CC28B8">
        <w:rPr>
          <w:rFonts w:ascii="Arial" w:hAnsi="Arial" w:cs="Arial"/>
          <w:color w:val="auto"/>
          <w:sz w:val="22"/>
          <w:szCs w:val="22"/>
          <w:lang w:val="pt-PT"/>
        </w:rPr>
        <w:t xml:space="preserve"> </w:t>
      </w:r>
      <w:r w:rsidRPr="00CC28B8">
        <w:rPr>
          <w:rFonts w:ascii="Arial" w:hAnsi="Arial" w:cs="Arial"/>
          <w:color w:val="auto"/>
          <w:sz w:val="22"/>
          <w:szCs w:val="22"/>
          <w:lang w:val="pt-PT" w:eastAsia="pt-PT"/>
        </w:rPr>
        <w:t xml:space="preserve">e metástases em 25,6%. O intervalo médio livre de doença foi 26 meses. As metástases mais frequentes ocorreram no pulmão e </w:t>
      </w:r>
      <w:r w:rsidR="00D90165" w:rsidRPr="00CC28B8">
        <w:rPr>
          <w:rFonts w:ascii="Arial" w:hAnsi="Arial" w:cs="Arial"/>
          <w:color w:val="auto"/>
          <w:sz w:val="22"/>
          <w:szCs w:val="22"/>
          <w:lang w:val="pt-PT" w:eastAsia="pt-PT"/>
        </w:rPr>
        <w:t xml:space="preserve">no </w:t>
      </w:r>
      <w:r w:rsidRPr="00CC28B8">
        <w:rPr>
          <w:rFonts w:ascii="Arial" w:hAnsi="Arial" w:cs="Arial"/>
          <w:color w:val="auto"/>
          <w:sz w:val="22"/>
          <w:szCs w:val="22"/>
          <w:lang w:val="pt-PT" w:eastAsia="pt-PT"/>
        </w:rPr>
        <w:t>sistema nervoso central. A taxa de sobrevida livre de doença aos 5 e 10 anos foi 63,4% e 50,1%</w:t>
      </w:r>
      <w:r w:rsidR="00371CAC" w:rsidRPr="00CC28B8">
        <w:rPr>
          <w:rFonts w:ascii="Arial" w:hAnsi="Arial" w:cs="Arial"/>
          <w:color w:val="auto"/>
          <w:sz w:val="22"/>
          <w:szCs w:val="22"/>
          <w:lang w:val="pt-PT" w:eastAsia="pt-PT"/>
        </w:rPr>
        <w:t>, respetivamente</w:t>
      </w:r>
      <w:r w:rsidRPr="00CC28B8">
        <w:rPr>
          <w:rFonts w:ascii="Arial" w:hAnsi="Arial" w:cs="Arial"/>
          <w:color w:val="auto"/>
          <w:sz w:val="22"/>
          <w:szCs w:val="22"/>
          <w:lang w:val="pt-PT" w:eastAsia="pt-PT"/>
        </w:rPr>
        <w:t xml:space="preserve">; a sobrevida aos </w:t>
      </w:r>
      <w:r w:rsidR="00227926" w:rsidRPr="00CC28B8">
        <w:rPr>
          <w:rFonts w:ascii="Arial" w:hAnsi="Arial" w:cs="Arial"/>
          <w:color w:val="auto"/>
          <w:sz w:val="22"/>
          <w:szCs w:val="22"/>
          <w:lang w:val="pt-PT"/>
        </w:rPr>
        <w:t>5 e 10 anos foi 76,9% e 57,</w:t>
      </w:r>
      <w:r w:rsidRPr="00CC28B8">
        <w:rPr>
          <w:rFonts w:ascii="Arial" w:hAnsi="Arial" w:cs="Arial"/>
          <w:color w:val="auto"/>
          <w:sz w:val="22"/>
          <w:szCs w:val="22"/>
          <w:lang w:val="pt-PT"/>
        </w:rPr>
        <w:t xml:space="preserve">9%, respetivamente. </w:t>
      </w: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 xml:space="preserve">Nos tumores primários identificaram-se também linfomas </w:t>
      </w:r>
      <w:r w:rsidR="00227926" w:rsidRPr="00CC28B8">
        <w:rPr>
          <w:rFonts w:ascii="Arial" w:hAnsi="Arial" w:cs="Arial"/>
          <w:lang w:val="pt-PT"/>
        </w:rPr>
        <w:t>[n=8 (2,</w:t>
      </w:r>
      <w:r w:rsidR="00D70CAB" w:rsidRPr="00CC28B8">
        <w:rPr>
          <w:rFonts w:ascii="Arial" w:hAnsi="Arial" w:cs="Arial"/>
          <w:lang w:val="pt-PT"/>
        </w:rPr>
        <w:t xml:space="preserve">7%)] </w:t>
      </w:r>
      <w:r w:rsidRPr="00CC28B8">
        <w:rPr>
          <w:rFonts w:ascii="Arial" w:hAnsi="Arial" w:cs="Arial"/>
          <w:lang w:val="pt-PT"/>
        </w:rPr>
        <w:t xml:space="preserve">e tumores mesenquimatosos </w:t>
      </w:r>
      <w:r w:rsidR="00227926" w:rsidRPr="00CC28B8">
        <w:rPr>
          <w:rFonts w:ascii="Arial" w:hAnsi="Arial" w:cs="Arial"/>
          <w:lang w:val="pt-PT"/>
        </w:rPr>
        <w:t>[n=5 (1,</w:t>
      </w:r>
      <w:r w:rsidR="00D70CAB" w:rsidRPr="00CC28B8">
        <w:rPr>
          <w:rFonts w:ascii="Arial" w:hAnsi="Arial" w:cs="Arial"/>
          <w:lang w:val="pt-PT"/>
        </w:rPr>
        <w:t>7%)]</w:t>
      </w:r>
      <w:r w:rsidRPr="00CC28B8">
        <w:rPr>
          <w:rFonts w:ascii="Arial" w:hAnsi="Arial" w:cs="Arial"/>
          <w:lang w:val="pt-PT"/>
        </w:rPr>
        <w:t xml:space="preserve">; nos tumores secundários identificaram-se metástases de carcinoma </w:t>
      </w:r>
      <w:r w:rsidR="00227926" w:rsidRPr="00CC28B8">
        <w:rPr>
          <w:rFonts w:ascii="Arial" w:hAnsi="Arial" w:cs="Arial"/>
          <w:lang w:val="pt-PT"/>
        </w:rPr>
        <w:t>[n=7 (2,</w:t>
      </w:r>
      <w:r w:rsidR="00D70CAB" w:rsidRPr="00CC28B8">
        <w:rPr>
          <w:rFonts w:ascii="Arial" w:hAnsi="Arial" w:cs="Arial"/>
          <w:lang w:val="pt-PT"/>
        </w:rPr>
        <w:t xml:space="preserve">4%)] </w:t>
      </w:r>
      <w:r w:rsidRPr="00CC28B8">
        <w:rPr>
          <w:rFonts w:ascii="Arial" w:hAnsi="Arial" w:cs="Arial"/>
          <w:lang w:val="pt-PT"/>
        </w:rPr>
        <w:t xml:space="preserve">e envolvimento por linfoma </w:t>
      </w:r>
      <w:r w:rsidR="00227926" w:rsidRPr="00CC28B8">
        <w:rPr>
          <w:rFonts w:ascii="Arial" w:hAnsi="Arial" w:cs="Arial"/>
          <w:lang w:val="pt-PT"/>
        </w:rPr>
        <w:t>[n=1 (0,</w:t>
      </w:r>
      <w:r w:rsidR="00D70CAB" w:rsidRPr="00CC28B8">
        <w:rPr>
          <w:rFonts w:ascii="Arial" w:hAnsi="Arial" w:cs="Arial"/>
          <w:lang w:val="pt-PT"/>
        </w:rPr>
        <w:t>3%)]</w:t>
      </w:r>
      <w:r w:rsidRPr="00CC28B8">
        <w:rPr>
          <w:rFonts w:ascii="Arial" w:hAnsi="Arial" w:cs="Arial"/>
          <w:lang w:val="pt-PT"/>
        </w:rPr>
        <w:t>.</w:t>
      </w: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sz w:val="16"/>
          <w:szCs w:val="16"/>
          <w:lang w:val="pt-PT"/>
        </w:rPr>
      </w:pPr>
    </w:p>
    <w:p w:rsidR="00875ABA" w:rsidRPr="00CC28B8" w:rsidRDefault="00875ABA" w:rsidP="00BF1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lang w:val="pt-PT"/>
        </w:rPr>
      </w:pPr>
      <w:r w:rsidRPr="00CC28B8">
        <w:rPr>
          <w:rFonts w:ascii="Arial" w:hAnsi="Arial" w:cs="Arial"/>
          <w:lang w:val="pt-PT"/>
        </w:rPr>
        <w:t>Discussão</w:t>
      </w:r>
    </w:p>
    <w:p w:rsidR="00875ABA" w:rsidRPr="00CC28B8" w:rsidRDefault="00875ABA" w:rsidP="00BF1E4D">
      <w:pPr>
        <w:pStyle w:val="HTMLPreformatted"/>
        <w:shd w:val="clear" w:color="auto" w:fill="FFFFFF"/>
        <w:spacing w:line="312" w:lineRule="auto"/>
        <w:jc w:val="both"/>
        <w:rPr>
          <w:rFonts w:ascii="Arial" w:hAnsi="Arial" w:cs="Arial"/>
          <w:sz w:val="22"/>
          <w:szCs w:val="22"/>
          <w:lang w:val="pt-PT"/>
        </w:rPr>
      </w:pPr>
      <w:r w:rsidRPr="00CC28B8">
        <w:rPr>
          <w:rFonts w:ascii="Arial" w:hAnsi="Arial" w:cs="Arial"/>
          <w:sz w:val="22"/>
          <w:szCs w:val="22"/>
          <w:lang w:val="pt-PT"/>
        </w:rPr>
        <w:t>Estes resultados assemelham-se aos da literatura europeia, designadamente quanto à idade, género, subtipo histológico e comportamento clínico.</w:t>
      </w:r>
      <w:r w:rsidR="00D90165" w:rsidRPr="00CC28B8">
        <w:rPr>
          <w:rFonts w:ascii="Arial" w:hAnsi="Arial" w:cs="Arial"/>
          <w:sz w:val="22"/>
          <w:szCs w:val="22"/>
          <w:lang w:val="pt-PT"/>
        </w:rPr>
        <w:t xml:space="preserve"> As</w:t>
      </w:r>
      <w:r w:rsidRPr="00CC28B8">
        <w:rPr>
          <w:rFonts w:ascii="Arial" w:hAnsi="Arial" w:cs="Arial"/>
          <w:sz w:val="22"/>
          <w:szCs w:val="22"/>
          <w:lang w:val="pt-PT"/>
        </w:rPr>
        <w:t xml:space="preserve"> </w:t>
      </w:r>
      <w:r w:rsidR="00D90165" w:rsidRPr="00CC28B8">
        <w:rPr>
          <w:rFonts w:ascii="Arial" w:hAnsi="Arial" w:cs="Arial"/>
          <w:sz w:val="22"/>
          <w:szCs w:val="22"/>
          <w:lang w:val="pt-PT"/>
        </w:rPr>
        <w:t>d</w:t>
      </w:r>
      <w:r w:rsidRPr="00CC28B8">
        <w:rPr>
          <w:rFonts w:ascii="Arial" w:hAnsi="Arial" w:cs="Arial"/>
          <w:sz w:val="22"/>
          <w:szCs w:val="22"/>
          <w:lang w:val="pt-PT"/>
        </w:rPr>
        <w:t>ivergências com séries portuguesas podem relacionar-se com critérios de inclusão, enviesamentos de referenciação clínica e período dos estudo</w:t>
      </w:r>
      <w:r w:rsidR="00A174B2" w:rsidRPr="00CC28B8">
        <w:rPr>
          <w:rFonts w:ascii="Arial" w:hAnsi="Arial" w:cs="Arial"/>
          <w:sz w:val="22"/>
          <w:szCs w:val="22"/>
          <w:lang w:val="pt-PT"/>
        </w:rPr>
        <w:t>s</w:t>
      </w:r>
      <w:r w:rsidRPr="00CC28B8">
        <w:rPr>
          <w:rFonts w:ascii="Arial" w:hAnsi="Arial" w:cs="Arial"/>
          <w:sz w:val="22"/>
          <w:szCs w:val="22"/>
          <w:lang w:val="pt-PT"/>
        </w:rPr>
        <w:t xml:space="preserve">. </w:t>
      </w:r>
    </w:p>
    <w:p w:rsidR="00875ABA" w:rsidRPr="00CC28B8" w:rsidRDefault="00875ABA" w:rsidP="00BF1E4D">
      <w:pPr>
        <w:pStyle w:val="HTMLPreformatted"/>
        <w:shd w:val="clear" w:color="auto" w:fill="FFFFFF"/>
        <w:spacing w:line="312" w:lineRule="auto"/>
        <w:jc w:val="both"/>
        <w:rPr>
          <w:rFonts w:ascii="Arial" w:hAnsi="Arial" w:cs="Arial"/>
          <w:sz w:val="16"/>
          <w:szCs w:val="16"/>
          <w:lang w:val="pt-PT"/>
        </w:rPr>
      </w:pPr>
    </w:p>
    <w:p w:rsidR="00875ABA" w:rsidRPr="00CC28B8" w:rsidRDefault="00875ABA" w:rsidP="00BF1E4D">
      <w:pPr>
        <w:pStyle w:val="HTMLPreformatted"/>
        <w:shd w:val="clear" w:color="auto" w:fill="FFFFFF"/>
        <w:spacing w:line="312" w:lineRule="auto"/>
        <w:jc w:val="both"/>
        <w:rPr>
          <w:rFonts w:ascii="Arial" w:hAnsi="Arial" w:cs="Arial"/>
          <w:sz w:val="22"/>
          <w:szCs w:val="22"/>
          <w:lang w:val="pt-PT"/>
        </w:rPr>
      </w:pPr>
      <w:r w:rsidRPr="00CC28B8">
        <w:rPr>
          <w:rFonts w:ascii="Arial" w:hAnsi="Arial" w:cs="Arial"/>
          <w:sz w:val="22"/>
          <w:szCs w:val="22"/>
          <w:lang w:val="pt-PT"/>
        </w:rPr>
        <w:t>Conclusão</w:t>
      </w:r>
    </w:p>
    <w:p w:rsidR="00875ABA" w:rsidRPr="00CC28B8" w:rsidRDefault="00875ABA" w:rsidP="00BF1E4D">
      <w:pPr>
        <w:pStyle w:val="HTMLPreformatted"/>
        <w:shd w:val="clear" w:color="auto" w:fill="FFFFFF"/>
        <w:spacing w:line="312" w:lineRule="auto"/>
        <w:jc w:val="both"/>
        <w:rPr>
          <w:rFonts w:ascii="Arial" w:hAnsi="Arial" w:cs="Arial"/>
          <w:sz w:val="22"/>
          <w:szCs w:val="22"/>
          <w:lang w:val="pt-PT"/>
        </w:rPr>
      </w:pPr>
      <w:r w:rsidRPr="00CC28B8">
        <w:rPr>
          <w:rFonts w:ascii="Arial" w:hAnsi="Arial" w:cs="Arial"/>
          <w:sz w:val="22"/>
          <w:szCs w:val="22"/>
          <w:lang w:val="pt-PT"/>
        </w:rPr>
        <w:t>Os tumores das glândulas salivares, embora raros, ocorrem numa faixa etária ampla, incluindo subtipos histológicos com prognósticos diferentes.</w:t>
      </w:r>
    </w:p>
    <w:p w:rsidR="00CF2B04" w:rsidRPr="00CC28B8" w:rsidRDefault="00000498" w:rsidP="00BF1E4D">
      <w:pPr>
        <w:pStyle w:val="HTMLPreformatted"/>
        <w:shd w:val="clear" w:color="auto" w:fill="FFFFFF"/>
        <w:spacing w:line="312" w:lineRule="auto"/>
        <w:jc w:val="both"/>
        <w:rPr>
          <w:rFonts w:ascii="Arial" w:hAnsi="Arial" w:cs="Arial"/>
          <w:lang w:val="pt-PT"/>
        </w:rPr>
      </w:pPr>
      <w:r w:rsidRPr="00CC28B8">
        <w:rPr>
          <w:rFonts w:ascii="Arial" w:hAnsi="Arial" w:cs="Arial"/>
          <w:b/>
          <w:lang w:val="pt-PT"/>
        </w:rPr>
        <w:t>Palavras-chave</w:t>
      </w:r>
      <w:r w:rsidR="00833124" w:rsidRPr="00CC28B8">
        <w:rPr>
          <w:rFonts w:ascii="Arial" w:hAnsi="Arial" w:cs="Arial"/>
          <w:b/>
          <w:lang w:val="pt-PT"/>
        </w:rPr>
        <w:t>:</w:t>
      </w:r>
      <w:r w:rsidR="00833124" w:rsidRPr="00CC28B8">
        <w:rPr>
          <w:rFonts w:ascii="Arial" w:hAnsi="Arial" w:cs="Arial"/>
          <w:lang w:val="pt-PT"/>
        </w:rPr>
        <w:t xml:space="preserve"> </w:t>
      </w:r>
      <w:r w:rsidR="008C223C" w:rsidRPr="00CC28B8">
        <w:rPr>
          <w:rFonts w:ascii="Arial" w:hAnsi="Arial" w:cs="Arial"/>
          <w:lang w:val="pt-PT"/>
        </w:rPr>
        <w:t>Neoplasias</w:t>
      </w:r>
      <w:r w:rsidR="00981893" w:rsidRPr="00CC28B8">
        <w:rPr>
          <w:rFonts w:ascii="Arial" w:hAnsi="Arial" w:cs="Arial"/>
          <w:lang w:val="pt-PT"/>
        </w:rPr>
        <w:t xml:space="preserve"> das glândulas </w:t>
      </w:r>
      <w:r w:rsidR="008C223C" w:rsidRPr="00CC28B8">
        <w:rPr>
          <w:rFonts w:ascii="Arial" w:hAnsi="Arial" w:cs="Arial"/>
          <w:lang w:val="pt-PT"/>
        </w:rPr>
        <w:t>salivares; Estudo retrospetivo</w:t>
      </w:r>
    </w:p>
    <w:p w:rsidR="00031B22" w:rsidRPr="00CC28B8" w:rsidRDefault="00031B22" w:rsidP="00BF1E4D">
      <w:pPr>
        <w:spacing w:after="0" w:line="360" w:lineRule="auto"/>
        <w:jc w:val="both"/>
        <w:rPr>
          <w:rFonts w:ascii="Arial" w:hAnsi="Arial" w:cs="Arial"/>
          <w:b/>
        </w:rPr>
      </w:pPr>
      <w:r w:rsidRPr="00CC28B8">
        <w:rPr>
          <w:rFonts w:ascii="Arial" w:hAnsi="Arial" w:cs="Arial"/>
          <w:b/>
        </w:rPr>
        <w:lastRenderedPageBreak/>
        <w:t>INTRODUTION</w:t>
      </w:r>
    </w:p>
    <w:p w:rsidR="00031B22" w:rsidRPr="00CC28B8" w:rsidRDefault="00923666" w:rsidP="00BF1E4D">
      <w:pPr>
        <w:widowControl w:val="0"/>
        <w:autoSpaceDE w:val="0"/>
        <w:autoSpaceDN w:val="0"/>
        <w:adjustRightInd w:val="0"/>
        <w:spacing w:after="0" w:line="360" w:lineRule="auto"/>
        <w:jc w:val="both"/>
        <w:rPr>
          <w:rFonts w:ascii="Arial" w:hAnsi="Arial" w:cs="Arial"/>
          <w:sz w:val="24"/>
          <w:szCs w:val="24"/>
        </w:rPr>
      </w:pPr>
      <w:r w:rsidRPr="00CC28B8">
        <w:rPr>
          <w:rFonts w:ascii="Arial" w:hAnsi="Arial" w:cs="Arial"/>
        </w:rPr>
        <w:t>Salivary gland tumo</w:t>
      </w:r>
      <w:r w:rsidR="00285A18" w:rsidRPr="00CC28B8">
        <w:rPr>
          <w:rFonts w:ascii="Arial" w:hAnsi="Arial" w:cs="Arial"/>
        </w:rPr>
        <w:t>rs</w:t>
      </w:r>
      <w:r w:rsidR="00276AAD" w:rsidRPr="00CC28B8">
        <w:rPr>
          <w:rFonts w:ascii="Arial" w:hAnsi="Arial" w:cs="Arial"/>
        </w:rPr>
        <w:t xml:space="preserve"> (SGT)</w:t>
      </w:r>
      <w:r w:rsidR="00285A18" w:rsidRPr="00CC28B8">
        <w:rPr>
          <w:rFonts w:ascii="Arial" w:hAnsi="Arial" w:cs="Arial"/>
        </w:rPr>
        <w:t xml:space="preserve"> are uncommon</w:t>
      </w:r>
      <w:r w:rsidR="00756271" w:rsidRPr="00CC28B8">
        <w:rPr>
          <w:rFonts w:ascii="Arial" w:hAnsi="Arial" w:cs="Arial"/>
        </w:rPr>
        <w:t>, comprising about 3-5</w:t>
      </w:r>
      <w:r w:rsidR="00031B22" w:rsidRPr="00CC28B8">
        <w:rPr>
          <w:rFonts w:ascii="Arial" w:hAnsi="Arial" w:cs="Arial"/>
        </w:rPr>
        <w:t xml:space="preserve"> % of tumors in the head and neck region</w:t>
      </w:r>
      <w:r w:rsidR="002F73DD" w:rsidRPr="00CC28B8">
        <w:rPr>
          <w:rFonts w:ascii="Arial" w:hAnsi="Arial" w:cs="Arial"/>
          <w:vertAlign w:val="superscript"/>
        </w:rPr>
        <w:fldChar w:fldCharType="begin" w:fldLock="1"/>
      </w:r>
      <w:r w:rsidR="00D017CA" w:rsidRPr="00CC28B8">
        <w:rPr>
          <w:rFonts w:ascii="Arial" w:hAnsi="Arial" w:cs="Arial"/>
          <w:vertAlign w:val="superscript"/>
        </w:rPr>
        <w:instrText>ADDIN CSL_CITATION { "citationItems" : [ { "id" : "ITEM-1", "itemData" : { "DOI" : "10.1016/j.jcms.2011.05.002", "ISSN" : "1878-4119", "PMID" : "21641811", "abstract" : "INTRODUCTION: The aim of this study was to determine the types, frequency, distribution, and demographic characteristics of salivary gland tumours in a large representative sample.\\n\\nPATIENTS AND METHODS: We retrospectively analysed the medical records of 779 patients with tumours of the salivary glands surgically treated from 1985 to 2009 at a single institution.\\n\\nRESULTS: There were 500 benign and 279 malignant tumours. The average age of patients with benign tumours was 50 years and of malignant salivary gland tumours 56 years. No differences in age and incidence of tumours existed between males and females. The majority of the tumours occurred in the parotid gland (509), followed by the minor salivary glands (212), the submandibular gland (51) and lastly, the sublingual gland (7). Minor salivary gland tumours occurred most frequently on the palate, the pleomorphic adenoma being the most frequent benign tumour type and the adenoid cystic carcinoma being the commonest malignant tumour. Tumours of the sublingual gland were rare, but all were malignant. Malignant tumours were more common in the minor salivary glands and the submandibular gland.\\n\\nCONCLUSION: This large study of salivary gland tumours in Croatia could improve our understanding of the significant differences in the global distribution of salivary gland tumours which have been reported.", "author" : [ { "dropping-particle" : "", "family" : "Luk\u0161i\u0107", "given" : "Ivica", "non-dropping-particle" : "", "parse-names" : false, "suffix" : "" }, { "dropping-particle" : "", "family" : "Virag", "given" : "Mi\u0161o", "non-dropping-particle" : "", "parse-names" : false, "suffix" : "" }, { "dropping-particle" : "", "family" : "Manojlovi\u0107", "given" : "Spomenka", "non-dropping-particle" : "", "parse-names" : false, "suffix" : "" }, { "dropping-particle" : "", "family" : "Macan", "given" : "Darko", "non-dropping-particle" : "", "parse-names" : false, "suffix" : "" } ], "container-title" : "Journal of cranio-maxillo-facial surgery : official publication of the European Association for Cranio-Maxillo-Facial Surgery", "id" : "ITEM-1", "issue" : "3", "issued" : { "date-parts" : [ [ "2012" ] ] }, "page" : "e75-81", "title" : "Salivary gland tumours: 25 years of experience from a single institution in Croatia.", "type" : "article-journal", "volume" : "40" }, "uris" : [ "http://www.mendeley.com/documents/?uuid=2dff120b-4cfa-433c-ae3f-7733bad1201c" ] }, { "id" : "ITEM-2", "itemData" : { "DOI" : "10.1002/path.1711460106", "ISSN" : "0022-3417", "PMID" : "4009321", "abstract" : "To date the British Salivary Gland Tumour Panel has accumulated 2569 salivary gland tumours. Of these, 2410 were primary epithelial salivary gland tumours and these formed the basis of the present study. The diagnosis of individual tumours was based on the World Health Organisation classification. Tumours were analysed according to histological type, site, age and sex. The principal site was the parotid and the combined minor (oropharyngeal) glands formed the second largest group. Pleomorphic adenomas formed the largest group of tumours in most sites, but were particularly common in the parotid. The frequency of malignant tumours increased with age after the third decade and was maximal in the eighth decade. Malignant tumours were more common in the submandibular and the minor glands than in the parotid. In the sublingual gland six out of seven tumours were malignant.", "author" : [ { "dropping-particle" : "", "family" : "Eveson", "given" : "J W", "non-dropping-particle" : "", "parse-names" : false, "suffix" : "" }, { "dropping-particle" : "", "family" : "Cawson", "given" : "R a", "non-dropping-particle" : "", "parse-names" : false, "suffix" : "" } ], "container-title" : "The Journal of pathology", "id" : "ITEM-2", "issue" : "1", "issued" : { "date-parts" : [ [ "1985" ] ] }, "page" : "51-58", "title" : "Salivary gland tumours. A review of 2410 cases with particular reference to histological types, site, age and sex distribution.", "type" : "article-journal", "volume" : "146" }, "uris" : [ "http://www.mendeley.com/documents/?uuid=776b6cf5-876d-457e-b82e-3e018468a40b" ] } ], "mendeley" : { "formattedCitation" : "(1,2)", "manualFormatting" : "1,2", "plainTextFormattedCitation" : "(1,2)", "previouslyFormattedCitation" : "(1,2)" }, "properties" : { "noteIndex" : 0 }, "schema" : "https://github.com/citation-style-language/schema/raw/master/csl-citation.json" }</w:instrText>
      </w:r>
      <w:r w:rsidR="002F73DD" w:rsidRPr="00CC28B8">
        <w:rPr>
          <w:rFonts w:ascii="Arial" w:hAnsi="Arial" w:cs="Arial"/>
          <w:vertAlign w:val="superscript"/>
        </w:rPr>
        <w:fldChar w:fldCharType="separate"/>
      </w:r>
      <w:r w:rsidR="00D017CA" w:rsidRPr="00CC28B8">
        <w:rPr>
          <w:rFonts w:ascii="Arial" w:hAnsi="Arial" w:cs="Arial"/>
          <w:noProof/>
          <w:vertAlign w:val="superscript"/>
        </w:rPr>
        <w:t>1,2</w:t>
      </w:r>
      <w:r w:rsidR="002F73DD" w:rsidRPr="00CC28B8">
        <w:rPr>
          <w:rFonts w:ascii="Arial" w:hAnsi="Arial" w:cs="Arial"/>
          <w:vertAlign w:val="superscript"/>
        </w:rPr>
        <w:fldChar w:fldCharType="end"/>
      </w:r>
      <w:r w:rsidR="00031B22" w:rsidRPr="00CC28B8">
        <w:rPr>
          <w:rFonts w:ascii="Arial" w:hAnsi="Arial" w:cs="Arial"/>
        </w:rPr>
        <w:t>. However</w:t>
      </w:r>
      <w:r w:rsidR="00285A18" w:rsidRPr="00CC28B8">
        <w:rPr>
          <w:rFonts w:ascii="Arial" w:hAnsi="Arial" w:cs="Arial"/>
        </w:rPr>
        <w:t xml:space="preserve">, </w:t>
      </w:r>
      <w:r w:rsidR="00031B22" w:rsidRPr="00CC28B8">
        <w:rPr>
          <w:rFonts w:ascii="Arial" w:hAnsi="Arial" w:cs="Arial"/>
        </w:rPr>
        <w:t xml:space="preserve">these tumors </w:t>
      </w:r>
      <w:r w:rsidR="00D811DF" w:rsidRPr="00CC28B8">
        <w:rPr>
          <w:rFonts w:ascii="Arial" w:hAnsi="Arial" w:cs="Arial"/>
        </w:rPr>
        <w:t>encompass</w:t>
      </w:r>
      <w:r w:rsidR="00031B22" w:rsidRPr="00CC28B8">
        <w:rPr>
          <w:rFonts w:ascii="Arial" w:hAnsi="Arial" w:cs="Arial"/>
        </w:rPr>
        <w:t xml:space="preserve"> a wide range of histological subtypes and clinical behavior, </w:t>
      </w:r>
      <w:r w:rsidR="0080528E" w:rsidRPr="00CC28B8">
        <w:rPr>
          <w:rFonts w:ascii="Arial" w:hAnsi="Arial" w:cs="Arial"/>
        </w:rPr>
        <w:t>challenging</w:t>
      </w:r>
      <w:r w:rsidR="00031B22" w:rsidRPr="00CC28B8">
        <w:rPr>
          <w:rFonts w:ascii="Arial" w:hAnsi="Arial" w:cs="Arial"/>
        </w:rPr>
        <w:t xml:space="preserve"> patholog</w:t>
      </w:r>
      <w:r w:rsidR="00371CAC" w:rsidRPr="00CC28B8">
        <w:rPr>
          <w:rFonts w:ascii="Arial" w:hAnsi="Arial" w:cs="Arial"/>
        </w:rPr>
        <w:t>ists</w:t>
      </w:r>
      <w:r w:rsidR="00031B22" w:rsidRPr="00CC28B8">
        <w:rPr>
          <w:rFonts w:ascii="Arial" w:hAnsi="Arial" w:cs="Arial"/>
        </w:rPr>
        <w:t xml:space="preserve"> and clinic</w:t>
      </w:r>
      <w:r w:rsidR="00371CAC" w:rsidRPr="00CC28B8">
        <w:rPr>
          <w:rFonts w:ascii="Arial" w:hAnsi="Arial" w:cs="Arial"/>
        </w:rPr>
        <w:t>ians</w:t>
      </w:r>
      <w:r w:rsidR="00031B22" w:rsidRPr="00CC28B8">
        <w:rPr>
          <w:rFonts w:ascii="Arial" w:hAnsi="Arial" w:cs="Arial"/>
        </w:rPr>
        <w:t xml:space="preserve"> </w:t>
      </w:r>
      <w:r w:rsidR="0080528E" w:rsidRPr="00CC28B8">
        <w:rPr>
          <w:rFonts w:ascii="Arial" w:hAnsi="Arial" w:cs="Arial"/>
        </w:rPr>
        <w:t>in this complex and demanding area</w:t>
      </w:r>
      <w:r w:rsidR="00031B22" w:rsidRPr="00CC28B8">
        <w:rPr>
          <w:rFonts w:ascii="Arial" w:hAnsi="Arial" w:cs="Arial"/>
        </w:rPr>
        <w:t xml:space="preserve">. </w:t>
      </w:r>
    </w:p>
    <w:p w:rsidR="00031B22" w:rsidRPr="00CC28B8" w:rsidRDefault="00031B22" w:rsidP="00BF1E4D">
      <w:pPr>
        <w:widowControl w:val="0"/>
        <w:autoSpaceDE w:val="0"/>
        <w:autoSpaceDN w:val="0"/>
        <w:adjustRightInd w:val="0"/>
        <w:spacing w:after="0" w:line="360" w:lineRule="auto"/>
        <w:jc w:val="both"/>
        <w:rPr>
          <w:rFonts w:ascii="Times New Roman" w:hAnsi="Times New Roman"/>
          <w:sz w:val="24"/>
          <w:szCs w:val="24"/>
        </w:rPr>
      </w:pPr>
      <w:r w:rsidRPr="00CC28B8">
        <w:rPr>
          <w:rFonts w:ascii="Arial" w:hAnsi="Arial" w:cs="Arial"/>
        </w:rPr>
        <w:t xml:space="preserve">Reports and studies from various parts of the world </w:t>
      </w:r>
      <w:r w:rsidR="00070A2A" w:rsidRPr="00CC28B8">
        <w:rPr>
          <w:rFonts w:ascii="Arial" w:hAnsi="Arial" w:cs="Arial"/>
        </w:rPr>
        <w:t xml:space="preserve">reveal </w:t>
      </w:r>
      <w:r w:rsidRPr="00CC28B8">
        <w:rPr>
          <w:rFonts w:ascii="Arial" w:hAnsi="Arial" w:cs="Arial"/>
        </w:rPr>
        <w:t xml:space="preserve">variations in the </w:t>
      </w:r>
      <w:r w:rsidR="00276AAD" w:rsidRPr="00CC28B8">
        <w:rPr>
          <w:rFonts w:ascii="Arial" w:hAnsi="Arial" w:cs="Arial"/>
        </w:rPr>
        <w:t xml:space="preserve">incidence and </w:t>
      </w:r>
      <w:r w:rsidRPr="00CC28B8">
        <w:rPr>
          <w:rFonts w:ascii="Arial" w:hAnsi="Arial" w:cs="Arial"/>
        </w:rPr>
        <w:t>frequency of the different histological subty</w:t>
      </w:r>
      <w:r w:rsidR="00E60266" w:rsidRPr="00CC28B8">
        <w:rPr>
          <w:rFonts w:ascii="Arial" w:hAnsi="Arial" w:cs="Arial"/>
        </w:rPr>
        <w:t>pe</w:t>
      </w:r>
      <w:r w:rsidR="000F1A37" w:rsidRPr="00CC28B8">
        <w:rPr>
          <w:rFonts w:ascii="Arial" w:hAnsi="Arial" w:cs="Arial"/>
        </w:rPr>
        <w:t>s</w:t>
      </w:r>
      <w:r w:rsidR="002F73DD" w:rsidRPr="00CC28B8">
        <w:rPr>
          <w:rFonts w:ascii="Arial" w:hAnsi="Arial" w:cs="Arial"/>
          <w:vertAlign w:val="superscript"/>
        </w:rPr>
        <w:fldChar w:fldCharType="begin" w:fldLock="1"/>
      </w:r>
      <w:r w:rsidR="00D017CA" w:rsidRPr="00CC28B8">
        <w:rPr>
          <w:rFonts w:ascii="Arial" w:hAnsi="Arial" w:cs="Arial"/>
          <w:vertAlign w:val="superscript"/>
        </w:rPr>
        <w:instrText>ADDIN CSL_CITATION { "citationItems" : [ { "id" : "ITEM-1", "itemData" : { "DOI" : "10.1016/j.ijom.2005.02.005", "ISBN" : "0901-5027 (Print)\\r0901-5027", "ISSN" : "09015027", "PMID" : "16053874", "abstract" : "Salivary gland tumors are uncommon and the microscopical features can be complex. Epidemiological data of these tumors in the various parts of the world can be helpful for a better understanding of its biology and clinical characteristics. In this study, 496 epithelial and mesenchymal tumors of major and minor salivary glands diagnosed at Londrina Cancer Institute during the period from 1972 to 2001 were reviewed. Out of all cases, 335 (67.5%) were classified as benign and 161 (32.5%) as malignant. The majority of the cases occurred in the parotid gland (67.7%), followed by the minor salivary glands (22.8%) and submandibular gland (9.5%). Among the minor salivary gland tumors, the palate was the most frequent location (67%). The tumors affected more commonly adult patients with peak incidence between 40 and 50 years of age and with a slightly predominance in females. Pleomorphic adenoma was the most frequent tumor representing 54.2% of all cases, followed by mucoepidermoid carcinoma (13.5%), Warthin's tumor (8.5%) and adenoid cystic carcinoma (7.9%). \u00a9 2005 International Association of Oral and Maxillofacial Surgeons. Published by Elsevier Ltd. All rights reserved.", "author" : [ { "dropping-particle" : "", "family" : "Ito", "given" : "F. A.", "non-dropping-particle" : "", "parse-names" : false, "suffix" : "" }, { "dropping-particle" : "", "family" : "Ito", "given" : "K.", "non-dropping-particle" : "", "parse-names" : false, "suffix" : "" }, { "dropping-particle" : "", "family" : "Vargas", "given" : "P. A.", "non-dropping-particle" : "", "parse-names" : false, "suffix" : "" }, { "dropping-particle" : "", "family" : "Almeida", "given" : "O. P.", "non-dropping-particle" : "de", "parse-names" : false, "suffix" : "" }, { "dropping-particle" : "", "family" : "Lopes", "given" : "M\u00e1rcio Ajudarte", "non-dropping-particle" : "", "parse-names" : false, "suffix" : "" } ], "container-title" : "International Journal of Oral and Maxillofacial Surgery", "id" : "ITEM-1", "issue" : "5", "issued" : { "date-parts" : [ [ "2005" ] ] }, "page" : "533-536", "title" : "Salivary gland tumors in a Brazilian population: A retrospective study of 496 cases", "type" : "article-journal", "volume" : "34" }, "uris" : [ "http://www.mendeley.com/documents/?uuid=01d0f0d5-6f62-4f93-bb7a-10052637b02b" ] }, { "id" : "ITEM-2", "itemData" : { "DOI" : "10.1016/j.ijom.2009.10.016", "ISBN" : "1399-0020 (Electronic)\\r0901-5027 (Linking)", "ISSN" : "09015027", "PMID" : "19951834", "abstract" : "There is little information in the English-language literature about the epidemiology of salivary gland neoplasms in the eastern Chinese population. A large retrospective study (6982 primary salivary tumors during 23 years) was carried out to investigate the clinicopathological features (tumor location, patient sex and age) of these tumors in this population. 3593 tumors were in males and 3389 in females. Pleomorphic adenoma (69%) was the most common tumor and 20% were located in minor glands. 92% of Warthin's tumors occurred in males. Malignant tumors were predominantly adenoid cystic carcinoma (30%) and mucoepidermoid carcinoma (30%). Incidences of lymphoepithelial carcinomas (5%) and polymorphous low-grade adenocarcinoma (1%) of malignant tumors were identified. 28% of tumors originated from minor glands. Most findings were similar to those in the literature, with some variations. The salivary tumors slightly predominated in males. Relatively higher incidences of minor gland tumors and specifically of pleomorphic adenoma in minor glands were noted. Adenoid cystic carcinoma and mucoepidermoid carcinoma constituted the most common malignancies. There was a high incidence of lymphoepithelial carcinomas but a low incidence of polymorphous low-grade adenocarcinoma. The historical significant male predominance of Warthin's tumor was confirmed. \u00a9 2009 International Association of Oral and Maxillofacial Surgeons.", "author" : [ { "dropping-particle" : "", "family" : "Tian", "given" : "Z.", "non-dropping-particle" : "", "parse-names" : false, "suffix" : "" }, { "dropping-particle" : "", "family" : "Li", "given" : "L.", "non-dropping-particle" : "", "parse-names" : false, "suffix" : "" }, { "dropping-particle" : "", "family" : "Wang", "given" : "L.", "non-dropping-particle" : "", "parse-names" : false, "suffix" : "" }, { "dropping-particle" : "", "family" : "Hu", "given" : "Y.", "non-dropping-particle" : "", "parse-names" : false, "suffix" : "" }, { "dropping-particle" : "", "family" : "Li", "given" : "J.", "non-dropping-particle" : "", "parse-names" : false, "suffix" : "" } ], "container-title" : "International Journal of Oral and Maxillofacial Surgery", "id" : "ITEM-2", "issue" : "3", "issued" : { "date-parts" : [ [ "2010" ] ] }, "page" : "235-242", "title" : "Salivary gland neoplasms in oral and maxillofacial regions: a 23-year retrospective study of 6982 cases in an eastern Chinese population", "type" : "article-journal", "volume" : "39" }, "uris" : [ "http://www.mendeley.com/documents/?uuid=c6001336-5c1a-4b77-83d7-043af9d17646" ] }, { "id" : "ITEM-3", "itemData" : { "DOI" : "10.1002/path.1711460106", "ISSN" : "0022-3417", "PMID" : "4009321", "abstract" : "To date the British Salivary Gland Tumour Panel has accumulated 2569 salivary gland tumours. Of these, 2410 were primary epithelial salivary gland tumours and these formed the basis of the present study. The diagnosis of individual tumours was based on the World Health Organisation classification. Tumours were analysed according to histological type, site, age and sex. The principal site was the parotid and the combined minor (oropharyngeal) glands formed the second largest group. Pleomorphic adenomas formed the largest group of tumours in most sites, but were particularly common in the parotid. The frequency of malignant tumours increased with age after the third decade and was maximal in the eighth decade. Malignant tumours were more common in the submandibular and the minor glands than in the parotid. In the sublingual gland six out of seven tumours were malignant.", "author" : [ { "dropping-particle" : "", "family" : "Eveson", "given" : "J W", "non-dropping-particle" : "", "parse-names" : false, "suffix" : "" }, { "dropping-particle" : "", "family" : "Cawson", "given" : "R a", "non-dropping-particle" : "", "parse-names" : false, "suffix" : "" } ], "container-title" : "The Journal of pathology", "id" : "ITEM-3", "issue" : "1", "issued" : { "date-parts" : [ [ "1985" ] ] }, "page" : "51-58", "title" : "Salivary gland tumours. A review of 2410 cases with particular reference to histological types, site, age and sex distribution.", "type" : "article-journal", "volume" : "146" }, "uris" : [ "http://www.mendeley.com/documents/?uuid=776b6cf5-876d-457e-b82e-3e018468a40b" ] }, { "id" : "ITEM-4", "itemData" : { "DOI" : "10.1016/j.bjoms.2008.03.020", "ISSN" : "1532-1940", "PMID" : "18620785", "abstract" : "Between 1991 and 2006, 684 cases of salivary gland tumours were analysed retrospectively, of which 422 (62%) were benign and 262 (38%) malignant. Sixty-one percent of tumours were in the parotid gland, 22% in the minor salivary glands, and 17% in the submandibular glands. The most common benign tumour was pleomorphic adenoma (86%), and the most common malignant tumours were adenoid cystic carcinoma (25%) and mucoepidermoid carcinoma (18%). Among the minor salivary gland tumours, most were seen in the palate (68%). We analyse the incidence and distribution of all types of salivary gland tumours in an Indian series, and provide data for comparison with other epidemiological studies from different geographical sites and races. Demographic data from these studies should help us to a better understanding of the biological and clinical characteristics of the disease.", "author" : [ { "dropping-particle" : "", "family" : "Subhashraj", "given" : "Krishnaraj", "non-dropping-particle" : "", "parse-names" : false, "suffix" : "" } ], "container-title" : "The British journal of oral &amp; maxillofacial surgery", "id" : "ITEM-4", "issue" : "8", "issued" : { "date-parts" : [ [ "2008" ] ] }, "page" : "635-8", "title" : "Salivary gland tumors: a single institution experience in India.", "type" : "article-journal", "volume" : "46" }, "uris" : [ "http://www.mendeley.com/documents/?uuid=808a532b-25f7-488c-87a1-ecde98e73efa" ] }, { "id" : "ITEM-5", "itemData" : { "ISSN" : "0189160X", "PMID" : "26070826", "abstract" : "BACKGROUND: Although a variety of etiological factors have been implicated in some salivary gland tumours, most salivary gland neoplasms are idiopathic making it difficult to explain the striking epidemiological differences in their global distribution.\\n\\nOBJECTIVE: This study was carried out to determine the prevalence and the distribution pattern of salivary gland neoplasia in Lagos State University Teaching Hospital, Ikeja, Lagos and to provide data for comparison with other epidemiological findings in different geographic locations.\\n\\nMETHODS: This was a retrospective study of cases of neoplastic salivary gland lesions seen from 2001 to 2012. 135 cases were extracted from pathology records and data on incidence, age, gender, site and histological diagnosis of the various tumours were analyzed using descriptive statistics.\\n\\nRESULTS: Benign lesions accounted for 77 (57%) cases while only 58 (43%) cases were malignant. Fifty-eight (43%) were found in males while seventy-seven (57%) occurred in females giving a male-to-female ratio of 1:1.3. The mean age at diagnosis (+SD) was 41.1+16.7 (range 5-83years) and the peak incidence was in the 5th decade of life (32 cases, 23.7%). Seventy-seven (57%) were benign while fifty-eight (43%) were malignant. The palate was the most common site accounting for forty-five (33.3%) cases. Pleomorphic adenoma (PA) was the most common salivary gland tumour reported accounting for sixty-seven (49.6%) cases. This is followed by adenoid cystic carcinoma (ACC) (27 cases, 20%).\\n\\nCONCLUSIONS: We reported PA as the commonest benign salivary gland tumour. Contrary to many other Nigerian studies, our series revealed that ACC is the commonest malignant salivary gland tumour. This may be due to misdiagnosis of cases of ACC as other histologically similar lesions in other centres. Contrary to reports in many other studies where the parotid accounts for the commonest site, the palate was the commonest in our series.", "author" : [ { "dropping-particle" : "", "family" : "Adebiyi", "given" : "K. E.", "non-dropping-particle" : "", "parse-names" : false, "suffix" : "" }, { "dropping-particle" : "", "family" : "Emmanuel", "given" : "M. M.", "non-dropping-particle" : "", "parse-names" : false, "suffix" : "" } ], "container-title" : "West African journal of medicine", "id" : "ITEM-5", "issue" : "3", "issued" : { "date-parts" : [ [ "2014" ] ] }, "page" : "206-210", "title" : "Neoplastic Salivary Gland Lesions:A Retrospective Analysis of 135 Cases from Lagos State University Teaching Hospital, Ikeja, Lagos, Nigeria", "type" : "article-journal", "volume" : "33" }, "uris" : [ "http://www.mendeley.com/documents/?uuid=cb265fac-2272-425f-870a-4f06bc01d164" ] }, { "id" : "ITEM-6", "itemData" : { "DOI" : "10.1016/j.bjoms.2012.10.002", "ISBN" : "0266-4356", "ISSN" : "02664356", "PMID" : "23103239", "abstract" : "To establish a true prevalence of salivary gland tumours in a fixed population in the United Kingdom (UK), we searched the unified computerised pathology records of two teaching hospitals, including two private hospitals, for all salivary gland neoplasms (benign and malignant) over two 10-year periods (January 1988-December 1997, and January 1998-December 2007). Reports included needle biopsy, open biopsy, or excision biopsy. Equivocal results were checked by review of the medical notes. Patients referred from outside the catchment area were excluded. Both series combined showed that all neoplasms confirmed the 10:1:1 rule of distribution, but the benign to malignant ratio did not conform to standard teaching. The data suggest that 70-75 benign, and 8-14 malignant neoplasms present annually/million population, which is consistent with established patterns. However, this points towards a lower incidence of cancer in the major salivary glands than was traditionally thought. \u00a9 2012 The British Association of Oral and Maxillofacial Surgeons.", "author" : [ { "dropping-particle" : "", "family" : "Bradley", "given" : "Patrick J.", "non-dropping-particle" : "", "parse-names" : false, "suffix" : "" }, { "dropping-particle" : "", "family" : "McGurk", "given" : "Mark", "non-dropping-particle" : "", "parse-names" : false, "suffix" : "" } ], "container-title" : "British Journal of Oral and Maxillofacial Surgery", "id" : "ITEM-6", "issue" : "5", "issued" : { "date-parts" : [ [ "2013" ] ] }, "page" : "399-403", "publisher" : "British Association of Oral and Maxillofacial Surgeons", "title" : "Incidence of salivary gland neoplasms in a defined UK population", "type" : "article-journal", "volume" : "51" }, "uris" : [ "http://www.mendeley.com/documents/?uuid=8f4b3300-48b4-4259-a9cb-053232f455c1" ] } ], "mendeley" : { "formattedCitation" : "(3,4,2,5\u20137)", "manualFormatting" : "2\u20137", "plainTextFormattedCitation" : "(3,4,2,5\u20137)", "previouslyFormattedCitation" : "(3,4,2,5\u20137)" }, "properties" : { "noteIndex" : 0 }, "schema" : "https://github.com/citation-style-language/schema/raw/master/csl-citation.json" }</w:instrText>
      </w:r>
      <w:r w:rsidR="002F73DD" w:rsidRPr="00CC28B8">
        <w:rPr>
          <w:rFonts w:ascii="Arial" w:hAnsi="Arial" w:cs="Arial"/>
          <w:vertAlign w:val="superscript"/>
        </w:rPr>
        <w:fldChar w:fldCharType="separate"/>
      </w:r>
      <w:r w:rsidR="001903D0" w:rsidRPr="00CC28B8">
        <w:rPr>
          <w:rFonts w:ascii="Arial" w:hAnsi="Arial" w:cs="Arial"/>
          <w:noProof/>
          <w:vertAlign w:val="superscript"/>
        </w:rPr>
        <w:t>2–7</w:t>
      </w:r>
      <w:r w:rsidR="002F73DD" w:rsidRPr="00CC28B8">
        <w:rPr>
          <w:rFonts w:ascii="Arial" w:hAnsi="Arial" w:cs="Arial"/>
          <w:vertAlign w:val="superscript"/>
        </w:rPr>
        <w:fldChar w:fldCharType="end"/>
      </w:r>
      <w:r w:rsidRPr="00CC28B8">
        <w:rPr>
          <w:rFonts w:ascii="Arial" w:hAnsi="Arial" w:cs="Arial"/>
        </w:rPr>
        <w:t xml:space="preserve">. </w:t>
      </w:r>
      <w:r w:rsidR="00B26EF4" w:rsidRPr="00CC28B8">
        <w:rPr>
          <w:rFonts w:ascii="Arial" w:hAnsi="Arial" w:cs="Arial"/>
        </w:rPr>
        <w:t xml:space="preserve">In Portugal, there are a few </w:t>
      </w:r>
      <w:r w:rsidR="00070A2A" w:rsidRPr="00CC28B8">
        <w:rPr>
          <w:rFonts w:ascii="Arial" w:hAnsi="Arial" w:cs="Arial"/>
        </w:rPr>
        <w:t xml:space="preserve">previous </w:t>
      </w:r>
      <w:r w:rsidR="00B26EF4" w:rsidRPr="00CC28B8">
        <w:rPr>
          <w:rFonts w:ascii="Arial" w:hAnsi="Arial" w:cs="Arial"/>
        </w:rPr>
        <w:t xml:space="preserve">studies </w:t>
      </w:r>
      <w:r w:rsidR="00D90165" w:rsidRPr="00CC28B8">
        <w:rPr>
          <w:rFonts w:ascii="Arial" w:hAnsi="Arial" w:cs="Arial"/>
        </w:rPr>
        <w:t xml:space="preserve">addressing </w:t>
      </w:r>
      <w:r w:rsidR="00B26EF4" w:rsidRPr="00CC28B8">
        <w:rPr>
          <w:rFonts w:ascii="Arial" w:hAnsi="Arial" w:cs="Arial"/>
        </w:rPr>
        <w:t xml:space="preserve">the </w:t>
      </w:r>
      <w:r w:rsidR="00070A2A" w:rsidRPr="00CC28B8">
        <w:rPr>
          <w:rFonts w:ascii="Arial" w:hAnsi="Arial" w:cs="Arial"/>
        </w:rPr>
        <w:t xml:space="preserve">features </w:t>
      </w:r>
      <w:r w:rsidR="00B26EF4" w:rsidRPr="00CC28B8">
        <w:rPr>
          <w:rFonts w:ascii="Arial" w:hAnsi="Arial" w:cs="Arial"/>
        </w:rPr>
        <w:t>of malignant oral cancers</w:t>
      </w:r>
      <w:r w:rsidR="009D13E3" w:rsidRPr="00CC28B8">
        <w:rPr>
          <w:rFonts w:ascii="Arial" w:hAnsi="Arial" w:cs="Arial"/>
          <w:vertAlign w:val="superscript"/>
        </w:rPr>
        <w:t>8</w:t>
      </w:r>
      <w:r w:rsidR="00B26EF4" w:rsidRPr="00CC28B8">
        <w:rPr>
          <w:rFonts w:ascii="Arial" w:hAnsi="Arial" w:cs="Arial"/>
        </w:rPr>
        <w:t xml:space="preserve">, </w:t>
      </w:r>
      <w:r w:rsidR="004E4656" w:rsidRPr="00CC28B8">
        <w:rPr>
          <w:rFonts w:ascii="Arial" w:hAnsi="Arial" w:cs="Arial"/>
        </w:rPr>
        <w:t>epithelial salivary gland tumors of children and adolescents</w:t>
      </w:r>
      <w:r w:rsidR="009D13E3" w:rsidRPr="00CC28B8">
        <w:rPr>
          <w:rFonts w:ascii="Arial" w:hAnsi="Arial" w:cs="Arial"/>
          <w:vertAlign w:val="superscript"/>
        </w:rPr>
        <w:t>9</w:t>
      </w:r>
      <w:r w:rsidR="004E4656" w:rsidRPr="00CC28B8">
        <w:rPr>
          <w:rFonts w:ascii="Arial" w:hAnsi="Arial" w:cs="Arial"/>
        </w:rPr>
        <w:t xml:space="preserve">, </w:t>
      </w:r>
      <w:r w:rsidR="00B26EF4" w:rsidRPr="00CC28B8">
        <w:rPr>
          <w:rFonts w:ascii="Arial" w:hAnsi="Arial" w:cs="Arial"/>
        </w:rPr>
        <w:t xml:space="preserve">tumors </w:t>
      </w:r>
      <w:r w:rsidR="00070A2A" w:rsidRPr="00CC28B8">
        <w:rPr>
          <w:rFonts w:ascii="Arial" w:hAnsi="Arial" w:cs="Arial"/>
        </w:rPr>
        <w:t xml:space="preserve">of the </w:t>
      </w:r>
      <w:r w:rsidR="00B26EF4" w:rsidRPr="00CC28B8">
        <w:rPr>
          <w:rFonts w:ascii="Arial" w:hAnsi="Arial" w:cs="Arial"/>
        </w:rPr>
        <w:t>parotid gland</w:t>
      </w:r>
      <w:r w:rsidR="009D13E3" w:rsidRPr="00CC28B8">
        <w:rPr>
          <w:rFonts w:ascii="Arial" w:hAnsi="Arial" w:cs="Arial"/>
          <w:vertAlign w:val="superscript"/>
        </w:rPr>
        <w:t>10</w:t>
      </w:r>
      <w:r w:rsidR="00B26EF4" w:rsidRPr="00CC28B8">
        <w:rPr>
          <w:rFonts w:ascii="Arial" w:hAnsi="Arial" w:cs="Arial"/>
        </w:rPr>
        <w:t xml:space="preserve"> and prognostic factors </w:t>
      </w:r>
      <w:r w:rsidR="00D90165" w:rsidRPr="00CC28B8">
        <w:rPr>
          <w:rFonts w:ascii="Arial" w:hAnsi="Arial" w:cs="Arial"/>
        </w:rPr>
        <w:t xml:space="preserve">of </w:t>
      </w:r>
      <w:r w:rsidR="00B26EF4" w:rsidRPr="00CC28B8">
        <w:rPr>
          <w:rFonts w:ascii="Arial" w:hAnsi="Arial" w:cs="Arial"/>
        </w:rPr>
        <w:t>malignant SGT</w:t>
      </w:r>
      <w:r w:rsidR="009D13E3" w:rsidRPr="00CC28B8">
        <w:rPr>
          <w:rFonts w:ascii="Arial" w:hAnsi="Arial" w:cs="Arial"/>
          <w:vertAlign w:val="superscript"/>
        </w:rPr>
        <w:t>11</w:t>
      </w:r>
      <w:r w:rsidR="00B26EF4" w:rsidRPr="00CC28B8">
        <w:rPr>
          <w:rFonts w:ascii="Arial" w:hAnsi="Arial" w:cs="Arial"/>
        </w:rPr>
        <w:t>.</w:t>
      </w:r>
    </w:p>
    <w:p w:rsidR="00031B22" w:rsidRPr="00CC28B8" w:rsidRDefault="00070A2A" w:rsidP="00BF1E4D">
      <w:pPr>
        <w:spacing w:after="0" w:line="360" w:lineRule="auto"/>
        <w:jc w:val="both"/>
        <w:rPr>
          <w:rFonts w:ascii="Arial" w:hAnsi="Arial" w:cs="Arial"/>
        </w:rPr>
      </w:pPr>
      <w:r w:rsidRPr="00CC28B8">
        <w:rPr>
          <w:rFonts w:ascii="Arial" w:hAnsi="Arial" w:cs="Arial"/>
        </w:rPr>
        <w:t>Therefore we thought to perform</w:t>
      </w:r>
      <w:r w:rsidR="00961006" w:rsidRPr="00CC28B8">
        <w:rPr>
          <w:rFonts w:ascii="Arial" w:hAnsi="Arial" w:cs="Arial"/>
        </w:rPr>
        <w:t xml:space="preserve"> a retrospective study </w:t>
      </w:r>
      <w:r w:rsidRPr="00CC28B8">
        <w:rPr>
          <w:rFonts w:ascii="Arial" w:hAnsi="Arial" w:cs="Arial"/>
        </w:rPr>
        <w:t xml:space="preserve">to assess </w:t>
      </w:r>
      <w:r w:rsidR="00276AAD" w:rsidRPr="00CC28B8">
        <w:rPr>
          <w:rFonts w:ascii="Arial" w:hAnsi="Arial" w:cs="Arial"/>
        </w:rPr>
        <w:t>the relati</w:t>
      </w:r>
      <w:r w:rsidR="00031B22" w:rsidRPr="00CC28B8">
        <w:rPr>
          <w:rFonts w:ascii="Arial" w:hAnsi="Arial" w:cs="Arial"/>
        </w:rPr>
        <w:t xml:space="preserve">ve frequency, location, </w:t>
      </w:r>
      <w:r w:rsidR="00961006" w:rsidRPr="00CC28B8">
        <w:rPr>
          <w:rFonts w:ascii="Arial" w:hAnsi="Arial" w:cs="Arial"/>
        </w:rPr>
        <w:t>patient demographics</w:t>
      </w:r>
      <w:r w:rsidR="00276AAD" w:rsidRPr="00CC28B8">
        <w:rPr>
          <w:rFonts w:ascii="Arial" w:hAnsi="Arial" w:cs="Arial"/>
        </w:rPr>
        <w:t xml:space="preserve"> and </w:t>
      </w:r>
      <w:r w:rsidRPr="00CC28B8">
        <w:rPr>
          <w:rFonts w:ascii="Arial" w:hAnsi="Arial" w:cs="Arial"/>
        </w:rPr>
        <w:t xml:space="preserve">clinical </w:t>
      </w:r>
      <w:r w:rsidR="00086C76" w:rsidRPr="00CC28B8">
        <w:rPr>
          <w:rFonts w:ascii="Arial" w:hAnsi="Arial" w:cs="Arial"/>
        </w:rPr>
        <w:t>behavior</w:t>
      </w:r>
      <w:r w:rsidR="00961006" w:rsidRPr="00CC28B8">
        <w:rPr>
          <w:rFonts w:ascii="Arial" w:hAnsi="Arial" w:cs="Arial"/>
        </w:rPr>
        <w:t xml:space="preserve"> of</w:t>
      </w:r>
      <w:r w:rsidR="00276AAD" w:rsidRPr="00CC28B8">
        <w:rPr>
          <w:rFonts w:ascii="Arial" w:hAnsi="Arial" w:cs="Arial"/>
        </w:rPr>
        <w:t xml:space="preserve"> SGT diagnosed and treated </w:t>
      </w:r>
      <w:r w:rsidRPr="00CC28B8">
        <w:rPr>
          <w:rFonts w:ascii="Arial" w:hAnsi="Arial" w:cs="Arial"/>
        </w:rPr>
        <w:t xml:space="preserve">at </w:t>
      </w:r>
      <w:r w:rsidR="00276AAD" w:rsidRPr="00CC28B8">
        <w:rPr>
          <w:rFonts w:ascii="Arial" w:hAnsi="Arial" w:cs="Arial"/>
        </w:rPr>
        <w:t xml:space="preserve">Centro </w:t>
      </w:r>
      <w:proofErr w:type="spellStart"/>
      <w:r w:rsidR="00276AAD" w:rsidRPr="00CC28B8">
        <w:rPr>
          <w:rFonts w:ascii="Arial" w:hAnsi="Arial" w:cs="Arial"/>
        </w:rPr>
        <w:t>Hospitalar</w:t>
      </w:r>
      <w:proofErr w:type="spellEnd"/>
      <w:r w:rsidR="00276AAD" w:rsidRPr="00CC28B8">
        <w:rPr>
          <w:rFonts w:ascii="Arial" w:hAnsi="Arial" w:cs="Arial"/>
        </w:rPr>
        <w:t xml:space="preserve"> São </w:t>
      </w:r>
      <w:proofErr w:type="spellStart"/>
      <w:r w:rsidR="00276AAD" w:rsidRPr="00CC28B8">
        <w:rPr>
          <w:rFonts w:ascii="Arial" w:hAnsi="Arial" w:cs="Arial"/>
        </w:rPr>
        <w:t>João</w:t>
      </w:r>
      <w:proofErr w:type="spellEnd"/>
      <w:r w:rsidR="00A51103" w:rsidRPr="00CC28B8">
        <w:rPr>
          <w:rFonts w:ascii="Arial" w:hAnsi="Arial" w:cs="Arial"/>
        </w:rPr>
        <w:t xml:space="preserve"> (CHSJ)</w:t>
      </w:r>
      <w:r w:rsidR="004A301A" w:rsidRPr="00CC28B8">
        <w:rPr>
          <w:rFonts w:ascii="Arial" w:hAnsi="Arial" w:cs="Arial"/>
        </w:rPr>
        <w:t>, Porto, Portugal</w:t>
      </w:r>
      <w:r w:rsidR="00276AAD" w:rsidRPr="00CC28B8">
        <w:rPr>
          <w:rFonts w:ascii="Arial" w:hAnsi="Arial" w:cs="Arial"/>
        </w:rPr>
        <w:t xml:space="preserve">, </w:t>
      </w:r>
      <w:r w:rsidRPr="00CC28B8">
        <w:rPr>
          <w:rFonts w:ascii="Arial" w:hAnsi="Arial" w:cs="Arial"/>
        </w:rPr>
        <w:t xml:space="preserve">including cases </w:t>
      </w:r>
      <w:r w:rsidR="0080528E" w:rsidRPr="00CC28B8">
        <w:rPr>
          <w:rFonts w:ascii="Arial" w:hAnsi="Arial" w:cs="Arial"/>
        </w:rPr>
        <w:t>during a selected period of 11 years (2005-2015)</w:t>
      </w:r>
      <w:r w:rsidR="00276AAD" w:rsidRPr="00CC28B8">
        <w:rPr>
          <w:rFonts w:ascii="Arial" w:hAnsi="Arial" w:cs="Arial"/>
        </w:rPr>
        <w:t>.</w:t>
      </w:r>
      <w:r w:rsidR="00B26EF4" w:rsidRPr="00CC28B8">
        <w:rPr>
          <w:rFonts w:ascii="Arial" w:hAnsi="Arial" w:cs="Arial"/>
        </w:rPr>
        <w:t xml:space="preserve"> </w:t>
      </w:r>
    </w:p>
    <w:p w:rsidR="002443BA" w:rsidRPr="00CC28B8" w:rsidRDefault="002443BA" w:rsidP="00BF1E4D">
      <w:pPr>
        <w:spacing w:after="0" w:line="360" w:lineRule="auto"/>
        <w:jc w:val="both"/>
        <w:rPr>
          <w:rFonts w:ascii="Arial" w:hAnsi="Arial" w:cs="Arial"/>
        </w:rPr>
      </w:pPr>
    </w:p>
    <w:p w:rsidR="00276AAD" w:rsidRPr="00CC28B8" w:rsidRDefault="008B7448" w:rsidP="00BF1E4D">
      <w:pPr>
        <w:spacing w:after="0" w:line="360" w:lineRule="auto"/>
        <w:jc w:val="both"/>
        <w:rPr>
          <w:rFonts w:ascii="Arial" w:hAnsi="Arial" w:cs="Arial"/>
          <w:b/>
        </w:rPr>
      </w:pPr>
      <w:r w:rsidRPr="00CC28B8">
        <w:rPr>
          <w:rFonts w:ascii="Arial" w:hAnsi="Arial" w:cs="Arial"/>
          <w:b/>
        </w:rPr>
        <w:t>MATERIAL</w:t>
      </w:r>
      <w:r w:rsidR="00276AAD" w:rsidRPr="00CC28B8">
        <w:rPr>
          <w:rFonts w:ascii="Arial" w:hAnsi="Arial" w:cs="Arial"/>
          <w:b/>
        </w:rPr>
        <w:t xml:space="preserve"> AND METHODS</w:t>
      </w:r>
    </w:p>
    <w:p w:rsidR="00785C33" w:rsidRPr="00CC28B8" w:rsidRDefault="00285A18" w:rsidP="00BF1E4D">
      <w:pPr>
        <w:pStyle w:val="Heading3"/>
        <w:shd w:val="clear" w:color="auto" w:fill="FFFFFF"/>
        <w:spacing w:before="0" w:line="360" w:lineRule="auto"/>
        <w:jc w:val="both"/>
        <w:rPr>
          <w:rFonts w:ascii="Arial" w:hAnsi="Arial" w:cs="Arial"/>
          <w:b w:val="0"/>
          <w:color w:val="auto"/>
          <w:sz w:val="22"/>
          <w:szCs w:val="22"/>
        </w:rPr>
      </w:pPr>
      <w:r w:rsidRPr="00CC28B8">
        <w:rPr>
          <w:rFonts w:ascii="Arial" w:hAnsi="Arial" w:cs="Arial"/>
          <w:b w:val="0"/>
          <w:color w:val="auto"/>
          <w:sz w:val="22"/>
          <w:szCs w:val="22"/>
        </w:rPr>
        <w:t xml:space="preserve">All SGT diagnosed and treated </w:t>
      </w:r>
      <w:r w:rsidR="00731AEB" w:rsidRPr="00CC28B8">
        <w:rPr>
          <w:rFonts w:ascii="Arial" w:hAnsi="Arial" w:cs="Arial"/>
          <w:b w:val="0"/>
          <w:color w:val="auto"/>
          <w:sz w:val="22"/>
          <w:szCs w:val="22"/>
        </w:rPr>
        <w:t xml:space="preserve">at </w:t>
      </w:r>
      <w:r w:rsidRPr="00CC28B8">
        <w:rPr>
          <w:rFonts w:ascii="Arial" w:hAnsi="Arial" w:cs="Arial"/>
          <w:b w:val="0"/>
          <w:color w:val="auto"/>
          <w:sz w:val="22"/>
          <w:szCs w:val="22"/>
        </w:rPr>
        <w:t xml:space="preserve">the Centro </w:t>
      </w:r>
      <w:proofErr w:type="spellStart"/>
      <w:r w:rsidRPr="00CC28B8">
        <w:rPr>
          <w:rFonts w:ascii="Arial" w:hAnsi="Arial" w:cs="Arial"/>
          <w:b w:val="0"/>
          <w:color w:val="auto"/>
          <w:sz w:val="22"/>
          <w:szCs w:val="22"/>
        </w:rPr>
        <w:t>Hospitalar</w:t>
      </w:r>
      <w:proofErr w:type="spellEnd"/>
      <w:r w:rsidRPr="00CC28B8">
        <w:rPr>
          <w:rFonts w:ascii="Arial" w:hAnsi="Arial" w:cs="Arial"/>
          <w:b w:val="0"/>
          <w:color w:val="auto"/>
          <w:sz w:val="22"/>
          <w:szCs w:val="22"/>
        </w:rPr>
        <w:t xml:space="preserve"> São </w:t>
      </w:r>
      <w:proofErr w:type="spellStart"/>
      <w:r w:rsidRPr="00CC28B8">
        <w:rPr>
          <w:rFonts w:ascii="Arial" w:hAnsi="Arial" w:cs="Arial"/>
          <w:b w:val="0"/>
          <w:color w:val="auto"/>
          <w:sz w:val="22"/>
          <w:szCs w:val="22"/>
        </w:rPr>
        <w:t>João</w:t>
      </w:r>
      <w:proofErr w:type="spellEnd"/>
      <w:r w:rsidR="004D377A" w:rsidRPr="00CC28B8">
        <w:rPr>
          <w:rFonts w:ascii="Arial" w:hAnsi="Arial" w:cs="Arial"/>
          <w:b w:val="0"/>
          <w:color w:val="auto"/>
          <w:sz w:val="22"/>
          <w:szCs w:val="22"/>
        </w:rPr>
        <w:t>, Porto</w:t>
      </w:r>
      <w:r w:rsidR="00731AEB" w:rsidRPr="00CC28B8">
        <w:rPr>
          <w:rFonts w:ascii="Arial" w:hAnsi="Arial" w:cs="Arial"/>
          <w:b w:val="0"/>
          <w:color w:val="auto"/>
          <w:sz w:val="22"/>
          <w:szCs w:val="22"/>
        </w:rPr>
        <w:t xml:space="preserve"> (a tertiary center </w:t>
      </w:r>
      <w:r w:rsidR="004D377A" w:rsidRPr="00CC28B8">
        <w:rPr>
          <w:rFonts w:ascii="Arial" w:hAnsi="Arial" w:cs="Arial"/>
          <w:b w:val="0"/>
          <w:color w:val="auto"/>
          <w:sz w:val="22"/>
          <w:szCs w:val="22"/>
        </w:rPr>
        <w:t xml:space="preserve">in </w:t>
      </w:r>
      <w:r w:rsidR="00100964" w:rsidRPr="00CC28B8">
        <w:rPr>
          <w:rFonts w:ascii="Arial" w:hAnsi="Arial" w:cs="Arial"/>
          <w:b w:val="0"/>
          <w:color w:val="auto"/>
          <w:sz w:val="22"/>
          <w:szCs w:val="22"/>
        </w:rPr>
        <w:t>N</w:t>
      </w:r>
      <w:r w:rsidR="004D377A" w:rsidRPr="00CC28B8">
        <w:rPr>
          <w:rFonts w:ascii="Arial" w:hAnsi="Arial" w:cs="Arial"/>
          <w:b w:val="0"/>
          <w:color w:val="auto"/>
          <w:sz w:val="22"/>
          <w:szCs w:val="22"/>
        </w:rPr>
        <w:t xml:space="preserve">orth Portugal </w:t>
      </w:r>
      <w:r w:rsidR="00731AEB" w:rsidRPr="00CC28B8">
        <w:rPr>
          <w:rFonts w:ascii="Arial" w:hAnsi="Arial" w:cs="Arial"/>
          <w:b w:val="0"/>
          <w:color w:val="auto"/>
          <w:sz w:val="22"/>
          <w:szCs w:val="22"/>
        </w:rPr>
        <w:t>for the diagnosis and treatment of non-oncologic and oncologic patients)</w:t>
      </w:r>
      <w:r w:rsidRPr="00CC28B8">
        <w:rPr>
          <w:rFonts w:ascii="Arial" w:hAnsi="Arial" w:cs="Arial"/>
          <w:b w:val="0"/>
          <w:color w:val="auto"/>
          <w:sz w:val="22"/>
          <w:szCs w:val="22"/>
        </w:rPr>
        <w:t xml:space="preserve">, between 2005 and 2015, were retrieved from the pathology department files. </w:t>
      </w:r>
      <w:r w:rsidR="00797EE1" w:rsidRPr="00CC28B8">
        <w:rPr>
          <w:rFonts w:ascii="Arial" w:hAnsi="Arial" w:cs="Arial"/>
          <w:b w:val="0"/>
          <w:color w:val="auto"/>
          <w:sz w:val="22"/>
          <w:szCs w:val="22"/>
        </w:rPr>
        <w:t>Only p</w:t>
      </w:r>
      <w:r w:rsidR="00276AAD" w:rsidRPr="00CC28B8">
        <w:rPr>
          <w:rFonts w:ascii="Arial" w:hAnsi="Arial" w:cs="Arial"/>
          <w:b w:val="0"/>
          <w:color w:val="auto"/>
          <w:sz w:val="22"/>
          <w:szCs w:val="22"/>
        </w:rPr>
        <w:t xml:space="preserve">atients with </w:t>
      </w:r>
      <w:r w:rsidR="00756271" w:rsidRPr="00CC28B8">
        <w:rPr>
          <w:rFonts w:ascii="Arial" w:hAnsi="Arial" w:cs="Arial"/>
          <w:b w:val="0"/>
          <w:i/>
          <w:color w:val="auto"/>
          <w:sz w:val="22"/>
          <w:szCs w:val="22"/>
        </w:rPr>
        <w:t>major</w:t>
      </w:r>
      <w:r w:rsidR="00756271" w:rsidRPr="00CC28B8">
        <w:rPr>
          <w:rFonts w:ascii="Arial" w:hAnsi="Arial" w:cs="Arial"/>
          <w:b w:val="0"/>
          <w:color w:val="auto"/>
          <w:sz w:val="22"/>
          <w:szCs w:val="22"/>
        </w:rPr>
        <w:t xml:space="preserve"> or </w:t>
      </w:r>
      <w:r w:rsidR="00756271" w:rsidRPr="00CC28B8">
        <w:rPr>
          <w:rFonts w:ascii="Arial" w:hAnsi="Arial" w:cs="Arial"/>
          <w:b w:val="0"/>
          <w:i/>
          <w:color w:val="auto"/>
          <w:sz w:val="22"/>
          <w:szCs w:val="22"/>
        </w:rPr>
        <w:t>minor</w:t>
      </w:r>
      <w:r w:rsidR="00756271" w:rsidRPr="00CC28B8">
        <w:rPr>
          <w:rFonts w:ascii="Arial" w:hAnsi="Arial" w:cs="Arial"/>
          <w:b w:val="0"/>
          <w:color w:val="auto"/>
          <w:sz w:val="22"/>
          <w:szCs w:val="22"/>
        </w:rPr>
        <w:t xml:space="preserve"> </w:t>
      </w:r>
      <w:r w:rsidR="00276AAD" w:rsidRPr="00CC28B8">
        <w:rPr>
          <w:rFonts w:ascii="Arial" w:hAnsi="Arial" w:cs="Arial"/>
          <w:b w:val="0"/>
          <w:color w:val="auto"/>
          <w:sz w:val="22"/>
          <w:szCs w:val="22"/>
        </w:rPr>
        <w:t xml:space="preserve">salivary gland tumors that were submitted to surgical treatment were included. Patients who underwent surgical treatment due to primary skin </w:t>
      </w:r>
      <w:r w:rsidR="00B8159E" w:rsidRPr="00CC28B8">
        <w:rPr>
          <w:rFonts w:ascii="Arial" w:hAnsi="Arial" w:cs="Arial"/>
          <w:b w:val="0"/>
          <w:color w:val="auto"/>
          <w:sz w:val="22"/>
          <w:szCs w:val="22"/>
        </w:rPr>
        <w:t xml:space="preserve">or oral </w:t>
      </w:r>
      <w:r w:rsidR="00276AAD" w:rsidRPr="00CC28B8">
        <w:rPr>
          <w:rFonts w:ascii="Arial" w:hAnsi="Arial" w:cs="Arial"/>
          <w:b w:val="0"/>
          <w:color w:val="auto"/>
          <w:sz w:val="22"/>
          <w:szCs w:val="22"/>
        </w:rPr>
        <w:t>cancer</w:t>
      </w:r>
      <w:r w:rsidR="00785C33" w:rsidRPr="00CC28B8">
        <w:rPr>
          <w:rFonts w:ascii="Arial" w:hAnsi="Arial" w:cs="Arial"/>
          <w:b w:val="0"/>
          <w:color w:val="auto"/>
          <w:sz w:val="22"/>
          <w:szCs w:val="22"/>
        </w:rPr>
        <w:t>s with</w:t>
      </w:r>
      <w:r w:rsidR="00276AAD" w:rsidRPr="00CC28B8">
        <w:rPr>
          <w:rFonts w:ascii="Arial" w:hAnsi="Arial" w:cs="Arial"/>
          <w:b w:val="0"/>
          <w:color w:val="auto"/>
          <w:sz w:val="22"/>
          <w:szCs w:val="22"/>
        </w:rPr>
        <w:t xml:space="preserve"> salivary gland </w:t>
      </w:r>
      <w:r w:rsidR="00785C33" w:rsidRPr="00CC28B8">
        <w:rPr>
          <w:rFonts w:ascii="Arial" w:hAnsi="Arial" w:cs="Arial"/>
          <w:b w:val="0"/>
          <w:color w:val="auto"/>
          <w:sz w:val="22"/>
          <w:szCs w:val="22"/>
        </w:rPr>
        <w:t xml:space="preserve">direct invasion were excluded. </w:t>
      </w:r>
      <w:r w:rsidRPr="00CC28B8">
        <w:rPr>
          <w:rFonts w:ascii="Arial" w:hAnsi="Arial" w:cs="Arial"/>
          <w:b w:val="0"/>
          <w:color w:val="auto"/>
          <w:sz w:val="22"/>
          <w:szCs w:val="22"/>
        </w:rPr>
        <w:t>Histologic</w:t>
      </w:r>
      <w:r w:rsidR="00785C33" w:rsidRPr="00CC28B8">
        <w:rPr>
          <w:rFonts w:ascii="Arial" w:hAnsi="Arial" w:cs="Arial"/>
          <w:b w:val="0"/>
          <w:color w:val="auto"/>
          <w:sz w:val="22"/>
          <w:szCs w:val="22"/>
        </w:rPr>
        <w:t>al</w:t>
      </w:r>
      <w:r w:rsidR="00C403D8" w:rsidRPr="00CC28B8">
        <w:rPr>
          <w:rFonts w:ascii="Arial" w:hAnsi="Arial" w:cs="Arial"/>
          <w:b w:val="0"/>
          <w:color w:val="auto"/>
          <w:sz w:val="22"/>
          <w:szCs w:val="22"/>
        </w:rPr>
        <w:t xml:space="preserve"> </w:t>
      </w:r>
      <w:r w:rsidR="00797EE1" w:rsidRPr="00CC28B8">
        <w:rPr>
          <w:rFonts w:ascii="Arial" w:hAnsi="Arial" w:cs="Arial"/>
          <w:b w:val="0"/>
          <w:color w:val="auto"/>
          <w:sz w:val="22"/>
          <w:szCs w:val="22"/>
        </w:rPr>
        <w:t xml:space="preserve">re-evaluation of the whole stored surgical specimen’s material </w:t>
      </w:r>
      <w:r w:rsidR="00C403D8" w:rsidRPr="00CC28B8">
        <w:rPr>
          <w:rFonts w:ascii="Arial" w:hAnsi="Arial" w:cs="Arial"/>
          <w:b w:val="0"/>
          <w:color w:val="auto"/>
          <w:sz w:val="22"/>
          <w:szCs w:val="22"/>
        </w:rPr>
        <w:t xml:space="preserve">was </w:t>
      </w:r>
      <w:r w:rsidR="00797EE1" w:rsidRPr="00CC28B8">
        <w:rPr>
          <w:rFonts w:ascii="Arial" w:hAnsi="Arial" w:cs="Arial"/>
          <w:b w:val="0"/>
          <w:color w:val="auto"/>
          <w:sz w:val="22"/>
          <w:szCs w:val="22"/>
        </w:rPr>
        <w:t xml:space="preserve">performed </w:t>
      </w:r>
      <w:r w:rsidR="00C403D8" w:rsidRPr="00CC28B8">
        <w:rPr>
          <w:rFonts w:ascii="Arial" w:hAnsi="Arial" w:cs="Arial"/>
          <w:b w:val="0"/>
          <w:color w:val="auto"/>
          <w:sz w:val="22"/>
          <w:szCs w:val="22"/>
        </w:rPr>
        <w:t>in all cases</w:t>
      </w:r>
      <w:r w:rsidRPr="00CC28B8">
        <w:rPr>
          <w:rFonts w:ascii="Arial" w:hAnsi="Arial" w:cs="Arial"/>
          <w:b w:val="0"/>
          <w:color w:val="auto"/>
          <w:sz w:val="22"/>
          <w:szCs w:val="22"/>
        </w:rPr>
        <w:t xml:space="preserve"> </w:t>
      </w:r>
      <w:r w:rsidR="00961006" w:rsidRPr="00CC28B8">
        <w:rPr>
          <w:rFonts w:ascii="Arial" w:hAnsi="Arial" w:cs="Arial"/>
          <w:b w:val="0"/>
          <w:color w:val="auto"/>
          <w:sz w:val="22"/>
          <w:szCs w:val="22"/>
        </w:rPr>
        <w:t>and</w:t>
      </w:r>
      <w:r w:rsidRPr="00CC28B8">
        <w:rPr>
          <w:rFonts w:ascii="Arial" w:hAnsi="Arial" w:cs="Arial"/>
          <w:b w:val="0"/>
          <w:color w:val="auto"/>
          <w:sz w:val="22"/>
          <w:szCs w:val="22"/>
        </w:rPr>
        <w:t xml:space="preserve"> additional </w:t>
      </w:r>
      <w:proofErr w:type="spellStart"/>
      <w:r w:rsidR="00961006" w:rsidRPr="00CC28B8">
        <w:rPr>
          <w:rFonts w:ascii="Arial" w:hAnsi="Arial" w:cs="Arial"/>
          <w:b w:val="0"/>
          <w:color w:val="auto"/>
          <w:sz w:val="22"/>
          <w:szCs w:val="22"/>
        </w:rPr>
        <w:t>hi</w:t>
      </w:r>
      <w:r w:rsidR="00737729" w:rsidRPr="00CC28B8">
        <w:rPr>
          <w:rFonts w:ascii="Arial" w:hAnsi="Arial" w:cs="Arial"/>
          <w:b w:val="0"/>
          <w:color w:val="auto"/>
          <w:sz w:val="22"/>
          <w:szCs w:val="22"/>
        </w:rPr>
        <w:t>stochemical</w:t>
      </w:r>
      <w:proofErr w:type="spellEnd"/>
      <w:r w:rsidR="00737729" w:rsidRPr="00CC28B8">
        <w:rPr>
          <w:rFonts w:ascii="Arial" w:hAnsi="Arial" w:cs="Arial"/>
          <w:b w:val="0"/>
          <w:color w:val="auto"/>
          <w:sz w:val="22"/>
          <w:szCs w:val="22"/>
        </w:rPr>
        <w:t xml:space="preserve"> and </w:t>
      </w:r>
      <w:proofErr w:type="spellStart"/>
      <w:r w:rsidR="00276AAD" w:rsidRPr="00CC28B8">
        <w:rPr>
          <w:rFonts w:ascii="Arial" w:hAnsi="Arial" w:cs="Arial"/>
          <w:b w:val="0"/>
          <w:color w:val="auto"/>
          <w:sz w:val="22"/>
          <w:szCs w:val="22"/>
        </w:rPr>
        <w:t>i</w:t>
      </w:r>
      <w:r w:rsidR="00785C33" w:rsidRPr="00CC28B8">
        <w:rPr>
          <w:rFonts w:ascii="Arial" w:hAnsi="Arial" w:cs="Arial"/>
          <w:b w:val="0"/>
          <w:color w:val="auto"/>
          <w:sz w:val="22"/>
          <w:szCs w:val="22"/>
        </w:rPr>
        <w:t>mmunohistochemi</w:t>
      </w:r>
      <w:r w:rsidR="00961006" w:rsidRPr="00CC28B8">
        <w:rPr>
          <w:rFonts w:ascii="Arial" w:hAnsi="Arial" w:cs="Arial"/>
          <w:b w:val="0"/>
          <w:color w:val="auto"/>
          <w:sz w:val="22"/>
          <w:szCs w:val="22"/>
        </w:rPr>
        <w:t>cal</w:t>
      </w:r>
      <w:proofErr w:type="spellEnd"/>
      <w:r w:rsidR="00961006" w:rsidRPr="00CC28B8">
        <w:rPr>
          <w:rFonts w:ascii="Arial" w:hAnsi="Arial" w:cs="Arial"/>
          <w:b w:val="0"/>
          <w:color w:val="auto"/>
          <w:sz w:val="22"/>
          <w:szCs w:val="22"/>
        </w:rPr>
        <w:t xml:space="preserve"> studies were </w:t>
      </w:r>
      <w:r w:rsidR="00797EE1" w:rsidRPr="00CC28B8">
        <w:rPr>
          <w:rFonts w:ascii="Arial" w:hAnsi="Arial" w:cs="Arial"/>
          <w:b w:val="0"/>
          <w:color w:val="auto"/>
          <w:sz w:val="22"/>
          <w:szCs w:val="22"/>
        </w:rPr>
        <w:t xml:space="preserve">carried out </w:t>
      </w:r>
      <w:r w:rsidRPr="00CC28B8">
        <w:rPr>
          <w:rFonts w:ascii="Arial" w:hAnsi="Arial" w:cs="Arial"/>
          <w:b w:val="0"/>
          <w:color w:val="auto"/>
          <w:sz w:val="22"/>
          <w:szCs w:val="22"/>
        </w:rPr>
        <w:t xml:space="preserve">whenever appropriate. </w:t>
      </w:r>
      <w:proofErr w:type="spellStart"/>
      <w:r w:rsidR="00276AAD" w:rsidRPr="00CC28B8">
        <w:rPr>
          <w:rFonts w:ascii="Arial" w:hAnsi="Arial" w:cs="Arial"/>
          <w:b w:val="0"/>
          <w:color w:val="auto"/>
          <w:sz w:val="22"/>
          <w:szCs w:val="22"/>
        </w:rPr>
        <w:t>Histopathological</w:t>
      </w:r>
      <w:proofErr w:type="spellEnd"/>
      <w:r w:rsidR="00276AAD" w:rsidRPr="00CC28B8">
        <w:rPr>
          <w:rFonts w:ascii="Arial" w:hAnsi="Arial" w:cs="Arial"/>
          <w:b w:val="0"/>
          <w:color w:val="auto"/>
          <w:sz w:val="22"/>
          <w:szCs w:val="22"/>
        </w:rPr>
        <w:t xml:space="preserve"> classification was </w:t>
      </w:r>
      <w:r w:rsidR="00797EE1" w:rsidRPr="00CC28B8">
        <w:rPr>
          <w:rFonts w:ascii="Arial" w:hAnsi="Arial" w:cs="Arial"/>
          <w:b w:val="0"/>
          <w:color w:val="auto"/>
          <w:sz w:val="22"/>
          <w:szCs w:val="22"/>
        </w:rPr>
        <w:t xml:space="preserve">accomplished </w:t>
      </w:r>
      <w:r w:rsidR="00276AAD" w:rsidRPr="00CC28B8">
        <w:rPr>
          <w:rFonts w:ascii="Arial" w:hAnsi="Arial" w:cs="Arial"/>
          <w:b w:val="0"/>
          <w:color w:val="auto"/>
          <w:sz w:val="22"/>
          <w:szCs w:val="22"/>
        </w:rPr>
        <w:t>according</w:t>
      </w:r>
      <w:r w:rsidR="00D90165" w:rsidRPr="00CC28B8">
        <w:rPr>
          <w:rFonts w:ascii="Arial" w:hAnsi="Arial" w:cs="Arial"/>
          <w:b w:val="0"/>
          <w:color w:val="auto"/>
          <w:sz w:val="22"/>
          <w:szCs w:val="22"/>
        </w:rPr>
        <w:t xml:space="preserve"> to</w:t>
      </w:r>
      <w:r w:rsidR="00276AAD" w:rsidRPr="00CC28B8">
        <w:rPr>
          <w:rFonts w:ascii="Arial" w:hAnsi="Arial" w:cs="Arial"/>
          <w:b w:val="0"/>
          <w:color w:val="auto"/>
          <w:sz w:val="22"/>
          <w:szCs w:val="22"/>
        </w:rPr>
        <w:t xml:space="preserve"> the current </w:t>
      </w:r>
      <w:r w:rsidR="0080528E" w:rsidRPr="00CC28B8">
        <w:rPr>
          <w:rFonts w:ascii="Arial" w:hAnsi="Arial" w:cs="Arial"/>
          <w:b w:val="0"/>
          <w:color w:val="auto"/>
          <w:sz w:val="22"/>
          <w:szCs w:val="22"/>
        </w:rPr>
        <w:t>World Health Organization (</w:t>
      </w:r>
      <w:r w:rsidR="00276AAD" w:rsidRPr="00CC28B8">
        <w:rPr>
          <w:rFonts w:ascii="Arial" w:hAnsi="Arial" w:cs="Arial"/>
          <w:b w:val="0"/>
          <w:color w:val="auto"/>
          <w:sz w:val="22"/>
          <w:szCs w:val="22"/>
        </w:rPr>
        <w:t>WHO</w:t>
      </w:r>
      <w:r w:rsidR="0080528E" w:rsidRPr="00CC28B8">
        <w:rPr>
          <w:rFonts w:ascii="Arial" w:hAnsi="Arial" w:cs="Arial"/>
          <w:b w:val="0"/>
          <w:color w:val="auto"/>
          <w:sz w:val="22"/>
          <w:szCs w:val="22"/>
        </w:rPr>
        <w:t>)</w:t>
      </w:r>
      <w:r w:rsidR="00276AAD" w:rsidRPr="00CC28B8">
        <w:rPr>
          <w:rFonts w:ascii="Arial" w:hAnsi="Arial" w:cs="Arial"/>
          <w:b w:val="0"/>
          <w:color w:val="auto"/>
          <w:sz w:val="22"/>
          <w:szCs w:val="22"/>
        </w:rPr>
        <w:t xml:space="preserve"> blue book</w:t>
      </w:r>
      <w:r w:rsidR="00244165" w:rsidRPr="00CC28B8">
        <w:rPr>
          <w:rFonts w:ascii="Arial" w:hAnsi="Arial" w:cs="Arial"/>
          <w:b w:val="0"/>
          <w:color w:val="auto"/>
          <w:sz w:val="22"/>
          <w:szCs w:val="22"/>
          <w:vertAlign w:val="superscript"/>
        </w:rPr>
        <w:t>12</w:t>
      </w:r>
      <w:r w:rsidR="00797EE1" w:rsidRPr="00CC28B8">
        <w:rPr>
          <w:rFonts w:ascii="Arial" w:hAnsi="Arial" w:cs="Arial"/>
          <w:b w:val="0"/>
          <w:color w:val="auto"/>
          <w:sz w:val="22"/>
          <w:szCs w:val="22"/>
        </w:rPr>
        <w:t>, and</w:t>
      </w:r>
      <w:r w:rsidR="00785C33" w:rsidRPr="00CC28B8">
        <w:rPr>
          <w:rFonts w:ascii="Arial" w:hAnsi="Arial" w:cs="Arial"/>
          <w:b w:val="0"/>
          <w:color w:val="auto"/>
          <w:sz w:val="22"/>
          <w:szCs w:val="22"/>
        </w:rPr>
        <w:t xml:space="preserve"> </w:t>
      </w:r>
      <w:r w:rsidR="00797EE1" w:rsidRPr="00CC28B8">
        <w:rPr>
          <w:rFonts w:ascii="Arial" w:hAnsi="Arial" w:cs="Arial"/>
          <w:b w:val="0"/>
          <w:color w:val="auto"/>
          <w:sz w:val="22"/>
          <w:szCs w:val="22"/>
        </w:rPr>
        <w:t>p</w:t>
      </w:r>
      <w:r w:rsidR="00785C33" w:rsidRPr="00CC28B8">
        <w:rPr>
          <w:rFonts w:ascii="Arial" w:hAnsi="Arial" w:cs="Arial"/>
          <w:b w:val="0"/>
          <w:color w:val="auto"/>
          <w:sz w:val="22"/>
          <w:szCs w:val="22"/>
        </w:rPr>
        <w:t>at</w:t>
      </w:r>
      <w:r w:rsidR="00737729" w:rsidRPr="00CC28B8">
        <w:rPr>
          <w:rFonts w:ascii="Arial" w:hAnsi="Arial" w:cs="Arial"/>
          <w:b w:val="0"/>
          <w:color w:val="auto"/>
          <w:sz w:val="22"/>
          <w:szCs w:val="22"/>
        </w:rPr>
        <w:t>h</w:t>
      </w:r>
      <w:r w:rsidR="00785C33" w:rsidRPr="00CC28B8">
        <w:rPr>
          <w:rFonts w:ascii="Arial" w:hAnsi="Arial" w:cs="Arial"/>
          <w:b w:val="0"/>
          <w:color w:val="auto"/>
          <w:sz w:val="22"/>
          <w:szCs w:val="22"/>
        </w:rPr>
        <w:t>ological staging of maligna</w:t>
      </w:r>
      <w:r w:rsidR="00737729" w:rsidRPr="00CC28B8">
        <w:rPr>
          <w:rFonts w:ascii="Arial" w:hAnsi="Arial" w:cs="Arial"/>
          <w:b w:val="0"/>
          <w:color w:val="auto"/>
          <w:sz w:val="22"/>
          <w:szCs w:val="22"/>
        </w:rPr>
        <w:t>n</w:t>
      </w:r>
      <w:r w:rsidR="00961006" w:rsidRPr="00CC28B8">
        <w:rPr>
          <w:rFonts w:ascii="Arial" w:hAnsi="Arial" w:cs="Arial"/>
          <w:b w:val="0"/>
          <w:color w:val="auto"/>
          <w:sz w:val="22"/>
          <w:szCs w:val="22"/>
        </w:rPr>
        <w:t>t tumo</w:t>
      </w:r>
      <w:r w:rsidR="00785C33" w:rsidRPr="00CC28B8">
        <w:rPr>
          <w:rFonts w:ascii="Arial" w:hAnsi="Arial" w:cs="Arial"/>
          <w:b w:val="0"/>
          <w:color w:val="auto"/>
          <w:sz w:val="22"/>
          <w:szCs w:val="22"/>
        </w:rPr>
        <w:t xml:space="preserve">rs </w:t>
      </w:r>
      <w:r w:rsidR="00961006" w:rsidRPr="00CC28B8">
        <w:rPr>
          <w:rFonts w:ascii="Arial" w:hAnsi="Arial" w:cs="Arial"/>
          <w:b w:val="0"/>
          <w:color w:val="auto"/>
          <w:sz w:val="22"/>
          <w:szCs w:val="22"/>
        </w:rPr>
        <w:t>according</w:t>
      </w:r>
      <w:r w:rsidR="00D90165" w:rsidRPr="00CC28B8">
        <w:rPr>
          <w:rFonts w:ascii="Arial" w:hAnsi="Arial" w:cs="Arial"/>
          <w:b w:val="0"/>
          <w:color w:val="auto"/>
          <w:sz w:val="22"/>
          <w:szCs w:val="22"/>
        </w:rPr>
        <w:t xml:space="preserve"> to</w:t>
      </w:r>
      <w:r w:rsidR="00785C33" w:rsidRPr="00CC28B8">
        <w:rPr>
          <w:rFonts w:ascii="Arial" w:hAnsi="Arial" w:cs="Arial"/>
          <w:b w:val="0"/>
          <w:color w:val="auto"/>
          <w:sz w:val="22"/>
          <w:szCs w:val="22"/>
        </w:rPr>
        <w:t xml:space="preserve"> the </w:t>
      </w:r>
      <w:hyperlink r:id="rId8" w:history="1">
        <w:r w:rsidR="0080528E" w:rsidRPr="00CC28B8">
          <w:rPr>
            <w:rStyle w:val="Hyperlink"/>
            <w:rFonts w:ascii="Arial" w:hAnsi="Arial" w:cs="Arial"/>
            <w:b w:val="0"/>
            <w:bCs w:val="0"/>
            <w:color w:val="auto"/>
            <w:sz w:val="22"/>
            <w:szCs w:val="22"/>
            <w:u w:val="none"/>
          </w:rPr>
          <w:t>American Joint Committee on Cancer</w:t>
        </w:r>
      </w:hyperlink>
      <w:r w:rsidR="0080528E" w:rsidRPr="00CC28B8">
        <w:rPr>
          <w:rFonts w:ascii="Arial" w:hAnsi="Arial" w:cs="Arial"/>
          <w:b w:val="0"/>
          <w:bCs w:val="0"/>
          <w:color w:val="auto"/>
          <w:sz w:val="22"/>
          <w:szCs w:val="22"/>
        </w:rPr>
        <w:t xml:space="preserve"> </w:t>
      </w:r>
      <w:r w:rsidR="0080528E" w:rsidRPr="00CC28B8">
        <w:rPr>
          <w:rFonts w:ascii="Arial" w:hAnsi="Arial" w:cs="Arial"/>
          <w:b w:val="0"/>
          <w:color w:val="auto"/>
          <w:sz w:val="22"/>
          <w:szCs w:val="22"/>
        </w:rPr>
        <w:t xml:space="preserve"> (</w:t>
      </w:r>
      <w:r w:rsidR="00785C33" w:rsidRPr="00CC28B8">
        <w:rPr>
          <w:rFonts w:ascii="Arial" w:hAnsi="Arial" w:cs="Arial"/>
          <w:b w:val="0"/>
          <w:color w:val="auto"/>
          <w:sz w:val="22"/>
          <w:szCs w:val="22"/>
        </w:rPr>
        <w:t>AJCC</w:t>
      </w:r>
      <w:r w:rsidR="0080528E" w:rsidRPr="00CC28B8">
        <w:rPr>
          <w:rFonts w:ascii="Arial" w:hAnsi="Arial" w:cs="Arial"/>
          <w:b w:val="0"/>
          <w:color w:val="auto"/>
          <w:sz w:val="22"/>
          <w:szCs w:val="22"/>
        </w:rPr>
        <w:t>)</w:t>
      </w:r>
      <w:r w:rsidR="00785C33" w:rsidRPr="00CC28B8">
        <w:rPr>
          <w:rFonts w:ascii="Arial" w:hAnsi="Arial" w:cs="Arial"/>
          <w:b w:val="0"/>
          <w:color w:val="auto"/>
          <w:sz w:val="22"/>
          <w:szCs w:val="22"/>
        </w:rPr>
        <w:t xml:space="preserve"> criteria</w:t>
      </w:r>
      <w:r w:rsidR="00737729" w:rsidRPr="00CC28B8">
        <w:rPr>
          <w:rFonts w:ascii="Arial" w:hAnsi="Arial" w:cs="Arial"/>
          <w:b w:val="0"/>
          <w:color w:val="auto"/>
          <w:sz w:val="22"/>
          <w:szCs w:val="22"/>
        </w:rPr>
        <w:t xml:space="preserve"> (7th edition)</w:t>
      </w:r>
      <w:r w:rsidR="00244165" w:rsidRPr="00CC28B8">
        <w:rPr>
          <w:rFonts w:ascii="Arial" w:hAnsi="Arial" w:cs="Arial"/>
          <w:b w:val="0"/>
          <w:color w:val="auto"/>
          <w:sz w:val="22"/>
          <w:szCs w:val="22"/>
          <w:vertAlign w:val="superscript"/>
        </w:rPr>
        <w:t>13</w:t>
      </w:r>
      <w:r w:rsidR="00785C33" w:rsidRPr="00CC28B8">
        <w:rPr>
          <w:rFonts w:ascii="Arial" w:hAnsi="Arial" w:cs="Arial"/>
          <w:b w:val="0"/>
          <w:color w:val="auto"/>
          <w:sz w:val="22"/>
          <w:szCs w:val="22"/>
        </w:rPr>
        <w:t>.</w:t>
      </w:r>
      <w:r w:rsidR="00756271" w:rsidRPr="00CC28B8">
        <w:rPr>
          <w:rFonts w:ascii="Arial" w:hAnsi="Arial" w:cs="Arial"/>
          <w:b w:val="0"/>
          <w:color w:val="auto"/>
          <w:sz w:val="22"/>
          <w:szCs w:val="22"/>
        </w:rPr>
        <w:t xml:space="preserve"> The presence of </w:t>
      </w:r>
      <w:r w:rsidR="001151BC" w:rsidRPr="00CC28B8">
        <w:rPr>
          <w:rFonts w:ascii="Arial" w:hAnsi="Arial" w:cs="Arial"/>
          <w:b w:val="0"/>
          <w:color w:val="auto"/>
          <w:sz w:val="22"/>
          <w:szCs w:val="22"/>
        </w:rPr>
        <w:t>extra-glandular</w:t>
      </w:r>
      <w:r w:rsidR="00C403D8" w:rsidRPr="00CC28B8">
        <w:rPr>
          <w:rFonts w:ascii="Arial" w:hAnsi="Arial" w:cs="Arial"/>
          <w:b w:val="0"/>
          <w:color w:val="auto"/>
          <w:sz w:val="22"/>
          <w:szCs w:val="22"/>
        </w:rPr>
        <w:t xml:space="preserve"> </w:t>
      </w:r>
      <w:r w:rsidR="00571280" w:rsidRPr="00CC28B8">
        <w:rPr>
          <w:rFonts w:ascii="Arial" w:hAnsi="Arial" w:cs="Arial"/>
          <w:b w:val="0"/>
          <w:color w:val="auto"/>
          <w:sz w:val="22"/>
          <w:szCs w:val="22"/>
        </w:rPr>
        <w:t>extension</w:t>
      </w:r>
      <w:r w:rsidR="00C403D8" w:rsidRPr="00CC28B8">
        <w:rPr>
          <w:rFonts w:ascii="Arial" w:hAnsi="Arial" w:cs="Arial"/>
          <w:b w:val="0"/>
          <w:color w:val="auto"/>
          <w:sz w:val="22"/>
          <w:szCs w:val="22"/>
        </w:rPr>
        <w:t xml:space="preserve"> or</w:t>
      </w:r>
      <w:r w:rsidR="00756271" w:rsidRPr="00CC28B8">
        <w:rPr>
          <w:rFonts w:ascii="Arial" w:hAnsi="Arial" w:cs="Arial"/>
          <w:b w:val="0"/>
          <w:color w:val="auto"/>
          <w:sz w:val="22"/>
          <w:szCs w:val="22"/>
        </w:rPr>
        <w:t xml:space="preserve"> </w:t>
      </w:r>
      <w:proofErr w:type="spellStart"/>
      <w:r w:rsidR="00756271" w:rsidRPr="00CC28B8">
        <w:rPr>
          <w:rFonts w:ascii="Arial" w:hAnsi="Arial" w:cs="Arial"/>
          <w:b w:val="0"/>
          <w:color w:val="auto"/>
          <w:sz w:val="22"/>
          <w:szCs w:val="22"/>
        </w:rPr>
        <w:t>perineural</w:t>
      </w:r>
      <w:proofErr w:type="spellEnd"/>
      <w:r w:rsidR="00756271" w:rsidRPr="00CC28B8">
        <w:rPr>
          <w:rFonts w:ascii="Arial" w:hAnsi="Arial" w:cs="Arial"/>
          <w:b w:val="0"/>
          <w:color w:val="auto"/>
          <w:sz w:val="22"/>
          <w:szCs w:val="22"/>
        </w:rPr>
        <w:t xml:space="preserve"> and vascular invasion was</w:t>
      </w:r>
      <w:r w:rsidR="00571280" w:rsidRPr="00CC28B8">
        <w:rPr>
          <w:rFonts w:ascii="Arial" w:hAnsi="Arial" w:cs="Arial"/>
          <w:b w:val="0"/>
          <w:color w:val="auto"/>
          <w:sz w:val="22"/>
          <w:szCs w:val="22"/>
        </w:rPr>
        <w:t xml:space="preserve"> </w:t>
      </w:r>
      <w:r w:rsidR="001151BC" w:rsidRPr="00CC28B8">
        <w:rPr>
          <w:rFonts w:ascii="Arial" w:hAnsi="Arial" w:cs="Arial"/>
          <w:b w:val="0"/>
          <w:color w:val="auto"/>
          <w:sz w:val="22"/>
          <w:szCs w:val="22"/>
        </w:rPr>
        <w:t>systematically</w:t>
      </w:r>
      <w:r w:rsidR="00756271" w:rsidRPr="00CC28B8">
        <w:rPr>
          <w:rFonts w:ascii="Arial" w:hAnsi="Arial" w:cs="Arial"/>
          <w:b w:val="0"/>
          <w:color w:val="auto"/>
          <w:sz w:val="22"/>
          <w:szCs w:val="22"/>
        </w:rPr>
        <w:t xml:space="preserve"> recorded. </w:t>
      </w:r>
      <w:r w:rsidR="00E61A67" w:rsidRPr="00CC28B8">
        <w:rPr>
          <w:rFonts w:ascii="Arial" w:hAnsi="Arial" w:cs="Arial"/>
          <w:b w:val="0"/>
          <w:color w:val="auto"/>
          <w:sz w:val="22"/>
          <w:szCs w:val="22"/>
        </w:rPr>
        <w:t>Risk stratificati</w:t>
      </w:r>
      <w:r w:rsidR="0081341E" w:rsidRPr="00CC28B8">
        <w:rPr>
          <w:rFonts w:ascii="Arial" w:hAnsi="Arial" w:cs="Arial"/>
          <w:b w:val="0"/>
          <w:color w:val="auto"/>
          <w:sz w:val="22"/>
          <w:szCs w:val="22"/>
        </w:rPr>
        <w:t xml:space="preserve">on of malignant epithelial tumors was </w:t>
      </w:r>
      <w:r w:rsidR="00571280" w:rsidRPr="00CC28B8">
        <w:rPr>
          <w:rFonts w:ascii="Arial" w:hAnsi="Arial" w:cs="Arial"/>
          <w:b w:val="0"/>
          <w:color w:val="auto"/>
          <w:sz w:val="22"/>
          <w:szCs w:val="22"/>
        </w:rPr>
        <w:t xml:space="preserve">completed </w:t>
      </w:r>
      <w:r w:rsidR="0081341E" w:rsidRPr="00CC28B8">
        <w:rPr>
          <w:rFonts w:ascii="Arial" w:hAnsi="Arial" w:cs="Arial"/>
          <w:b w:val="0"/>
          <w:color w:val="auto"/>
          <w:sz w:val="22"/>
          <w:szCs w:val="22"/>
        </w:rPr>
        <w:t>according</w:t>
      </w:r>
      <w:r w:rsidR="00E61A67" w:rsidRPr="00CC28B8">
        <w:rPr>
          <w:rFonts w:ascii="Arial" w:hAnsi="Arial" w:cs="Arial"/>
          <w:b w:val="0"/>
          <w:color w:val="auto"/>
          <w:sz w:val="22"/>
          <w:szCs w:val="22"/>
        </w:rPr>
        <w:t xml:space="preserve"> to the criteria described by Seethala</w:t>
      </w:r>
      <w:r w:rsidR="002F73DD" w:rsidRPr="00CC28B8">
        <w:rPr>
          <w:rFonts w:ascii="Arial" w:hAnsi="Arial" w:cs="Arial"/>
          <w:b w:val="0"/>
          <w:color w:val="auto"/>
          <w:sz w:val="22"/>
          <w:szCs w:val="22"/>
          <w:vertAlign w:val="superscript"/>
        </w:rPr>
        <w:fldChar w:fldCharType="begin" w:fldLock="1"/>
      </w:r>
      <w:r w:rsidR="00244165" w:rsidRPr="00CC28B8">
        <w:rPr>
          <w:rFonts w:ascii="Arial" w:hAnsi="Arial" w:cs="Arial"/>
          <w:b w:val="0"/>
          <w:color w:val="auto"/>
          <w:sz w:val="22"/>
          <w:szCs w:val="22"/>
          <w:vertAlign w:val="superscript"/>
        </w:rPr>
        <w:instrText>ADDIN CSL_CITATION { "citationItems" : [ { "id" : "ITEM-1", "itemData" : { "DOI" : "10.1097/PAP.0b013e318202645a", "ISBN" : "1072-4109", "ISSN" : "1072-4109", "PMID" : "21169736", "author" : [ { "dropping-particle" : "", "family" : "Raja R. Seethala", "given" : "", "non-dropping-particle" : "", "parse-names" : false, "suffix" : "" } ], "container-title" : "Adv Anat Pathol", "id" : "ITEM-1", "issue" : "800", "issued" : { "date-parts" : [ [ "2011" ] ] }, "page" : "29-45", "title" : "Histologic Grading and Prognostic Biomarkers in Salivary Gland Carcinomas", "type" : "article-journal", "volume" : "18" }, "uris" : [ "http://www.mendeley.com/documents/?uuid=a98f771f-2214-41ce-8576-d89be684c0eb" ] }, { "id" : "ITEM-2", "itemData" : { "DOI" : "10.1007/s12105-009-0102-9", "ISBN" : "1936-0568 (Electronic)", "ISSN" : "1936055X", "PMID" : "20596994", "abstract" : "Histologic grade is a significant predictor of outcome in salivary gland carcinomas. However, the sheer variety of tumor type and the rarity of these tumors pose challenges to devising highly predictive grading schemes. As our knowledge base has evolved, it is clear that carcinoma ex pleomorphic adenoma is not automatically a high grade tumor as is traditionally suggested. These tumors should be further qualified as to type/grade of carcinoma and extent, since intracapsular and minimally invasive carcinomas ex pleomorphic adenoma behave favorably. The two carcinoma types for which grading schemes are common include adenoid cystic carcinoma and mucoepidermoid carcinoma. Adenoid cystic carcinomas are graded based solely on pattern with solid components portending a worse prognosis. Occasionally, adenoid cystic carcinomas may undergo transformation to pleomorphic high grade carcinomas. This feature confers a high propensity for lymph node metastasis and should thus be reported to alert the clinical team. Mucoepidermoid carcinomas are graded in a three tier fashion based on a constellation of features including cystic component, border, mitoses, anaplasia, and perineural invasion among others. All grading schemes are somewhat cumbersome, intimidating and occasionally ambiguous, but evidence suggests that using a scheme consistently shows greater reproducibility than using an intuitive approach. The intermediate grade category demonstrates the most variability between grading systems and thus the most controversy in management. In the AFIP system intermediate grade tumors cluster with high grade tumors, while in the Brandwein system, they cluster with low grade tumors.", "author" : [ { "dropping-particle" : "", "family" : "Seethala", "given" : "Raja R.", "non-dropping-particle" : "", "parse-names" : false, "suffix" : "" } ], "container-title" : "Head and Neck Pathology", "id" : "ITEM-2", "issue" : "1", "issued" : { "date-parts" : [ [ "2009" ] ] }, "page" : "69-77", "title" : "An update on grading of salivary gland carcinomas", "type" : "article-journal", "volume" : "3" }, "uris" : [ "http://www.mendeley.com/documents/?uuid=0bc9d748-b087-4148-acfd-79184f4964d4" ] } ], "mendeley" : { "formattedCitation" : "(8,9)", "manualFormatting" : "14,15", "plainTextFormattedCitation" : "(8,9)", "previouslyFormattedCitation" : "(8,9)" }, "properties" : { "noteIndex" : 0 }, "schema" : "https://github.com/citation-style-language/schema/raw/master/csl-citation.json" }</w:instrText>
      </w:r>
      <w:r w:rsidR="002F73DD" w:rsidRPr="00CC28B8">
        <w:rPr>
          <w:rFonts w:ascii="Arial" w:hAnsi="Arial" w:cs="Arial"/>
          <w:b w:val="0"/>
          <w:color w:val="auto"/>
          <w:sz w:val="22"/>
          <w:szCs w:val="22"/>
          <w:vertAlign w:val="superscript"/>
        </w:rPr>
        <w:fldChar w:fldCharType="separate"/>
      </w:r>
      <w:r w:rsidR="00244165" w:rsidRPr="00CC28B8">
        <w:rPr>
          <w:rFonts w:ascii="Arial" w:hAnsi="Arial" w:cs="Arial"/>
          <w:b w:val="0"/>
          <w:noProof/>
          <w:color w:val="auto"/>
          <w:sz w:val="22"/>
          <w:szCs w:val="22"/>
          <w:vertAlign w:val="superscript"/>
        </w:rPr>
        <w:t>14</w:t>
      </w:r>
      <w:r w:rsidR="004E4656" w:rsidRPr="00CC28B8">
        <w:rPr>
          <w:rFonts w:ascii="Arial" w:hAnsi="Arial" w:cs="Arial"/>
          <w:b w:val="0"/>
          <w:noProof/>
          <w:color w:val="auto"/>
          <w:sz w:val="22"/>
          <w:szCs w:val="22"/>
          <w:vertAlign w:val="superscript"/>
        </w:rPr>
        <w:t>,1</w:t>
      </w:r>
      <w:r w:rsidR="00244165" w:rsidRPr="00CC28B8">
        <w:rPr>
          <w:rFonts w:ascii="Arial" w:hAnsi="Arial" w:cs="Arial"/>
          <w:b w:val="0"/>
          <w:noProof/>
          <w:color w:val="auto"/>
          <w:sz w:val="22"/>
          <w:szCs w:val="22"/>
          <w:vertAlign w:val="superscript"/>
        </w:rPr>
        <w:t>5</w:t>
      </w:r>
      <w:r w:rsidR="002F73DD" w:rsidRPr="00CC28B8">
        <w:rPr>
          <w:rFonts w:ascii="Arial" w:hAnsi="Arial" w:cs="Arial"/>
          <w:b w:val="0"/>
          <w:color w:val="auto"/>
          <w:sz w:val="22"/>
          <w:szCs w:val="22"/>
          <w:vertAlign w:val="superscript"/>
        </w:rPr>
        <w:fldChar w:fldCharType="end"/>
      </w:r>
      <w:r w:rsidR="0081341E" w:rsidRPr="00CC28B8">
        <w:rPr>
          <w:rFonts w:ascii="Arial" w:hAnsi="Arial" w:cs="Arial"/>
          <w:b w:val="0"/>
          <w:color w:val="auto"/>
          <w:sz w:val="22"/>
          <w:szCs w:val="22"/>
        </w:rPr>
        <w:t>.</w:t>
      </w:r>
    </w:p>
    <w:p w:rsidR="00E8436D" w:rsidRPr="00CC28B8" w:rsidRDefault="00571280" w:rsidP="00BF1E4D">
      <w:pPr>
        <w:pStyle w:val="HTMLPreformatted"/>
        <w:shd w:val="clear" w:color="auto" w:fill="FFFFFF"/>
        <w:spacing w:line="360" w:lineRule="auto"/>
        <w:jc w:val="both"/>
        <w:rPr>
          <w:rFonts w:ascii="Arial" w:hAnsi="Arial" w:cs="Arial"/>
          <w:sz w:val="22"/>
          <w:szCs w:val="22"/>
        </w:rPr>
      </w:pPr>
      <w:r w:rsidRPr="00CC28B8">
        <w:rPr>
          <w:rFonts w:ascii="Arial" w:hAnsi="Arial" w:cs="Arial"/>
          <w:sz w:val="22"/>
          <w:szCs w:val="22"/>
        </w:rPr>
        <w:t xml:space="preserve">Patient </w:t>
      </w:r>
      <w:r w:rsidR="00E8436D" w:rsidRPr="00CC28B8">
        <w:rPr>
          <w:rFonts w:ascii="Arial" w:hAnsi="Arial" w:cs="Arial"/>
          <w:sz w:val="22"/>
          <w:szCs w:val="22"/>
        </w:rPr>
        <w:t xml:space="preserve">files were reviewed </w:t>
      </w:r>
      <w:r w:rsidRPr="00CC28B8">
        <w:rPr>
          <w:rFonts w:ascii="Arial" w:hAnsi="Arial" w:cs="Arial"/>
          <w:sz w:val="22"/>
          <w:szCs w:val="22"/>
        </w:rPr>
        <w:t>and</w:t>
      </w:r>
      <w:r w:rsidR="00E8436D" w:rsidRPr="00CC28B8">
        <w:rPr>
          <w:rFonts w:ascii="Arial" w:hAnsi="Arial" w:cs="Arial"/>
          <w:sz w:val="22"/>
          <w:szCs w:val="22"/>
        </w:rPr>
        <w:t xml:space="preserve"> clinical</w:t>
      </w:r>
      <w:r w:rsidR="00C403D8" w:rsidRPr="00CC28B8">
        <w:rPr>
          <w:rFonts w:ascii="Arial" w:hAnsi="Arial" w:cs="Arial"/>
          <w:sz w:val="22"/>
          <w:szCs w:val="22"/>
        </w:rPr>
        <w:t xml:space="preserve"> data</w:t>
      </w:r>
      <w:r w:rsidR="00D811DF" w:rsidRPr="00CC28B8">
        <w:rPr>
          <w:rFonts w:ascii="Arial" w:hAnsi="Arial" w:cs="Arial"/>
          <w:sz w:val="22"/>
          <w:szCs w:val="22"/>
        </w:rPr>
        <w:t>,</w:t>
      </w:r>
      <w:r w:rsidR="002C5FC9" w:rsidRPr="00CC28B8">
        <w:rPr>
          <w:rFonts w:ascii="Arial" w:hAnsi="Arial" w:cs="Arial"/>
          <w:sz w:val="22"/>
          <w:szCs w:val="22"/>
        </w:rPr>
        <w:t xml:space="preserve"> </w:t>
      </w:r>
      <w:r w:rsidR="00C403D8" w:rsidRPr="00CC28B8">
        <w:rPr>
          <w:rFonts w:ascii="Arial" w:hAnsi="Arial" w:cs="Arial"/>
          <w:sz w:val="22"/>
          <w:szCs w:val="22"/>
        </w:rPr>
        <w:t>age, sex, location, cli</w:t>
      </w:r>
      <w:r w:rsidR="00E8436D" w:rsidRPr="00CC28B8">
        <w:rPr>
          <w:rFonts w:ascii="Arial" w:hAnsi="Arial" w:cs="Arial"/>
          <w:sz w:val="22"/>
          <w:szCs w:val="22"/>
        </w:rPr>
        <w:t xml:space="preserve">nical size of the </w:t>
      </w:r>
      <w:r w:rsidR="00D62CF8" w:rsidRPr="00CC28B8">
        <w:rPr>
          <w:rFonts w:ascii="Arial" w:hAnsi="Arial" w:cs="Arial"/>
          <w:sz w:val="22"/>
          <w:szCs w:val="22"/>
        </w:rPr>
        <w:t>tumor</w:t>
      </w:r>
      <w:r w:rsidR="00E8436D" w:rsidRPr="00CC28B8">
        <w:rPr>
          <w:rFonts w:ascii="Arial" w:hAnsi="Arial" w:cs="Arial"/>
          <w:sz w:val="22"/>
          <w:szCs w:val="22"/>
        </w:rPr>
        <w:t>, type of treatment and follow-up</w:t>
      </w:r>
      <w:r w:rsidRPr="00CC28B8">
        <w:rPr>
          <w:rFonts w:ascii="Arial" w:hAnsi="Arial" w:cs="Arial"/>
          <w:sz w:val="22"/>
          <w:szCs w:val="22"/>
        </w:rPr>
        <w:t xml:space="preserve"> were annotated</w:t>
      </w:r>
      <w:r w:rsidR="00E8436D" w:rsidRPr="00CC28B8">
        <w:rPr>
          <w:rFonts w:ascii="Arial" w:hAnsi="Arial" w:cs="Arial"/>
          <w:sz w:val="22"/>
          <w:szCs w:val="22"/>
        </w:rPr>
        <w:t>.</w:t>
      </w:r>
    </w:p>
    <w:p w:rsidR="00D70CAB" w:rsidRPr="00CC28B8" w:rsidRDefault="00D70CAB" w:rsidP="00BF1E4D">
      <w:pPr>
        <w:spacing w:after="0" w:line="360" w:lineRule="auto"/>
        <w:jc w:val="both"/>
        <w:rPr>
          <w:rFonts w:ascii="Arial" w:hAnsi="Arial" w:cs="Arial"/>
        </w:rPr>
      </w:pPr>
      <w:r w:rsidRPr="00CC28B8">
        <w:rPr>
          <w:rFonts w:ascii="Arial" w:hAnsi="Arial" w:cs="Arial"/>
        </w:rPr>
        <w:t xml:space="preserve">Disease-specific survival time was calculated considering the date of surgical treatment and of the last clinical consultation or of patient death. Free-disease survival was calculated considering the date of surgical treatment and of the date of relapse, metastasis or of the last consultation. These data were evaluated using Kaplan-Meier </w:t>
      </w:r>
      <w:r w:rsidRPr="00CC28B8">
        <w:rPr>
          <w:rFonts w:ascii="Arial" w:hAnsi="Arial" w:cs="Arial"/>
        </w:rPr>
        <w:lastRenderedPageBreak/>
        <w:t xml:space="preserve">survival curves due to variability in the follow-up time.  Mantel-Cox log rank was used to perform a univariate </w:t>
      </w:r>
      <w:r w:rsidR="00371CAC" w:rsidRPr="00CC28B8">
        <w:rPr>
          <w:rFonts w:ascii="Arial" w:hAnsi="Arial" w:cs="Arial"/>
        </w:rPr>
        <w:t>analysis</w:t>
      </w:r>
      <w:r w:rsidRPr="00CC28B8">
        <w:rPr>
          <w:rFonts w:ascii="Arial" w:hAnsi="Arial" w:cs="Arial"/>
        </w:rPr>
        <w:t xml:space="preserve"> of potential prognostic parameters, such age and gender, grading, staging or surgical margins. The significance threshold was set at .05. The low number of events prevented the assumption of </w:t>
      </w:r>
      <w:r w:rsidR="00476CF0" w:rsidRPr="00CC28B8">
        <w:rPr>
          <w:rFonts w:ascii="Arial" w:hAnsi="Arial" w:cs="Arial"/>
        </w:rPr>
        <w:t>proportional</w:t>
      </w:r>
      <w:r w:rsidRPr="00CC28B8">
        <w:rPr>
          <w:rFonts w:ascii="Arial" w:hAnsi="Arial" w:cs="Arial"/>
        </w:rPr>
        <w:t xml:space="preserve"> hazard. The limited number of primary malignant epithelial SGT and the multicollinearity between relevant co-</w:t>
      </w:r>
      <w:proofErr w:type="spellStart"/>
      <w:r w:rsidRPr="00CC28B8">
        <w:rPr>
          <w:rFonts w:ascii="Arial" w:hAnsi="Arial" w:cs="Arial"/>
        </w:rPr>
        <w:t>variates</w:t>
      </w:r>
      <w:proofErr w:type="spellEnd"/>
      <w:r w:rsidRPr="00CC28B8">
        <w:rPr>
          <w:rFonts w:ascii="Arial" w:hAnsi="Arial" w:cs="Arial"/>
        </w:rPr>
        <w:t xml:space="preserve"> did not allowed a multivariate analysis.</w:t>
      </w:r>
    </w:p>
    <w:p w:rsidR="008041B2" w:rsidRPr="00CC28B8" w:rsidRDefault="008041B2" w:rsidP="00BF1E4D">
      <w:pPr>
        <w:spacing w:after="0" w:line="360" w:lineRule="auto"/>
        <w:jc w:val="both"/>
        <w:rPr>
          <w:rFonts w:ascii="Arial" w:hAnsi="Arial" w:cs="Arial"/>
          <w:lang w:val="hr-HR"/>
        </w:rPr>
      </w:pPr>
      <w:r w:rsidRPr="00CC28B8">
        <w:rPr>
          <w:rFonts w:ascii="Arial" w:hAnsi="Arial" w:cs="Arial"/>
          <w:shd w:val="clear" w:color="auto" w:fill="FFFFFF"/>
        </w:rPr>
        <w:t>All statistical analysis was performed using IBM SPSS statistics for Windows, version 24.0.</w:t>
      </w:r>
    </w:p>
    <w:p w:rsidR="00BD2E64" w:rsidRPr="0093094C" w:rsidRDefault="00BD2E64" w:rsidP="00BF1E4D">
      <w:pPr>
        <w:autoSpaceDE w:val="0"/>
        <w:autoSpaceDN w:val="0"/>
        <w:adjustRightInd w:val="0"/>
        <w:spacing w:after="0" w:line="360" w:lineRule="auto"/>
        <w:jc w:val="both"/>
        <w:rPr>
          <w:rFonts w:ascii="Arial" w:hAnsi="Arial" w:cs="Arial"/>
        </w:rPr>
      </w:pPr>
    </w:p>
    <w:p w:rsidR="00B1116E" w:rsidRPr="00507C66" w:rsidRDefault="00507C66" w:rsidP="00BF1E4D">
      <w:pPr>
        <w:autoSpaceDE w:val="0"/>
        <w:autoSpaceDN w:val="0"/>
        <w:adjustRightInd w:val="0"/>
        <w:spacing w:after="0" w:line="360" w:lineRule="auto"/>
        <w:jc w:val="both"/>
        <w:rPr>
          <w:rFonts w:ascii="Arial" w:hAnsi="Arial" w:cs="Arial"/>
          <w:b/>
        </w:rPr>
      </w:pPr>
      <w:r>
        <w:rPr>
          <w:rFonts w:ascii="Arial" w:hAnsi="Arial" w:cs="Arial"/>
          <w:b/>
        </w:rPr>
        <w:t>RESULTS</w:t>
      </w:r>
    </w:p>
    <w:p w:rsidR="00C63344" w:rsidRDefault="00C35BEB" w:rsidP="00BF1E4D">
      <w:pPr>
        <w:pStyle w:val="Default"/>
        <w:spacing w:line="360" w:lineRule="auto"/>
        <w:jc w:val="both"/>
        <w:rPr>
          <w:rFonts w:ascii="Arial" w:hAnsi="Arial" w:cs="Arial"/>
          <w:sz w:val="22"/>
          <w:szCs w:val="22"/>
        </w:rPr>
      </w:pPr>
      <w:r w:rsidRPr="0093094C">
        <w:rPr>
          <w:rFonts w:ascii="Arial" w:hAnsi="Arial" w:cs="Arial"/>
          <w:sz w:val="22"/>
          <w:szCs w:val="22"/>
        </w:rPr>
        <w:t xml:space="preserve">A total of </w:t>
      </w:r>
      <w:r w:rsidRPr="00CC28B8">
        <w:rPr>
          <w:rFonts w:ascii="Arial" w:hAnsi="Arial" w:cs="Arial"/>
          <w:color w:val="auto"/>
          <w:sz w:val="22"/>
          <w:szCs w:val="22"/>
        </w:rPr>
        <w:t>295 salivary gland tumors (SGT) were identified with similar prevalence in both gender (150 men: 145 women)</w:t>
      </w:r>
      <w:r w:rsidR="00F557DD" w:rsidRPr="00CC28B8">
        <w:rPr>
          <w:rFonts w:ascii="Arial" w:hAnsi="Arial" w:cs="Arial"/>
          <w:color w:val="auto"/>
          <w:sz w:val="22"/>
          <w:szCs w:val="22"/>
        </w:rPr>
        <w:t>.</w:t>
      </w:r>
      <w:r w:rsidRPr="00CC28B8">
        <w:rPr>
          <w:rFonts w:ascii="Arial" w:hAnsi="Arial" w:cs="Arial"/>
          <w:color w:val="auto"/>
          <w:sz w:val="22"/>
          <w:szCs w:val="22"/>
        </w:rPr>
        <w:t xml:space="preserve"> </w:t>
      </w:r>
      <w:r w:rsidR="00F557DD" w:rsidRPr="00CC28B8">
        <w:rPr>
          <w:rFonts w:ascii="Arial" w:hAnsi="Arial" w:cs="Arial"/>
          <w:color w:val="auto"/>
          <w:sz w:val="22"/>
          <w:szCs w:val="22"/>
        </w:rPr>
        <w:t>T</w:t>
      </w:r>
      <w:r w:rsidRPr="00CC28B8">
        <w:rPr>
          <w:rFonts w:ascii="Arial" w:hAnsi="Arial" w:cs="Arial"/>
          <w:color w:val="auto"/>
          <w:sz w:val="22"/>
          <w:szCs w:val="22"/>
        </w:rPr>
        <w:t>he</w:t>
      </w:r>
      <w:r w:rsidRPr="0093094C">
        <w:rPr>
          <w:rFonts w:ascii="Arial" w:hAnsi="Arial" w:cs="Arial"/>
          <w:sz w:val="22"/>
          <w:szCs w:val="22"/>
        </w:rPr>
        <w:t xml:space="preserve"> mean age at diagnosis was 50.4</w:t>
      </w:r>
      <w:r>
        <w:rPr>
          <w:rFonts w:ascii="Arial" w:hAnsi="Arial" w:cs="Arial"/>
          <w:sz w:val="22"/>
          <w:szCs w:val="22"/>
        </w:rPr>
        <w:t xml:space="preserve"> </w:t>
      </w:r>
      <w:r w:rsidRPr="008C223C">
        <w:rPr>
          <w:rFonts w:ascii="Arial" w:hAnsi="Arial" w:cs="Arial"/>
          <w:color w:val="31849B"/>
        </w:rPr>
        <w:t>(±16.4)</w:t>
      </w:r>
      <w:r w:rsidRPr="008C223C">
        <w:rPr>
          <w:rFonts w:ascii="Arial" w:hAnsi="Arial" w:cs="Arial"/>
          <w:color w:val="31849B"/>
          <w:sz w:val="22"/>
          <w:szCs w:val="22"/>
        </w:rPr>
        <w:t xml:space="preserve"> </w:t>
      </w:r>
      <w:r w:rsidRPr="0093094C">
        <w:rPr>
          <w:rFonts w:ascii="Arial" w:hAnsi="Arial" w:cs="Arial"/>
          <w:sz w:val="22"/>
          <w:szCs w:val="22"/>
        </w:rPr>
        <w:t>years</w:t>
      </w:r>
      <w:r>
        <w:rPr>
          <w:rFonts w:ascii="Arial" w:hAnsi="Arial" w:cs="Arial"/>
          <w:sz w:val="22"/>
          <w:szCs w:val="22"/>
        </w:rPr>
        <w:t xml:space="preserve"> (range 13</w:t>
      </w:r>
      <w:r w:rsidRPr="0093094C">
        <w:rPr>
          <w:rFonts w:ascii="Arial" w:hAnsi="Arial" w:cs="Arial"/>
          <w:sz w:val="22"/>
          <w:szCs w:val="22"/>
        </w:rPr>
        <w:t>-83), similar in both gender</w:t>
      </w:r>
      <w:r>
        <w:rPr>
          <w:rFonts w:ascii="Arial" w:hAnsi="Arial" w:cs="Arial"/>
          <w:sz w:val="22"/>
          <w:szCs w:val="22"/>
        </w:rPr>
        <w:t>; 9 cases (3.1%) occurred in pediatric age.</w:t>
      </w:r>
      <w:r w:rsidRPr="0093094C">
        <w:rPr>
          <w:rFonts w:ascii="Arial" w:hAnsi="Arial" w:cs="Arial"/>
          <w:sz w:val="22"/>
          <w:szCs w:val="22"/>
        </w:rPr>
        <w:t xml:space="preserve"> </w:t>
      </w:r>
      <w:r w:rsidR="00CB2CAD" w:rsidRPr="0093094C">
        <w:rPr>
          <w:rFonts w:ascii="Arial" w:hAnsi="Arial" w:cs="Arial"/>
          <w:sz w:val="22"/>
          <w:szCs w:val="22"/>
        </w:rPr>
        <w:t>The majority of cases were locat</w:t>
      </w:r>
      <w:r w:rsidR="00D811DF">
        <w:rPr>
          <w:rFonts w:ascii="Arial" w:hAnsi="Arial" w:cs="Arial"/>
          <w:sz w:val="22"/>
          <w:szCs w:val="22"/>
        </w:rPr>
        <w:t xml:space="preserve">ed in </w:t>
      </w:r>
      <w:r w:rsidR="00D811DF" w:rsidRPr="0015342A">
        <w:rPr>
          <w:rFonts w:ascii="Arial" w:hAnsi="Arial" w:cs="Arial"/>
          <w:i/>
          <w:sz w:val="22"/>
          <w:szCs w:val="22"/>
        </w:rPr>
        <w:t>major</w:t>
      </w:r>
      <w:r w:rsidR="00D811DF">
        <w:rPr>
          <w:rFonts w:ascii="Arial" w:hAnsi="Arial" w:cs="Arial"/>
          <w:sz w:val="22"/>
          <w:szCs w:val="22"/>
        </w:rPr>
        <w:t xml:space="preserve"> salivary glands:</w:t>
      </w:r>
      <w:r w:rsidR="00937C1D">
        <w:rPr>
          <w:rFonts w:ascii="Arial" w:hAnsi="Arial" w:cs="Arial"/>
          <w:sz w:val="22"/>
          <w:szCs w:val="22"/>
        </w:rPr>
        <w:t xml:space="preserve"> 243</w:t>
      </w:r>
      <w:r w:rsidR="00BD2E64">
        <w:rPr>
          <w:rFonts w:ascii="Arial" w:hAnsi="Arial" w:cs="Arial"/>
          <w:sz w:val="22"/>
          <w:szCs w:val="22"/>
        </w:rPr>
        <w:t xml:space="preserve"> (82.4%)</w:t>
      </w:r>
      <w:r w:rsidR="00CB2CAD" w:rsidRPr="0093094C">
        <w:rPr>
          <w:rFonts w:ascii="Arial" w:hAnsi="Arial" w:cs="Arial"/>
          <w:sz w:val="22"/>
          <w:szCs w:val="22"/>
        </w:rPr>
        <w:t xml:space="preserve"> in the parotid, 20</w:t>
      </w:r>
      <w:r w:rsidR="00BD2E64">
        <w:rPr>
          <w:rFonts w:ascii="Arial" w:hAnsi="Arial" w:cs="Arial"/>
          <w:sz w:val="22"/>
          <w:szCs w:val="22"/>
        </w:rPr>
        <w:t xml:space="preserve"> (6.8%)</w:t>
      </w:r>
      <w:r w:rsidR="00CB2CAD" w:rsidRPr="0093094C">
        <w:rPr>
          <w:rFonts w:ascii="Arial" w:hAnsi="Arial" w:cs="Arial"/>
          <w:sz w:val="22"/>
          <w:szCs w:val="22"/>
        </w:rPr>
        <w:t xml:space="preserve"> in the submandibular and 2</w:t>
      </w:r>
      <w:r w:rsidR="00BD2E64">
        <w:rPr>
          <w:rFonts w:ascii="Arial" w:hAnsi="Arial" w:cs="Arial"/>
          <w:sz w:val="22"/>
          <w:szCs w:val="22"/>
        </w:rPr>
        <w:t xml:space="preserve"> (0.7%)</w:t>
      </w:r>
      <w:r w:rsidR="00CB2CAD" w:rsidRPr="0093094C">
        <w:rPr>
          <w:rFonts w:ascii="Arial" w:hAnsi="Arial" w:cs="Arial"/>
          <w:sz w:val="22"/>
          <w:szCs w:val="22"/>
        </w:rPr>
        <w:t xml:space="preserve"> c</w:t>
      </w:r>
      <w:r w:rsidR="00EA0992" w:rsidRPr="0093094C">
        <w:rPr>
          <w:rFonts w:ascii="Arial" w:hAnsi="Arial" w:cs="Arial"/>
          <w:sz w:val="22"/>
          <w:szCs w:val="22"/>
        </w:rPr>
        <w:t>ases in the sublingual gland</w:t>
      </w:r>
      <w:r w:rsidR="0015342A">
        <w:rPr>
          <w:rFonts w:ascii="Arial" w:hAnsi="Arial" w:cs="Arial"/>
          <w:sz w:val="22"/>
          <w:szCs w:val="22"/>
        </w:rPr>
        <w:t>s</w:t>
      </w:r>
      <w:r w:rsidR="00937C1D">
        <w:rPr>
          <w:rFonts w:ascii="Arial" w:hAnsi="Arial" w:cs="Arial"/>
          <w:sz w:val="22"/>
          <w:szCs w:val="22"/>
        </w:rPr>
        <w:t>; 30</w:t>
      </w:r>
      <w:r w:rsidR="00CB2CAD" w:rsidRPr="0093094C">
        <w:rPr>
          <w:rFonts w:ascii="Arial" w:hAnsi="Arial" w:cs="Arial"/>
          <w:sz w:val="22"/>
          <w:szCs w:val="22"/>
        </w:rPr>
        <w:t xml:space="preserve"> cases </w:t>
      </w:r>
      <w:r w:rsidR="00BD2E64">
        <w:rPr>
          <w:rFonts w:ascii="Arial" w:hAnsi="Arial" w:cs="Arial"/>
          <w:sz w:val="22"/>
          <w:szCs w:val="22"/>
        </w:rPr>
        <w:t xml:space="preserve">(10.2%) </w:t>
      </w:r>
      <w:r w:rsidR="00D62CF8">
        <w:rPr>
          <w:rFonts w:ascii="Arial" w:hAnsi="Arial" w:cs="Arial"/>
          <w:sz w:val="22"/>
          <w:szCs w:val="22"/>
        </w:rPr>
        <w:t>located in</w:t>
      </w:r>
      <w:r w:rsidR="00CB2CAD" w:rsidRPr="0093094C">
        <w:rPr>
          <w:rFonts w:ascii="Arial" w:hAnsi="Arial" w:cs="Arial"/>
          <w:sz w:val="22"/>
          <w:szCs w:val="22"/>
        </w:rPr>
        <w:t xml:space="preserve"> </w:t>
      </w:r>
      <w:r w:rsidR="00CB2CAD" w:rsidRPr="0015342A">
        <w:rPr>
          <w:rFonts w:ascii="Arial" w:hAnsi="Arial" w:cs="Arial"/>
          <w:i/>
          <w:sz w:val="22"/>
          <w:szCs w:val="22"/>
        </w:rPr>
        <w:t>minor</w:t>
      </w:r>
      <w:r w:rsidR="00CB2CAD" w:rsidRPr="0093094C">
        <w:rPr>
          <w:rFonts w:ascii="Arial" w:hAnsi="Arial" w:cs="Arial"/>
          <w:sz w:val="22"/>
          <w:szCs w:val="22"/>
        </w:rPr>
        <w:t xml:space="preserve"> salivary glands, the palate being the most frequent </w:t>
      </w:r>
      <w:r w:rsidR="00D62CF8">
        <w:rPr>
          <w:rFonts w:ascii="Arial" w:hAnsi="Arial" w:cs="Arial"/>
          <w:sz w:val="22"/>
          <w:szCs w:val="22"/>
        </w:rPr>
        <w:t>site</w:t>
      </w:r>
      <w:r w:rsidR="00D62CF8" w:rsidRPr="0093094C">
        <w:rPr>
          <w:rFonts w:ascii="Arial" w:hAnsi="Arial" w:cs="Arial"/>
          <w:sz w:val="22"/>
          <w:szCs w:val="22"/>
        </w:rPr>
        <w:t xml:space="preserve"> </w:t>
      </w:r>
      <w:r w:rsidR="00476CF0">
        <w:rPr>
          <w:rFonts w:ascii="Arial" w:hAnsi="Arial" w:cs="Arial"/>
          <w:sz w:val="22"/>
          <w:szCs w:val="22"/>
        </w:rPr>
        <w:t>[</w:t>
      </w:r>
      <w:r w:rsidR="00CB2CAD" w:rsidRPr="0093094C">
        <w:rPr>
          <w:rFonts w:ascii="Arial" w:hAnsi="Arial" w:cs="Arial"/>
          <w:sz w:val="22"/>
          <w:szCs w:val="22"/>
        </w:rPr>
        <w:t xml:space="preserve">n= </w:t>
      </w:r>
      <w:r w:rsidR="005C27F8" w:rsidRPr="0093094C">
        <w:rPr>
          <w:rFonts w:ascii="Arial" w:hAnsi="Arial" w:cs="Arial"/>
          <w:sz w:val="22"/>
          <w:szCs w:val="22"/>
        </w:rPr>
        <w:t>18</w:t>
      </w:r>
      <w:r w:rsidR="00B13C91">
        <w:rPr>
          <w:rFonts w:ascii="Arial" w:hAnsi="Arial" w:cs="Arial"/>
          <w:sz w:val="22"/>
          <w:szCs w:val="22"/>
        </w:rPr>
        <w:t xml:space="preserve"> </w:t>
      </w:r>
      <w:r w:rsidR="00476CF0">
        <w:rPr>
          <w:rFonts w:ascii="Arial" w:hAnsi="Arial" w:cs="Arial"/>
          <w:sz w:val="22"/>
          <w:szCs w:val="22"/>
        </w:rPr>
        <w:t>(</w:t>
      </w:r>
      <w:r w:rsidR="003E42FB">
        <w:rPr>
          <w:rFonts w:ascii="Arial" w:hAnsi="Arial" w:cs="Arial"/>
          <w:sz w:val="22"/>
          <w:szCs w:val="22"/>
        </w:rPr>
        <w:t>60</w:t>
      </w:r>
      <w:r w:rsidR="00CB2CAD" w:rsidRPr="0093094C">
        <w:rPr>
          <w:rFonts w:ascii="Arial" w:hAnsi="Arial" w:cs="Arial"/>
          <w:sz w:val="22"/>
          <w:szCs w:val="22"/>
        </w:rPr>
        <w:t>%)</w:t>
      </w:r>
      <w:r w:rsidR="00476CF0">
        <w:rPr>
          <w:rFonts w:ascii="Arial" w:hAnsi="Arial" w:cs="Arial"/>
          <w:sz w:val="22"/>
          <w:szCs w:val="22"/>
        </w:rPr>
        <w:t>]</w:t>
      </w:r>
      <w:r w:rsidR="00CB2CAD" w:rsidRPr="0093094C">
        <w:rPr>
          <w:rFonts w:ascii="Arial" w:hAnsi="Arial" w:cs="Arial"/>
          <w:sz w:val="22"/>
          <w:szCs w:val="22"/>
        </w:rPr>
        <w:t xml:space="preserve">. </w:t>
      </w:r>
      <w:r w:rsidR="00C63344">
        <w:rPr>
          <w:rFonts w:ascii="Arial" w:hAnsi="Arial" w:cs="Arial"/>
          <w:sz w:val="22"/>
          <w:szCs w:val="22"/>
        </w:rPr>
        <w:t xml:space="preserve">Tumor </w:t>
      </w:r>
      <w:r w:rsidR="00C63344" w:rsidRPr="00C63344">
        <w:rPr>
          <w:rFonts w:ascii="Arial" w:hAnsi="Arial" w:cs="Arial"/>
          <w:sz w:val="22"/>
          <w:szCs w:val="22"/>
        </w:rPr>
        <w:t xml:space="preserve">size </w:t>
      </w:r>
      <w:r w:rsidR="00C63344" w:rsidRPr="00C403D8">
        <w:rPr>
          <w:rFonts w:ascii="Arial" w:hAnsi="Arial" w:cs="Arial"/>
          <w:color w:val="212121"/>
          <w:sz w:val="22"/>
          <w:szCs w:val="22"/>
        </w:rPr>
        <w:t xml:space="preserve">varied between 0.4 and 8 cm, with a median value of 2 cm, in the 257 cases in which this parameter was </w:t>
      </w:r>
      <w:r w:rsidR="00D62CF8">
        <w:rPr>
          <w:rFonts w:ascii="Arial" w:hAnsi="Arial" w:cs="Arial"/>
          <w:color w:val="212121"/>
          <w:sz w:val="22"/>
          <w:szCs w:val="22"/>
        </w:rPr>
        <w:t>registered</w:t>
      </w:r>
      <w:r w:rsidR="00C63344" w:rsidRPr="00C403D8">
        <w:rPr>
          <w:rFonts w:ascii="Arial" w:hAnsi="Arial" w:cs="Arial"/>
          <w:color w:val="212121"/>
          <w:sz w:val="22"/>
          <w:szCs w:val="22"/>
        </w:rPr>
        <w:t>.</w:t>
      </w:r>
    </w:p>
    <w:p w:rsidR="00CB2CAD" w:rsidRPr="0093094C" w:rsidRDefault="00F9267B" w:rsidP="00BF1E4D">
      <w:pPr>
        <w:pStyle w:val="Default"/>
        <w:spacing w:line="360" w:lineRule="auto"/>
        <w:jc w:val="both"/>
        <w:rPr>
          <w:rFonts w:ascii="Arial" w:hAnsi="Arial" w:cs="Arial"/>
          <w:sz w:val="22"/>
          <w:szCs w:val="22"/>
        </w:rPr>
      </w:pPr>
      <w:r>
        <w:rPr>
          <w:rFonts w:ascii="Arial" w:hAnsi="Arial" w:cs="Arial"/>
          <w:sz w:val="22"/>
          <w:szCs w:val="22"/>
        </w:rPr>
        <w:t>Primary tumors comprised</w:t>
      </w:r>
      <w:r w:rsidR="004A301A" w:rsidRPr="0093094C">
        <w:rPr>
          <w:rFonts w:ascii="Arial" w:hAnsi="Arial" w:cs="Arial"/>
          <w:sz w:val="22"/>
          <w:szCs w:val="22"/>
        </w:rPr>
        <w:t xml:space="preserve"> </w:t>
      </w:r>
      <w:r>
        <w:rPr>
          <w:rFonts w:ascii="Arial" w:hAnsi="Arial" w:cs="Arial"/>
          <w:sz w:val="22"/>
          <w:szCs w:val="22"/>
        </w:rPr>
        <w:t>most of</w:t>
      </w:r>
      <w:r w:rsidRPr="0093094C">
        <w:rPr>
          <w:rFonts w:ascii="Arial" w:hAnsi="Arial" w:cs="Arial"/>
          <w:sz w:val="22"/>
          <w:szCs w:val="22"/>
        </w:rPr>
        <w:t xml:space="preserve"> </w:t>
      </w:r>
      <w:r>
        <w:rPr>
          <w:rFonts w:ascii="Arial" w:hAnsi="Arial" w:cs="Arial"/>
          <w:sz w:val="22"/>
          <w:szCs w:val="22"/>
        </w:rPr>
        <w:t xml:space="preserve">the </w:t>
      </w:r>
      <w:r w:rsidR="004A301A" w:rsidRPr="0093094C">
        <w:rPr>
          <w:rFonts w:ascii="Arial" w:hAnsi="Arial" w:cs="Arial"/>
          <w:sz w:val="22"/>
          <w:szCs w:val="22"/>
        </w:rPr>
        <w:t xml:space="preserve">cases </w:t>
      </w:r>
      <w:r w:rsidR="00476CF0">
        <w:rPr>
          <w:rFonts w:ascii="Arial" w:hAnsi="Arial" w:cs="Arial"/>
          <w:sz w:val="22"/>
          <w:szCs w:val="22"/>
        </w:rPr>
        <w:t>[</w:t>
      </w:r>
      <w:r w:rsidR="00303641" w:rsidRPr="00303641">
        <w:rPr>
          <w:rFonts w:ascii="Arial" w:hAnsi="Arial" w:cs="Arial"/>
          <w:sz w:val="22"/>
          <w:szCs w:val="22"/>
        </w:rPr>
        <w:t>n=287</w:t>
      </w:r>
      <w:r w:rsidR="007072EC">
        <w:rPr>
          <w:rFonts w:ascii="Arial" w:hAnsi="Arial" w:cs="Arial"/>
          <w:sz w:val="22"/>
          <w:szCs w:val="22"/>
        </w:rPr>
        <w:t xml:space="preserve"> </w:t>
      </w:r>
      <w:r w:rsidR="00476CF0">
        <w:rPr>
          <w:rFonts w:ascii="Arial" w:hAnsi="Arial" w:cs="Arial"/>
          <w:sz w:val="22"/>
          <w:szCs w:val="22"/>
        </w:rPr>
        <w:t>(</w:t>
      </w:r>
      <w:r w:rsidR="00303641">
        <w:rPr>
          <w:rFonts w:ascii="Arial" w:hAnsi="Arial" w:cs="Arial"/>
          <w:sz w:val="22"/>
          <w:szCs w:val="22"/>
        </w:rPr>
        <w:t>97.3%)</w:t>
      </w:r>
      <w:r w:rsidR="00476CF0">
        <w:rPr>
          <w:rFonts w:ascii="Arial" w:hAnsi="Arial" w:cs="Arial"/>
          <w:sz w:val="22"/>
          <w:szCs w:val="22"/>
        </w:rPr>
        <w:t>]</w:t>
      </w:r>
      <w:r w:rsidRPr="00F9267B">
        <w:rPr>
          <w:rFonts w:ascii="Arial" w:hAnsi="Arial" w:cs="Arial"/>
          <w:sz w:val="22"/>
          <w:szCs w:val="22"/>
        </w:rPr>
        <w:t xml:space="preserve"> </w:t>
      </w:r>
      <w:r w:rsidR="00D62CF8" w:rsidRPr="00D62CF8">
        <w:rPr>
          <w:rFonts w:ascii="Arial" w:hAnsi="Arial" w:cs="Arial"/>
          <w:sz w:val="22"/>
          <w:szCs w:val="22"/>
        </w:rPr>
        <w:t>(Table 1)</w:t>
      </w:r>
      <w:r w:rsidR="00A41A60" w:rsidRPr="00A41A60">
        <w:rPr>
          <w:b/>
        </w:rPr>
        <w:t xml:space="preserve"> </w:t>
      </w:r>
      <w:r w:rsidR="00A41A60" w:rsidRPr="00A41A60">
        <w:rPr>
          <w:b/>
          <w:color w:val="C00000"/>
        </w:rPr>
        <w:t>(</w:t>
      </w:r>
      <w:r w:rsidR="00A41A60">
        <w:rPr>
          <w:b/>
          <w:color w:val="C00000"/>
        </w:rPr>
        <w:t>Insert</w:t>
      </w:r>
      <w:r w:rsidR="00A41A60" w:rsidRPr="00A41A60">
        <w:rPr>
          <w:b/>
          <w:color w:val="C00000"/>
        </w:rPr>
        <w:t xml:space="preserve"> </w:t>
      </w:r>
      <w:r w:rsidR="00A41A60">
        <w:rPr>
          <w:b/>
          <w:color w:val="C00000"/>
        </w:rPr>
        <w:t xml:space="preserve">table </w:t>
      </w:r>
      <w:r w:rsidR="00A41A60" w:rsidRPr="00A41A60">
        <w:rPr>
          <w:b/>
          <w:color w:val="C00000"/>
        </w:rPr>
        <w:t xml:space="preserve">1 </w:t>
      </w:r>
      <w:r w:rsidR="00A41A60">
        <w:rPr>
          <w:b/>
          <w:color w:val="C00000"/>
        </w:rPr>
        <w:t>here</w:t>
      </w:r>
      <w:r w:rsidR="00A41A60" w:rsidRPr="00A41A60">
        <w:rPr>
          <w:b/>
          <w:color w:val="C00000"/>
        </w:rPr>
        <w:t>)</w:t>
      </w:r>
      <w:r>
        <w:rPr>
          <w:rFonts w:ascii="Arial" w:hAnsi="Arial" w:cs="Arial"/>
          <w:sz w:val="22"/>
          <w:szCs w:val="22"/>
        </w:rPr>
        <w:t>, the remaining</w:t>
      </w:r>
      <w:r w:rsidR="002B155C" w:rsidRPr="0093094C">
        <w:rPr>
          <w:rFonts w:ascii="Arial" w:hAnsi="Arial" w:cs="Arial"/>
          <w:sz w:val="22"/>
          <w:szCs w:val="22"/>
        </w:rPr>
        <w:t xml:space="preserve"> </w:t>
      </w:r>
      <w:r>
        <w:rPr>
          <w:rFonts w:ascii="Arial" w:hAnsi="Arial" w:cs="Arial"/>
          <w:sz w:val="22"/>
          <w:szCs w:val="22"/>
        </w:rPr>
        <w:t>being</w:t>
      </w:r>
      <w:r w:rsidRPr="0093094C">
        <w:rPr>
          <w:rFonts w:ascii="Arial" w:hAnsi="Arial" w:cs="Arial"/>
          <w:sz w:val="22"/>
          <w:szCs w:val="22"/>
        </w:rPr>
        <w:t xml:space="preserve"> </w:t>
      </w:r>
      <w:r w:rsidR="002B155C" w:rsidRPr="0093094C">
        <w:rPr>
          <w:rFonts w:ascii="Arial" w:hAnsi="Arial" w:cs="Arial"/>
          <w:sz w:val="22"/>
          <w:szCs w:val="22"/>
        </w:rPr>
        <w:t xml:space="preserve">metastasis of carcinoma </w:t>
      </w:r>
      <w:r w:rsidR="00476CF0">
        <w:rPr>
          <w:rFonts w:ascii="Arial" w:hAnsi="Arial" w:cs="Arial"/>
          <w:sz w:val="22"/>
          <w:szCs w:val="22"/>
        </w:rPr>
        <w:t>[</w:t>
      </w:r>
      <w:r w:rsidR="002B155C" w:rsidRPr="0093094C">
        <w:rPr>
          <w:rFonts w:ascii="Arial" w:hAnsi="Arial" w:cs="Arial"/>
          <w:sz w:val="22"/>
          <w:szCs w:val="22"/>
        </w:rPr>
        <w:t>n=</w:t>
      </w:r>
      <w:r w:rsidR="00EF5A19">
        <w:rPr>
          <w:rFonts w:ascii="Arial" w:hAnsi="Arial" w:cs="Arial"/>
          <w:sz w:val="22"/>
          <w:szCs w:val="22"/>
        </w:rPr>
        <w:t>7</w:t>
      </w:r>
      <w:r w:rsidR="00BD2E64">
        <w:rPr>
          <w:rFonts w:ascii="Arial" w:hAnsi="Arial" w:cs="Arial"/>
          <w:sz w:val="22"/>
          <w:szCs w:val="22"/>
        </w:rPr>
        <w:t xml:space="preserve"> </w:t>
      </w:r>
      <w:r w:rsidR="00476CF0">
        <w:rPr>
          <w:rFonts w:ascii="Arial" w:hAnsi="Arial" w:cs="Arial"/>
          <w:sz w:val="22"/>
          <w:szCs w:val="22"/>
        </w:rPr>
        <w:t>(</w:t>
      </w:r>
      <w:r w:rsidR="00BD2E64">
        <w:rPr>
          <w:rFonts w:ascii="Arial" w:hAnsi="Arial" w:cs="Arial"/>
          <w:sz w:val="22"/>
          <w:szCs w:val="22"/>
        </w:rPr>
        <w:t>2.4%</w:t>
      </w:r>
      <w:r w:rsidR="002B155C" w:rsidRPr="0093094C">
        <w:rPr>
          <w:rFonts w:ascii="Arial" w:hAnsi="Arial" w:cs="Arial"/>
          <w:sz w:val="22"/>
          <w:szCs w:val="22"/>
        </w:rPr>
        <w:t>)</w:t>
      </w:r>
      <w:r w:rsidR="00476CF0">
        <w:rPr>
          <w:rFonts w:ascii="Arial" w:hAnsi="Arial" w:cs="Arial"/>
          <w:sz w:val="22"/>
          <w:szCs w:val="22"/>
        </w:rPr>
        <w:t>]</w:t>
      </w:r>
      <w:r w:rsidR="002B155C" w:rsidRPr="0093094C">
        <w:rPr>
          <w:rFonts w:ascii="Arial" w:hAnsi="Arial" w:cs="Arial"/>
          <w:sz w:val="22"/>
          <w:szCs w:val="22"/>
        </w:rPr>
        <w:t xml:space="preserve"> </w:t>
      </w:r>
      <w:r>
        <w:rPr>
          <w:rFonts w:ascii="Arial" w:hAnsi="Arial" w:cs="Arial"/>
          <w:sz w:val="22"/>
          <w:szCs w:val="22"/>
        </w:rPr>
        <w:t>and</w:t>
      </w:r>
      <w:r w:rsidRPr="0093094C">
        <w:rPr>
          <w:rFonts w:ascii="Arial" w:hAnsi="Arial" w:cs="Arial"/>
          <w:sz w:val="22"/>
          <w:szCs w:val="22"/>
        </w:rPr>
        <w:t xml:space="preserve"> </w:t>
      </w:r>
      <w:r w:rsidR="002B155C" w:rsidRPr="0093094C">
        <w:rPr>
          <w:rFonts w:ascii="Arial" w:hAnsi="Arial" w:cs="Arial"/>
          <w:sz w:val="22"/>
          <w:szCs w:val="22"/>
        </w:rPr>
        <w:t xml:space="preserve">involvement by lymphoma </w:t>
      </w:r>
      <w:r w:rsidR="00476CF0">
        <w:rPr>
          <w:rFonts w:ascii="Arial" w:hAnsi="Arial" w:cs="Arial"/>
          <w:sz w:val="22"/>
          <w:szCs w:val="22"/>
        </w:rPr>
        <w:t>[</w:t>
      </w:r>
      <w:r w:rsidR="002B155C" w:rsidRPr="0093094C">
        <w:rPr>
          <w:rFonts w:ascii="Arial" w:hAnsi="Arial" w:cs="Arial"/>
          <w:sz w:val="22"/>
          <w:szCs w:val="22"/>
        </w:rPr>
        <w:t>n=1</w:t>
      </w:r>
      <w:r w:rsidR="00BD2E64">
        <w:rPr>
          <w:rFonts w:ascii="Arial" w:hAnsi="Arial" w:cs="Arial"/>
          <w:sz w:val="22"/>
          <w:szCs w:val="22"/>
        </w:rPr>
        <w:t xml:space="preserve"> </w:t>
      </w:r>
      <w:r w:rsidR="00476CF0">
        <w:rPr>
          <w:rFonts w:ascii="Arial" w:hAnsi="Arial" w:cs="Arial"/>
          <w:sz w:val="22"/>
          <w:szCs w:val="22"/>
        </w:rPr>
        <w:t>(</w:t>
      </w:r>
      <w:r w:rsidR="00BD2E64">
        <w:rPr>
          <w:rFonts w:ascii="Arial" w:hAnsi="Arial" w:cs="Arial"/>
          <w:sz w:val="22"/>
          <w:szCs w:val="22"/>
        </w:rPr>
        <w:t>0.3%</w:t>
      </w:r>
      <w:r w:rsidR="002B155C" w:rsidRPr="0093094C">
        <w:rPr>
          <w:rFonts w:ascii="Arial" w:hAnsi="Arial" w:cs="Arial"/>
          <w:sz w:val="22"/>
          <w:szCs w:val="22"/>
        </w:rPr>
        <w:t>)</w:t>
      </w:r>
      <w:r w:rsidR="00476CF0">
        <w:rPr>
          <w:rFonts w:ascii="Arial" w:hAnsi="Arial" w:cs="Arial"/>
          <w:sz w:val="22"/>
          <w:szCs w:val="22"/>
        </w:rPr>
        <w:t>]</w:t>
      </w:r>
      <w:r w:rsidR="00F557DD">
        <w:rPr>
          <w:rFonts w:ascii="Arial" w:hAnsi="Arial" w:cs="Arial"/>
          <w:sz w:val="22"/>
          <w:szCs w:val="22"/>
        </w:rPr>
        <w:t>.</w:t>
      </w:r>
      <w:r w:rsidR="00BD2E64">
        <w:rPr>
          <w:rFonts w:ascii="Arial" w:hAnsi="Arial" w:cs="Arial"/>
          <w:sz w:val="22"/>
          <w:szCs w:val="22"/>
        </w:rPr>
        <w:t xml:space="preserve"> </w:t>
      </w:r>
      <w:r w:rsidR="00F557DD">
        <w:rPr>
          <w:rFonts w:ascii="Arial" w:hAnsi="Arial" w:cs="Arial"/>
          <w:sz w:val="22"/>
          <w:szCs w:val="22"/>
        </w:rPr>
        <w:t>T</w:t>
      </w:r>
      <w:r w:rsidR="00BD2E64">
        <w:rPr>
          <w:rFonts w:ascii="Arial" w:hAnsi="Arial" w:cs="Arial"/>
          <w:sz w:val="22"/>
          <w:szCs w:val="22"/>
        </w:rPr>
        <w:t xml:space="preserve">he pediatric cases </w:t>
      </w:r>
      <w:r w:rsidR="00476CF0">
        <w:rPr>
          <w:rFonts w:ascii="Arial" w:hAnsi="Arial" w:cs="Arial"/>
          <w:sz w:val="22"/>
          <w:szCs w:val="22"/>
        </w:rPr>
        <w:t>[</w:t>
      </w:r>
      <w:r w:rsidR="00BD2E64">
        <w:rPr>
          <w:rFonts w:ascii="Arial" w:hAnsi="Arial" w:cs="Arial"/>
          <w:sz w:val="22"/>
          <w:szCs w:val="22"/>
        </w:rPr>
        <w:t xml:space="preserve">n=9 </w:t>
      </w:r>
      <w:r w:rsidR="00476CF0">
        <w:rPr>
          <w:rFonts w:ascii="Arial" w:hAnsi="Arial" w:cs="Arial"/>
          <w:sz w:val="22"/>
          <w:szCs w:val="22"/>
        </w:rPr>
        <w:t>(</w:t>
      </w:r>
      <w:r w:rsidR="00BD2E64">
        <w:rPr>
          <w:rFonts w:ascii="Arial" w:hAnsi="Arial" w:cs="Arial"/>
          <w:sz w:val="22"/>
          <w:szCs w:val="22"/>
        </w:rPr>
        <w:t>3.1</w:t>
      </w:r>
      <w:r w:rsidR="00B93E1F">
        <w:rPr>
          <w:rFonts w:ascii="Arial" w:hAnsi="Arial" w:cs="Arial"/>
          <w:sz w:val="22"/>
          <w:szCs w:val="22"/>
        </w:rPr>
        <w:t>%)</w:t>
      </w:r>
      <w:r w:rsidR="00476CF0">
        <w:rPr>
          <w:rFonts w:ascii="Arial" w:hAnsi="Arial" w:cs="Arial"/>
          <w:sz w:val="22"/>
          <w:szCs w:val="22"/>
        </w:rPr>
        <w:t>]</w:t>
      </w:r>
      <w:r w:rsidR="00B93E1F">
        <w:rPr>
          <w:rFonts w:ascii="Arial" w:hAnsi="Arial" w:cs="Arial"/>
          <w:sz w:val="22"/>
          <w:szCs w:val="22"/>
        </w:rPr>
        <w:t xml:space="preserve"> included pleomorphic adenoma </w:t>
      </w:r>
      <w:r w:rsidR="00476CF0">
        <w:rPr>
          <w:rFonts w:ascii="Arial" w:hAnsi="Arial" w:cs="Arial"/>
          <w:sz w:val="22"/>
          <w:szCs w:val="22"/>
        </w:rPr>
        <w:t>[</w:t>
      </w:r>
      <w:r w:rsidR="00B93E1F">
        <w:rPr>
          <w:rFonts w:ascii="Arial" w:hAnsi="Arial" w:cs="Arial"/>
          <w:sz w:val="22"/>
          <w:szCs w:val="22"/>
        </w:rPr>
        <w:t>n=7</w:t>
      </w:r>
      <w:r w:rsidR="007072EC">
        <w:rPr>
          <w:rFonts w:ascii="Arial" w:hAnsi="Arial" w:cs="Arial"/>
          <w:sz w:val="22"/>
          <w:szCs w:val="22"/>
        </w:rPr>
        <w:t xml:space="preserve"> </w:t>
      </w:r>
      <w:r w:rsidR="00476CF0">
        <w:rPr>
          <w:rFonts w:ascii="Arial" w:hAnsi="Arial" w:cs="Arial"/>
          <w:sz w:val="22"/>
          <w:szCs w:val="22"/>
        </w:rPr>
        <w:t>(</w:t>
      </w:r>
      <w:r w:rsidR="00BD2E64">
        <w:rPr>
          <w:rFonts w:ascii="Arial" w:hAnsi="Arial" w:cs="Arial"/>
          <w:sz w:val="22"/>
          <w:szCs w:val="22"/>
        </w:rPr>
        <w:t>77.8%</w:t>
      </w:r>
      <w:r w:rsidR="00B93E1F">
        <w:rPr>
          <w:rFonts w:ascii="Arial" w:hAnsi="Arial" w:cs="Arial"/>
          <w:sz w:val="22"/>
          <w:szCs w:val="22"/>
        </w:rPr>
        <w:t>)</w:t>
      </w:r>
      <w:r w:rsidR="00476CF0">
        <w:rPr>
          <w:rFonts w:ascii="Arial" w:hAnsi="Arial" w:cs="Arial"/>
          <w:sz w:val="22"/>
          <w:szCs w:val="22"/>
        </w:rPr>
        <w:t>]</w:t>
      </w:r>
      <w:r w:rsidR="00B93E1F">
        <w:rPr>
          <w:rFonts w:ascii="Arial" w:hAnsi="Arial" w:cs="Arial"/>
          <w:sz w:val="22"/>
          <w:szCs w:val="22"/>
        </w:rPr>
        <w:t xml:space="preserve">, mucoepidermoid carcinoma </w:t>
      </w:r>
      <w:r w:rsidR="00476CF0">
        <w:rPr>
          <w:rFonts w:ascii="Arial" w:hAnsi="Arial" w:cs="Arial"/>
          <w:sz w:val="22"/>
          <w:szCs w:val="22"/>
        </w:rPr>
        <w:t>[</w:t>
      </w:r>
      <w:r w:rsidR="00B93E1F">
        <w:rPr>
          <w:rFonts w:ascii="Arial" w:hAnsi="Arial" w:cs="Arial"/>
          <w:sz w:val="22"/>
          <w:szCs w:val="22"/>
        </w:rPr>
        <w:t>n=1</w:t>
      </w:r>
      <w:r w:rsidR="007072EC">
        <w:rPr>
          <w:rFonts w:ascii="Arial" w:hAnsi="Arial" w:cs="Arial"/>
          <w:sz w:val="22"/>
          <w:szCs w:val="22"/>
        </w:rPr>
        <w:t xml:space="preserve"> </w:t>
      </w:r>
      <w:r w:rsidR="00476CF0">
        <w:rPr>
          <w:rFonts w:ascii="Arial" w:hAnsi="Arial" w:cs="Arial"/>
          <w:sz w:val="22"/>
          <w:szCs w:val="22"/>
        </w:rPr>
        <w:t>(</w:t>
      </w:r>
      <w:r w:rsidR="00BD2E64">
        <w:rPr>
          <w:rFonts w:ascii="Arial" w:hAnsi="Arial" w:cs="Arial"/>
          <w:sz w:val="22"/>
          <w:szCs w:val="22"/>
        </w:rPr>
        <w:t>11.1%</w:t>
      </w:r>
      <w:r w:rsidR="00B93E1F">
        <w:rPr>
          <w:rFonts w:ascii="Arial" w:hAnsi="Arial" w:cs="Arial"/>
          <w:sz w:val="22"/>
          <w:szCs w:val="22"/>
        </w:rPr>
        <w:t>)</w:t>
      </w:r>
      <w:r w:rsidR="00476CF0">
        <w:rPr>
          <w:rFonts w:ascii="Arial" w:hAnsi="Arial" w:cs="Arial"/>
          <w:sz w:val="22"/>
          <w:szCs w:val="22"/>
        </w:rPr>
        <w:t>]</w:t>
      </w:r>
      <w:r w:rsidR="00B93E1F">
        <w:rPr>
          <w:rFonts w:ascii="Arial" w:hAnsi="Arial" w:cs="Arial"/>
          <w:sz w:val="22"/>
          <w:szCs w:val="22"/>
        </w:rPr>
        <w:t xml:space="preserve"> and </w:t>
      </w:r>
      <w:proofErr w:type="spellStart"/>
      <w:r w:rsidR="00B93E1F">
        <w:rPr>
          <w:rFonts w:ascii="Arial" w:hAnsi="Arial" w:cs="Arial"/>
          <w:sz w:val="22"/>
          <w:szCs w:val="22"/>
        </w:rPr>
        <w:t>neurofibroma</w:t>
      </w:r>
      <w:proofErr w:type="spellEnd"/>
      <w:r w:rsidR="00B93E1F">
        <w:rPr>
          <w:rFonts w:ascii="Arial" w:hAnsi="Arial" w:cs="Arial"/>
          <w:sz w:val="22"/>
          <w:szCs w:val="22"/>
        </w:rPr>
        <w:t xml:space="preserve"> </w:t>
      </w:r>
      <w:r w:rsidR="00476CF0">
        <w:rPr>
          <w:rFonts w:ascii="Arial" w:hAnsi="Arial" w:cs="Arial"/>
          <w:sz w:val="22"/>
          <w:szCs w:val="22"/>
        </w:rPr>
        <w:t>[</w:t>
      </w:r>
      <w:r w:rsidR="00B93E1F">
        <w:rPr>
          <w:rFonts w:ascii="Arial" w:hAnsi="Arial" w:cs="Arial"/>
          <w:sz w:val="22"/>
          <w:szCs w:val="22"/>
        </w:rPr>
        <w:t>n=1</w:t>
      </w:r>
      <w:r w:rsidR="00BD2E64">
        <w:rPr>
          <w:rFonts w:ascii="Arial" w:hAnsi="Arial" w:cs="Arial"/>
          <w:sz w:val="22"/>
          <w:szCs w:val="22"/>
        </w:rPr>
        <w:t xml:space="preserve"> </w:t>
      </w:r>
      <w:r w:rsidR="00476CF0">
        <w:rPr>
          <w:rFonts w:ascii="Arial" w:hAnsi="Arial" w:cs="Arial"/>
          <w:sz w:val="22"/>
          <w:szCs w:val="22"/>
        </w:rPr>
        <w:t>(</w:t>
      </w:r>
      <w:r w:rsidR="00BD2E64">
        <w:rPr>
          <w:rFonts w:ascii="Arial" w:hAnsi="Arial" w:cs="Arial"/>
          <w:sz w:val="22"/>
          <w:szCs w:val="22"/>
        </w:rPr>
        <w:t>11.1%</w:t>
      </w:r>
      <w:r w:rsidR="00B93E1F">
        <w:rPr>
          <w:rFonts w:ascii="Arial" w:hAnsi="Arial" w:cs="Arial"/>
          <w:sz w:val="22"/>
          <w:szCs w:val="22"/>
        </w:rPr>
        <w:t>)</w:t>
      </w:r>
      <w:r w:rsidR="00476CF0">
        <w:rPr>
          <w:rFonts w:ascii="Arial" w:hAnsi="Arial" w:cs="Arial"/>
          <w:sz w:val="22"/>
          <w:szCs w:val="22"/>
        </w:rPr>
        <w:t>]</w:t>
      </w:r>
      <w:r w:rsidR="00B93E1F">
        <w:rPr>
          <w:rFonts w:ascii="Arial" w:hAnsi="Arial" w:cs="Arial"/>
          <w:sz w:val="22"/>
          <w:szCs w:val="22"/>
        </w:rPr>
        <w:t xml:space="preserve"> in the setting of neurofibromatosis type1.</w:t>
      </w:r>
      <w:r w:rsidR="002B155C" w:rsidRPr="0093094C">
        <w:rPr>
          <w:rFonts w:ascii="Arial" w:hAnsi="Arial" w:cs="Arial"/>
          <w:sz w:val="22"/>
          <w:szCs w:val="22"/>
        </w:rPr>
        <w:t xml:space="preserve"> </w:t>
      </w:r>
      <w:r>
        <w:rPr>
          <w:rFonts w:ascii="Arial" w:hAnsi="Arial" w:cs="Arial"/>
          <w:sz w:val="22"/>
          <w:szCs w:val="22"/>
        </w:rPr>
        <w:t xml:space="preserve"> </w:t>
      </w:r>
    </w:p>
    <w:p w:rsidR="007E73DD" w:rsidRPr="00CC28B8" w:rsidRDefault="0019736B" w:rsidP="00BF1E4D">
      <w:pPr>
        <w:pStyle w:val="Default"/>
        <w:spacing w:line="360" w:lineRule="auto"/>
        <w:jc w:val="both"/>
        <w:rPr>
          <w:rFonts w:ascii="Arial" w:hAnsi="Arial" w:cs="Arial"/>
          <w:color w:val="auto"/>
          <w:sz w:val="22"/>
          <w:szCs w:val="22"/>
        </w:rPr>
      </w:pPr>
      <w:r w:rsidRPr="0093094C">
        <w:rPr>
          <w:rFonts w:ascii="Arial" w:hAnsi="Arial" w:cs="Arial"/>
          <w:sz w:val="22"/>
          <w:szCs w:val="22"/>
        </w:rPr>
        <w:t xml:space="preserve">Primary benign epithelial SGT comprised </w:t>
      </w:r>
      <w:r w:rsidR="00B61B3F">
        <w:rPr>
          <w:rFonts w:ascii="Arial" w:hAnsi="Arial" w:cs="Arial"/>
          <w:sz w:val="22"/>
          <w:szCs w:val="22"/>
        </w:rPr>
        <w:t>77.</w:t>
      </w:r>
      <w:r w:rsidR="00E26857">
        <w:rPr>
          <w:rFonts w:ascii="Arial" w:hAnsi="Arial" w:cs="Arial"/>
          <w:sz w:val="22"/>
          <w:szCs w:val="22"/>
        </w:rPr>
        <w:t xml:space="preserve">3% of </w:t>
      </w:r>
      <w:r w:rsidR="00D811DF" w:rsidRPr="00D811DF">
        <w:rPr>
          <w:rFonts w:ascii="Arial" w:hAnsi="Arial" w:cs="Arial"/>
          <w:sz w:val="22"/>
          <w:szCs w:val="22"/>
        </w:rPr>
        <w:t>cases</w:t>
      </w:r>
      <w:r w:rsidR="00BD2E64">
        <w:rPr>
          <w:rFonts w:ascii="Arial" w:hAnsi="Arial" w:cs="Arial"/>
          <w:sz w:val="22"/>
          <w:szCs w:val="22"/>
        </w:rPr>
        <w:t xml:space="preserve"> </w:t>
      </w:r>
      <w:r w:rsidR="00BD2E64" w:rsidRPr="0093094C">
        <w:rPr>
          <w:rFonts w:ascii="Arial" w:hAnsi="Arial" w:cs="Arial"/>
          <w:sz w:val="22"/>
          <w:szCs w:val="22"/>
        </w:rPr>
        <w:t>(</w:t>
      </w:r>
      <w:r w:rsidR="00E26857">
        <w:rPr>
          <w:rFonts w:ascii="Arial" w:hAnsi="Arial" w:cs="Arial"/>
          <w:sz w:val="22"/>
          <w:szCs w:val="22"/>
        </w:rPr>
        <w:t>n=228</w:t>
      </w:r>
      <w:r w:rsidR="00BD2E64" w:rsidRPr="0093094C">
        <w:rPr>
          <w:rFonts w:ascii="Arial" w:hAnsi="Arial" w:cs="Arial"/>
          <w:sz w:val="22"/>
          <w:szCs w:val="22"/>
        </w:rPr>
        <w:t>)</w:t>
      </w:r>
      <w:r w:rsidR="007E73DD" w:rsidRPr="0093094C">
        <w:rPr>
          <w:rFonts w:ascii="Arial" w:hAnsi="Arial" w:cs="Arial"/>
          <w:sz w:val="22"/>
          <w:szCs w:val="22"/>
        </w:rPr>
        <w:t xml:space="preserve">. The most frequent </w:t>
      </w:r>
      <w:r w:rsidR="00F557DD">
        <w:rPr>
          <w:rFonts w:ascii="Arial" w:hAnsi="Arial" w:cs="Arial"/>
          <w:sz w:val="22"/>
          <w:szCs w:val="22"/>
        </w:rPr>
        <w:t xml:space="preserve">SGT </w:t>
      </w:r>
      <w:r w:rsidR="007E73DD" w:rsidRPr="0093094C">
        <w:rPr>
          <w:rFonts w:ascii="Arial" w:hAnsi="Arial" w:cs="Arial"/>
          <w:sz w:val="22"/>
          <w:szCs w:val="22"/>
        </w:rPr>
        <w:t>subtype w</w:t>
      </w:r>
      <w:r w:rsidR="00957E33">
        <w:rPr>
          <w:rFonts w:ascii="Arial" w:hAnsi="Arial" w:cs="Arial"/>
          <w:sz w:val="22"/>
          <w:szCs w:val="22"/>
        </w:rPr>
        <w:t>as</w:t>
      </w:r>
      <w:r w:rsidR="007E73DD" w:rsidRPr="0093094C">
        <w:rPr>
          <w:rFonts w:ascii="Arial" w:hAnsi="Arial" w:cs="Arial"/>
          <w:sz w:val="22"/>
          <w:szCs w:val="22"/>
        </w:rPr>
        <w:t xml:space="preserve"> pleomorphic adenoma ac</w:t>
      </w:r>
      <w:r w:rsidR="00EA0992" w:rsidRPr="0093094C">
        <w:rPr>
          <w:rFonts w:ascii="Arial" w:hAnsi="Arial" w:cs="Arial"/>
          <w:sz w:val="22"/>
          <w:szCs w:val="22"/>
        </w:rPr>
        <w:t>c</w:t>
      </w:r>
      <w:r w:rsidR="007E73DD" w:rsidRPr="0093094C">
        <w:rPr>
          <w:rFonts w:ascii="Arial" w:hAnsi="Arial" w:cs="Arial"/>
          <w:sz w:val="22"/>
          <w:szCs w:val="22"/>
        </w:rPr>
        <w:t>ounting</w:t>
      </w:r>
      <w:r w:rsidR="00D811DF">
        <w:rPr>
          <w:rFonts w:ascii="Arial" w:hAnsi="Arial" w:cs="Arial"/>
          <w:sz w:val="22"/>
          <w:szCs w:val="22"/>
        </w:rPr>
        <w:t xml:space="preserve"> for</w:t>
      </w:r>
      <w:r w:rsidR="007E73DD" w:rsidRPr="0093094C">
        <w:rPr>
          <w:rFonts w:ascii="Arial" w:hAnsi="Arial" w:cs="Arial"/>
          <w:sz w:val="22"/>
          <w:szCs w:val="22"/>
        </w:rPr>
        <w:t xml:space="preserve"> 50</w:t>
      </w:r>
      <w:r w:rsidR="0003436A">
        <w:rPr>
          <w:rFonts w:ascii="Arial" w:hAnsi="Arial" w:cs="Arial"/>
          <w:sz w:val="22"/>
          <w:szCs w:val="22"/>
        </w:rPr>
        <w:t>.</w:t>
      </w:r>
      <w:r w:rsidR="007E73DD" w:rsidRPr="0093094C">
        <w:rPr>
          <w:rFonts w:ascii="Arial" w:hAnsi="Arial" w:cs="Arial"/>
          <w:sz w:val="22"/>
          <w:szCs w:val="22"/>
        </w:rPr>
        <w:t>2 %</w:t>
      </w:r>
      <w:r w:rsidR="00D811DF">
        <w:rPr>
          <w:rFonts w:ascii="Arial" w:hAnsi="Arial" w:cs="Arial"/>
          <w:sz w:val="22"/>
          <w:szCs w:val="22"/>
        </w:rPr>
        <w:t xml:space="preserve"> </w:t>
      </w:r>
      <w:r w:rsidR="00D811DF" w:rsidRPr="00D811DF">
        <w:rPr>
          <w:rFonts w:ascii="Arial" w:hAnsi="Arial" w:cs="Arial"/>
          <w:sz w:val="22"/>
          <w:szCs w:val="22"/>
        </w:rPr>
        <w:t>(n=148)</w:t>
      </w:r>
      <w:r w:rsidR="007E73DD" w:rsidRPr="0093094C">
        <w:rPr>
          <w:rFonts w:ascii="Arial" w:hAnsi="Arial" w:cs="Arial"/>
          <w:sz w:val="22"/>
          <w:szCs w:val="22"/>
        </w:rPr>
        <w:t xml:space="preserve"> of all cases</w:t>
      </w:r>
      <w:r w:rsidR="00A41A60">
        <w:rPr>
          <w:rFonts w:ascii="Arial" w:hAnsi="Arial" w:cs="Arial"/>
          <w:sz w:val="22"/>
          <w:szCs w:val="22"/>
        </w:rPr>
        <w:t xml:space="preserve"> </w:t>
      </w:r>
      <w:r w:rsidR="00A41A60" w:rsidRPr="00A41A60">
        <w:rPr>
          <w:b/>
          <w:color w:val="C00000"/>
        </w:rPr>
        <w:t>(</w:t>
      </w:r>
      <w:r w:rsidR="00A41A60">
        <w:rPr>
          <w:b/>
          <w:color w:val="C00000"/>
        </w:rPr>
        <w:t>Insert</w:t>
      </w:r>
      <w:r w:rsidR="00A41A60" w:rsidRPr="00A41A60">
        <w:rPr>
          <w:b/>
          <w:color w:val="C00000"/>
        </w:rPr>
        <w:t xml:space="preserve"> </w:t>
      </w:r>
      <w:r w:rsidR="00A41A60">
        <w:rPr>
          <w:b/>
          <w:color w:val="C00000"/>
        </w:rPr>
        <w:t xml:space="preserve">figure </w:t>
      </w:r>
      <w:r w:rsidR="00A41A60" w:rsidRPr="00A41A60">
        <w:rPr>
          <w:b/>
          <w:color w:val="C00000"/>
        </w:rPr>
        <w:t xml:space="preserve">1 </w:t>
      </w:r>
      <w:r w:rsidR="00A41A60">
        <w:rPr>
          <w:b/>
          <w:color w:val="C00000"/>
        </w:rPr>
        <w:t>here</w:t>
      </w:r>
      <w:r w:rsidR="00A41A60" w:rsidRPr="00A41A60">
        <w:rPr>
          <w:b/>
          <w:color w:val="C00000"/>
        </w:rPr>
        <w:t>)</w:t>
      </w:r>
      <w:r w:rsidR="00F557DD">
        <w:rPr>
          <w:rFonts w:ascii="Arial" w:hAnsi="Arial" w:cs="Arial"/>
          <w:sz w:val="22"/>
          <w:szCs w:val="22"/>
        </w:rPr>
        <w:t>.</w:t>
      </w:r>
      <w:r w:rsidR="007E73DD" w:rsidRPr="0093094C">
        <w:rPr>
          <w:rFonts w:ascii="Arial" w:hAnsi="Arial" w:cs="Arial"/>
          <w:sz w:val="22"/>
          <w:szCs w:val="22"/>
        </w:rPr>
        <w:t xml:space="preserve"> </w:t>
      </w:r>
      <w:r w:rsidR="00F557DD" w:rsidRPr="00CC28B8">
        <w:rPr>
          <w:rFonts w:ascii="Arial" w:hAnsi="Arial" w:cs="Arial"/>
          <w:color w:val="auto"/>
          <w:sz w:val="22"/>
          <w:szCs w:val="22"/>
        </w:rPr>
        <w:t>T</w:t>
      </w:r>
      <w:r w:rsidR="000668D5" w:rsidRPr="00CC28B8">
        <w:rPr>
          <w:rFonts w:ascii="Arial" w:hAnsi="Arial" w:cs="Arial"/>
          <w:color w:val="auto"/>
          <w:sz w:val="22"/>
          <w:szCs w:val="22"/>
        </w:rPr>
        <w:t>he peak incidence was in the 4th decade of life and</w:t>
      </w:r>
      <w:r w:rsidR="00EA0992" w:rsidRPr="00CC28B8">
        <w:rPr>
          <w:rFonts w:ascii="Arial" w:hAnsi="Arial" w:cs="Arial"/>
          <w:color w:val="auto"/>
          <w:sz w:val="22"/>
          <w:szCs w:val="22"/>
        </w:rPr>
        <w:t xml:space="preserve"> it was predominant in </w:t>
      </w:r>
      <w:r w:rsidR="004A319A" w:rsidRPr="00CC28B8">
        <w:rPr>
          <w:rFonts w:ascii="Arial" w:hAnsi="Arial" w:cs="Arial"/>
          <w:color w:val="auto"/>
          <w:sz w:val="22"/>
          <w:szCs w:val="22"/>
        </w:rPr>
        <w:t>women</w:t>
      </w:r>
      <w:r w:rsidR="00EA0992" w:rsidRPr="00CC28B8">
        <w:rPr>
          <w:rFonts w:ascii="Arial" w:hAnsi="Arial" w:cs="Arial"/>
          <w:color w:val="auto"/>
          <w:sz w:val="22"/>
          <w:szCs w:val="22"/>
        </w:rPr>
        <w:t xml:space="preserve"> (</w:t>
      </w:r>
      <w:r w:rsidR="004A319A" w:rsidRPr="00CC28B8">
        <w:rPr>
          <w:rFonts w:ascii="Arial" w:hAnsi="Arial" w:cs="Arial"/>
          <w:color w:val="auto"/>
          <w:sz w:val="22"/>
          <w:szCs w:val="22"/>
          <w:shd w:val="clear" w:color="auto" w:fill="FFFFFF"/>
        </w:rPr>
        <w:t>women</w:t>
      </w:r>
      <w:r w:rsidR="00F27DA4" w:rsidRPr="00CC28B8">
        <w:rPr>
          <w:rFonts w:ascii="Arial" w:hAnsi="Arial" w:cs="Arial"/>
          <w:color w:val="auto"/>
          <w:sz w:val="22"/>
          <w:szCs w:val="22"/>
          <w:shd w:val="clear" w:color="auto" w:fill="FFFFFF"/>
        </w:rPr>
        <w:t xml:space="preserve">: </w:t>
      </w:r>
      <w:r w:rsidR="004A319A" w:rsidRPr="00CC28B8">
        <w:rPr>
          <w:rFonts w:ascii="Arial" w:hAnsi="Arial" w:cs="Arial"/>
          <w:color w:val="auto"/>
          <w:sz w:val="22"/>
          <w:szCs w:val="22"/>
          <w:shd w:val="clear" w:color="auto" w:fill="FFFFFF"/>
        </w:rPr>
        <w:t>men</w:t>
      </w:r>
      <w:r w:rsidR="00F27DA4" w:rsidRPr="00CC28B8">
        <w:rPr>
          <w:rFonts w:ascii="Arial" w:hAnsi="Arial" w:cs="Arial"/>
          <w:color w:val="auto"/>
          <w:sz w:val="22"/>
          <w:szCs w:val="22"/>
          <w:shd w:val="clear" w:color="auto" w:fill="FFFFFF"/>
        </w:rPr>
        <w:t xml:space="preserve"> ratio = 1.84: 1</w:t>
      </w:r>
      <w:r w:rsidR="00EA0992" w:rsidRPr="00CC28B8">
        <w:rPr>
          <w:rFonts w:ascii="Arial" w:hAnsi="Arial" w:cs="Arial"/>
          <w:color w:val="auto"/>
          <w:sz w:val="22"/>
          <w:szCs w:val="22"/>
        </w:rPr>
        <w:t>)</w:t>
      </w:r>
      <w:r w:rsidR="00E6676A" w:rsidRPr="00CC28B8">
        <w:rPr>
          <w:rFonts w:ascii="Arial" w:hAnsi="Arial" w:cs="Arial"/>
          <w:color w:val="auto"/>
          <w:sz w:val="22"/>
          <w:szCs w:val="22"/>
        </w:rPr>
        <w:t xml:space="preserve"> (fig. 1)</w:t>
      </w:r>
      <w:r w:rsidR="000668D5" w:rsidRPr="00CC28B8">
        <w:rPr>
          <w:rFonts w:ascii="Arial" w:hAnsi="Arial" w:cs="Arial"/>
          <w:color w:val="auto"/>
          <w:sz w:val="22"/>
          <w:szCs w:val="22"/>
        </w:rPr>
        <w:t>. According to location,</w:t>
      </w:r>
      <w:r w:rsidR="004F3025" w:rsidRPr="00CC28B8">
        <w:rPr>
          <w:rFonts w:ascii="Arial" w:hAnsi="Arial" w:cs="Arial"/>
          <w:color w:val="auto"/>
          <w:sz w:val="22"/>
          <w:szCs w:val="22"/>
        </w:rPr>
        <w:t xml:space="preserve"> 92</w:t>
      </w:r>
      <w:r w:rsidR="000002A5" w:rsidRPr="00CC28B8">
        <w:rPr>
          <w:rFonts w:ascii="Arial" w:hAnsi="Arial" w:cs="Arial"/>
          <w:color w:val="auto"/>
          <w:sz w:val="22"/>
          <w:szCs w:val="22"/>
        </w:rPr>
        <w:t>%</w:t>
      </w:r>
      <w:r w:rsidR="000668D5" w:rsidRPr="00CC28B8">
        <w:rPr>
          <w:rFonts w:ascii="Arial" w:hAnsi="Arial" w:cs="Arial"/>
          <w:color w:val="auto"/>
          <w:sz w:val="22"/>
          <w:szCs w:val="22"/>
        </w:rPr>
        <w:t xml:space="preserve"> </w:t>
      </w:r>
      <w:r w:rsidR="00DE0D51" w:rsidRPr="00CC28B8">
        <w:rPr>
          <w:rFonts w:ascii="Arial" w:hAnsi="Arial" w:cs="Arial"/>
          <w:color w:val="auto"/>
          <w:sz w:val="22"/>
          <w:szCs w:val="22"/>
        </w:rPr>
        <w:t xml:space="preserve">(n=136) </w:t>
      </w:r>
      <w:r w:rsidR="00957E33" w:rsidRPr="00CC28B8">
        <w:rPr>
          <w:rFonts w:ascii="Arial" w:hAnsi="Arial" w:cs="Arial"/>
          <w:color w:val="auto"/>
          <w:sz w:val="22"/>
          <w:szCs w:val="22"/>
        </w:rPr>
        <w:t>occurred</w:t>
      </w:r>
      <w:r w:rsidR="000668D5" w:rsidRPr="00CC28B8">
        <w:rPr>
          <w:rFonts w:ascii="Arial" w:hAnsi="Arial" w:cs="Arial"/>
          <w:color w:val="auto"/>
          <w:sz w:val="22"/>
          <w:szCs w:val="22"/>
        </w:rPr>
        <w:t xml:space="preserve"> in</w:t>
      </w:r>
      <w:r w:rsidR="00766A6F" w:rsidRPr="00CC28B8">
        <w:rPr>
          <w:rFonts w:ascii="Arial" w:hAnsi="Arial" w:cs="Arial"/>
          <w:color w:val="auto"/>
          <w:sz w:val="22"/>
          <w:szCs w:val="22"/>
        </w:rPr>
        <w:t xml:space="preserve"> </w:t>
      </w:r>
      <w:r w:rsidR="00766A6F" w:rsidRPr="00CC28B8">
        <w:rPr>
          <w:rFonts w:ascii="Arial" w:hAnsi="Arial" w:cs="Arial"/>
          <w:i/>
          <w:color w:val="auto"/>
          <w:sz w:val="22"/>
          <w:szCs w:val="22"/>
        </w:rPr>
        <w:t xml:space="preserve">major </w:t>
      </w:r>
      <w:r w:rsidR="00766A6F" w:rsidRPr="00CC28B8">
        <w:rPr>
          <w:rFonts w:ascii="Arial" w:hAnsi="Arial" w:cs="Arial"/>
          <w:color w:val="auto"/>
          <w:sz w:val="22"/>
          <w:szCs w:val="22"/>
        </w:rPr>
        <w:t>salivary glands:</w:t>
      </w:r>
      <w:r w:rsidR="000668D5" w:rsidRPr="00CC28B8">
        <w:rPr>
          <w:rFonts w:ascii="Arial" w:hAnsi="Arial" w:cs="Arial"/>
          <w:color w:val="auto"/>
          <w:sz w:val="22"/>
          <w:szCs w:val="22"/>
        </w:rPr>
        <w:t xml:space="preserve"> </w:t>
      </w:r>
      <w:r w:rsidR="000002A5" w:rsidRPr="00CC28B8">
        <w:rPr>
          <w:rFonts w:ascii="Arial" w:hAnsi="Arial" w:cs="Arial"/>
          <w:color w:val="auto"/>
          <w:sz w:val="22"/>
          <w:szCs w:val="22"/>
        </w:rPr>
        <w:t xml:space="preserve">81.8% (n=121) </w:t>
      </w:r>
      <w:r w:rsidR="00957E33" w:rsidRPr="00CC28B8">
        <w:rPr>
          <w:rFonts w:ascii="Arial" w:hAnsi="Arial" w:cs="Arial"/>
          <w:color w:val="auto"/>
          <w:sz w:val="22"/>
          <w:szCs w:val="22"/>
        </w:rPr>
        <w:t xml:space="preserve">in </w:t>
      </w:r>
      <w:r w:rsidR="000668D5" w:rsidRPr="00CC28B8">
        <w:rPr>
          <w:rFonts w:ascii="Arial" w:hAnsi="Arial" w:cs="Arial"/>
          <w:color w:val="auto"/>
          <w:sz w:val="22"/>
          <w:szCs w:val="22"/>
        </w:rPr>
        <w:t>parotid,</w:t>
      </w:r>
      <w:r w:rsidR="000002A5" w:rsidRPr="00CC28B8">
        <w:rPr>
          <w:color w:val="auto"/>
        </w:rPr>
        <w:t xml:space="preserve"> </w:t>
      </w:r>
      <w:r w:rsidR="000002A5" w:rsidRPr="00CC28B8">
        <w:rPr>
          <w:rFonts w:ascii="Arial" w:hAnsi="Arial" w:cs="Arial"/>
          <w:color w:val="auto"/>
          <w:sz w:val="22"/>
          <w:szCs w:val="22"/>
        </w:rPr>
        <w:t>8.8% (n=13)</w:t>
      </w:r>
      <w:r w:rsidR="000668D5" w:rsidRPr="00CC28B8">
        <w:rPr>
          <w:rFonts w:ascii="Arial" w:hAnsi="Arial" w:cs="Arial"/>
          <w:color w:val="auto"/>
          <w:sz w:val="22"/>
          <w:szCs w:val="22"/>
        </w:rPr>
        <w:t xml:space="preserve"> </w:t>
      </w:r>
      <w:r w:rsidR="00957E33" w:rsidRPr="00CC28B8">
        <w:rPr>
          <w:rFonts w:ascii="Arial" w:hAnsi="Arial" w:cs="Arial"/>
          <w:color w:val="auto"/>
          <w:sz w:val="22"/>
          <w:szCs w:val="22"/>
        </w:rPr>
        <w:t>in</w:t>
      </w:r>
      <w:r w:rsidR="000668D5" w:rsidRPr="00CC28B8">
        <w:rPr>
          <w:rFonts w:ascii="Arial" w:hAnsi="Arial" w:cs="Arial"/>
          <w:color w:val="auto"/>
          <w:sz w:val="22"/>
          <w:szCs w:val="22"/>
        </w:rPr>
        <w:t xml:space="preserve"> submandibular, </w:t>
      </w:r>
      <w:r w:rsidR="000002A5" w:rsidRPr="00CC28B8">
        <w:rPr>
          <w:rFonts w:ascii="Arial" w:hAnsi="Arial" w:cs="Arial"/>
          <w:color w:val="auto"/>
          <w:sz w:val="22"/>
          <w:szCs w:val="22"/>
        </w:rPr>
        <w:t xml:space="preserve">and </w:t>
      </w:r>
      <w:r w:rsidR="000668D5" w:rsidRPr="00CC28B8">
        <w:rPr>
          <w:rFonts w:ascii="Arial" w:hAnsi="Arial" w:cs="Arial"/>
          <w:color w:val="auto"/>
          <w:sz w:val="22"/>
          <w:szCs w:val="22"/>
        </w:rPr>
        <w:t>1</w:t>
      </w:r>
      <w:r w:rsidR="00086C76" w:rsidRPr="00CC28B8">
        <w:rPr>
          <w:rFonts w:ascii="Arial" w:hAnsi="Arial" w:cs="Arial"/>
          <w:color w:val="auto"/>
          <w:sz w:val="22"/>
          <w:szCs w:val="22"/>
        </w:rPr>
        <w:t>.4</w:t>
      </w:r>
      <w:r w:rsidR="000668D5" w:rsidRPr="00CC28B8">
        <w:rPr>
          <w:rFonts w:ascii="Arial" w:hAnsi="Arial" w:cs="Arial"/>
          <w:color w:val="auto"/>
          <w:sz w:val="22"/>
          <w:szCs w:val="22"/>
        </w:rPr>
        <w:t>% (n=2) in sublingual</w:t>
      </w:r>
      <w:r w:rsidR="00766A6F" w:rsidRPr="00CC28B8">
        <w:rPr>
          <w:rFonts w:ascii="Arial" w:hAnsi="Arial" w:cs="Arial"/>
          <w:color w:val="auto"/>
          <w:sz w:val="22"/>
          <w:szCs w:val="22"/>
        </w:rPr>
        <w:t xml:space="preserve">; </w:t>
      </w:r>
      <w:r w:rsidR="000668D5" w:rsidRPr="00CC28B8">
        <w:rPr>
          <w:rFonts w:ascii="Arial" w:hAnsi="Arial" w:cs="Arial"/>
          <w:color w:val="auto"/>
          <w:sz w:val="22"/>
          <w:szCs w:val="22"/>
        </w:rPr>
        <w:t xml:space="preserve">and 8% (n=12) in </w:t>
      </w:r>
      <w:r w:rsidR="000668D5" w:rsidRPr="00CC28B8">
        <w:rPr>
          <w:rFonts w:ascii="Arial" w:hAnsi="Arial" w:cs="Arial"/>
          <w:i/>
          <w:color w:val="auto"/>
          <w:sz w:val="22"/>
          <w:szCs w:val="22"/>
        </w:rPr>
        <w:t>minor</w:t>
      </w:r>
      <w:r w:rsidR="000668D5" w:rsidRPr="00CC28B8">
        <w:rPr>
          <w:rFonts w:ascii="Arial" w:hAnsi="Arial" w:cs="Arial"/>
          <w:color w:val="auto"/>
          <w:sz w:val="22"/>
          <w:szCs w:val="22"/>
        </w:rPr>
        <w:t xml:space="preserve"> salivary glands. </w:t>
      </w:r>
      <w:r w:rsidR="00AA4832" w:rsidRPr="00CC28B8">
        <w:rPr>
          <w:rFonts w:ascii="Arial" w:hAnsi="Arial" w:cs="Arial"/>
          <w:color w:val="auto"/>
          <w:sz w:val="22"/>
          <w:szCs w:val="22"/>
        </w:rPr>
        <w:t>The mean tumor size was 2</w:t>
      </w:r>
      <w:r w:rsidR="0035544F" w:rsidRPr="00CC28B8">
        <w:rPr>
          <w:rFonts w:ascii="Arial" w:hAnsi="Arial" w:cs="Arial"/>
          <w:color w:val="auto"/>
          <w:sz w:val="22"/>
          <w:szCs w:val="22"/>
        </w:rPr>
        <w:t xml:space="preserve"> (±0.8)</w:t>
      </w:r>
      <w:r w:rsidR="00AA4832" w:rsidRPr="00CC28B8">
        <w:rPr>
          <w:rFonts w:ascii="Arial" w:hAnsi="Arial" w:cs="Arial"/>
          <w:color w:val="auto"/>
          <w:sz w:val="22"/>
          <w:szCs w:val="22"/>
        </w:rPr>
        <w:t xml:space="preserve"> cm (range 0</w:t>
      </w:r>
      <w:r w:rsidR="0003436A" w:rsidRPr="00CC28B8">
        <w:rPr>
          <w:rFonts w:ascii="Arial" w:hAnsi="Arial" w:cs="Arial"/>
          <w:color w:val="auto"/>
          <w:sz w:val="22"/>
          <w:szCs w:val="22"/>
        </w:rPr>
        <w:t>.</w:t>
      </w:r>
      <w:r w:rsidR="00AA4832" w:rsidRPr="00CC28B8">
        <w:rPr>
          <w:rFonts w:ascii="Arial" w:hAnsi="Arial" w:cs="Arial"/>
          <w:color w:val="auto"/>
          <w:sz w:val="22"/>
          <w:szCs w:val="22"/>
        </w:rPr>
        <w:t>5-4</w:t>
      </w:r>
      <w:r w:rsidR="007129B4" w:rsidRPr="00CC28B8">
        <w:rPr>
          <w:rFonts w:ascii="Arial" w:hAnsi="Arial" w:cs="Arial"/>
          <w:color w:val="auto"/>
          <w:sz w:val="22"/>
          <w:szCs w:val="22"/>
        </w:rPr>
        <w:t>.</w:t>
      </w:r>
      <w:r w:rsidR="00227926" w:rsidRPr="00CC28B8">
        <w:rPr>
          <w:rFonts w:ascii="Arial" w:hAnsi="Arial" w:cs="Arial"/>
          <w:color w:val="auto"/>
          <w:sz w:val="22"/>
          <w:szCs w:val="22"/>
        </w:rPr>
        <w:t>7</w:t>
      </w:r>
      <w:r w:rsidR="00AA4832" w:rsidRPr="00CC28B8">
        <w:rPr>
          <w:rFonts w:ascii="Arial" w:hAnsi="Arial" w:cs="Arial"/>
          <w:color w:val="auto"/>
          <w:sz w:val="22"/>
          <w:szCs w:val="22"/>
        </w:rPr>
        <w:t xml:space="preserve">). </w:t>
      </w:r>
      <w:r w:rsidR="000668D5" w:rsidRPr="00CC28B8">
        <w:rPr>
          <w:rFonts w:ascii="Arial" w:hAnsi="Arial" w:cs="Arial"/>
          <w:color w:val="auto"/>
          <w:sz w:val="22"/>
          <w:szCs w:val="22"/>
        </w:rPr>
        <w:t>Local recurrence w</w:t>
      </w:r>
      <w:r w:rsidR="00957E33" w:rsidRPr="00CC28B8">
        <w:rPr>
          <w:rFonts w:ascii="Arial" w:hAnsi="Arial" w:cs="Arial"/>
          <w:color w:val="auto"/>
          <w:sz w:val="22"/>
          <w:szCs w:val="22"/>
        </w:rPr>
        <w:t>as</w:t>
      </w:r>
      <w:r w:rsidR="000668D5" w:rsidRPr="00CC28B8">
        <w:rPr>
          <w:rFonts w:ascii="Arial" w:hAnsi="Arial" w:cs="Arial"/>
          <w:color w:val="auto"/>
          <w:sz w:val="22"/>
          <w:szCs w:val="22"/>
        </w:rPr>
        <w:t xml:space="preserve"> </w:t>
      </w:r>
      <w:r w:rsidR="00AA4832" w:rsidRPr="00CC28B8">
        <w:rPr>
          <w:rFonts w:ascii="Arial" w:hAnsi="Arial" w:cs="Arial"/>
          <w:color w:val="auto"/>
          <w:sz w:val="22"/>
          <w:szCs w:val="22"/>
        </w:rPr>
        <w:t>observed</w:t>
      </w:r>
      <w:r w:rsidR="000668D5" w:rsidRPr="00CC28B8">
        <w:rPr>
          <w:rFonts w:ascii="Arial" w:hAnsi="Arial" w:cs="Arial"/>
          <w:color w:val="auto"/>
          <w:sz w:val="22"/>
          <w:szCs w:val="22"/>
        </w:rPr>
        <w:t xml:space="preserve"> in two cases</w:t>
      </w:r>
      <w:r w:rsidR="0035544F" w:rsidRPr="00CC28B8">
        <w:rPr>
          <w:rFonts w:ascii="Arial" w:hAnsi="Arial" w:cs="Arial"/>
          <w:color w:val="auto"/>
          <w:sz w:val="22"/>
          <w:szCs w:val="22"/>
        </w:rPr>
        <w:t xml:space="preserve"> (1.4%)</w:t>
      </w:r>
      <w:r w:rsidR="000668D5" w:rsidRPr="00CC28B8">
        <w:rPr>
          <w:rFonts w:ascii="Arial" w:hAnsi="Arial" w:cs="Arial"/>
          <w:color w:val="auto"/>
          <w:sz w:val="22"/>
          <w:szCs w:val="22"/>
        </w:rPr>
        <w:t>.</w:t>
      </w:r>
    </w:p>
    <w:p w:rsidR="0019736B" w:rsidRPr="0093094C" w:rsidRDefault="00EA0992" w:rsidP="00BF1E4D">
      <w:pPr>
        <w:pStyle w:val="Default"/>
        <w:spacing w:line="360" w:lineRule="auto"/>
        <w:jc w:val="both"/>
        <w:rPr>
          <w:rFonts w:ascii="Arial" w:hAnsi="Arial" w:cs="Arial"/>
          <w:sz w:val="22"/>
          <w:szCs w:val="22"/>
        </w:rPr>
      </w:pPr>
      <w:r w:rsidRPr="00CC28B8">
        <w:rPr>
          <w:rFonts w:ascii="Arial" w:hAnsi="Arial" w:cs="Arial"/>
          <w:color w:val="auto"/>
          <w:sz w:val="22"/>
          <w:szCs w:val="22"/>
        </w:rPr>
        <w:t>Warthin tumo</w:t>
      </w:r>
      <w:r w:rsidR="0019736B" w:rsidRPr="00CC28B8">
        <w:rPr>
          <w:rFonts w:ascii="Arial" w:hAnsi="Arial" w:cs="Arial"/>
          <w:color w:val="auto"/>
          <w:sz w:val="22"/>
          <w:szCs w:val="22"/>
        </w:rPr>
        <w:t xml:space="preserve">r </w:t>
      </w:r>
      <w:r w:rsidR="000668D5" w:rsidRPr="00CC28B8">
        <w:rPr>
          <w:rFonts w:ascii="Arial" w:hAnsi="Arial" w:cs="Arial"/>
          <w:color w:val="auto"/>
          <w:sz w:val="22"/>
          <w:szCs w:val="22"/>
        </w:rPr>
        <w:t>was the second most frequent</w:t>
      </w:r>
      <w:r w:rsidR="00F557DD" w:rsidRPr="00CC28B8">
        <w:rPr>
          <w:rFonts w:ascii="Arial" w:hAnsi="Arial" w:cs="Arial"/>
          <w:color w:val="auto"/>
          <w:sz w:val="22"/>
          <w:szCs w:val="22"/>
        </w:rPr>
        <w:t xml:space="preserve"> SGT</w:t>
      </w:r>
      <w:r w:rsidR="000668D5" w:rsidRPr="00CC28B8">
        <w:rPr>
          <w:rFonts w:ascii="Arial" w:hAnsi="Arial" w:cs="Arial"/>
          <w:color w:val="auto"/>
          <w:sz w:val="22"/>
          <w:szCs w:val="22"/>
        </w:rPr>
        <w:t xml:space="preserve"> subtype</w:t>
      </w:r>
      <w:r w:rsidR="00E6676A" w:rsidRPr="00CC28B8">
        <w:rPr>
          <w:rFonts w:ascii="Arial" w:hAnsi="Arial" w:cs="Arial"/>
          <w:color w:val="auto"/>
          <w:sz w:val="22"/>
          <w:szCs w:val="22"/>
        </w:rPr>
        <w:t>,</w:t>
      </w:r>
      <w:r w:rsidR="000668D5" w:rsidRPr="00CC28B8">
        <w:rPr>
          <w:rFonts w:ascii="Arial" w:hAnsi="Arial" w:cs="Arial"/>
          <w:color w:val="auto"/>
          <w:sz w:val="22"/>
          <w:szCs w:val="22"/>
        </w:rPr>
        <w:t xml:space="preserve"> a</w:t>
      </w:r>
      <w:r w:rsidRPr="00CC28B8">
        <w:rPr>
          <w:rFonts w:ascii="Arial" w:hAnsi="Arial" w:cs="Arial"/>
          <w:color w:val="auto"/>
          <w:sz w:val="22"/>
          <w:szCs w:val="22"/>
        </w:rPr>
        <w:t>c</w:t>
      </w:r>
      <w:r w:rsidR="002443BA" w:rsidRPr="00CC28B8">
        <w:rPr>
          <w:rFonts w:ascii="Arial" w:hAnsi="Arial" w:cs="Arial"/>
          <w:color w:val="auto"/>
          <w:sz w:val="22"/>
          <w:szCs w:val="22"/>
        </w:rPr>
        <w:t>counting for 20</w:t>
      </w:r>
      <w:r w:rsidR="0003436A" w:rsidRPr="00CC28B8">
        <w:rPr>
          <w:rFonts w:ascii="Arial" w:hAnsi="Arial" w:cs="Arial"/>
          <w:color w:val="auto"/>
          <w:sz w:val="22"/>
          <w:szCs w:val="22"/>
        </w:rPr>
        <w:t>.</w:t>
      </w:r>
      <w:r w:rsidR="002443BA" w:rsidRPr="00CC28B8">
        <w:rPr>
          <w:rFonts w:ascii="Arial" w:hAnsi="Arial" w:cs="Arial"/>
          <w:color w:val="auto"/>
          <w:sz w:val="22"/>
          <w:szCs w:val="22"/>
        </w:rPr>
        <w:t>7</w:t>
      </w:r>
      <w:r w:rsidR="000668D5" w:rsidRPr="00CC28B8">
        <w:rPr>
          <w:rFonts w:ascii="Arial" w:hAnsi="Arial" w:cs="Arial"/>
          <w:color w:val="auto"/>
          <w:sz w:val="22"/>
          <w:szCs w:val="22"/>
        </w:rPr>
        <w:t>%</w:t>
      </w:r>
      <w:r w:rsidR="007129B4" w:rsidRPr="00CC28B8">
        <w:rPr>
          <w:rFonts w:ascii="Arial" w:hAnsi="Arial" w:cs="Arial"/>
          <w:color w:val="auto"/>
          <w:sz w:val="22"/>
          <w:szCs w:val="22"/>
        </w:rPr>
        <w:t xml:space="preserve"> (n=61)</w:t>
      </w:r>
      <w:r w:rsidR="000668D5" w:rsidRPr="00CC28B8">
        <w:rPr>
          <w:rFonts w:ascii="Arial" w:hAnsi="Arial" w:cs="Arial"/>
          <w:color w:val="auto"/>
          <w:sz w:val="22"/>
          <w:szCs w:val="22"/>
        </w:rPr>
        <w:t xml:space="preserve"> of all tumors</w:t>
      </w:r>
      <w:r w:rsidR="0019736B" w:rsidRPr="00CC28B8">
        <w:rPr>
          <w:rFonts w:ascii="Arial" w:hAnsi="Arial" w:cs="Arial"/>
          <w:color w:val="auto"/>
          <w:sz w:val="22"/>
          <w:szCs w:val="22"/>
        </w:rPr>
        <w:t>.</w:t>
      </w:r>
      <w:r w:rsidR="000668D5" w:rsidRPr="00CC28B8">
        <w:rPr>
          <w:rFonts w:ascii="Arial" w:hAnsi="Arial" w:cs="Arial"/>
          <w:color w:val="auto"/>
          <w:sz w:val="22"/>
          <w:szCs w:val="22"/>
        </w:rPr>
        <w:t xml:space="preserve"> Most</w:t>
      </w:r>
      <w:r w:rsidR="000668D5" w:rsidRPr="00CC28B8">
        <w:rPr>
          <w:rFonts w:ascii="Arial" w:hAnsi="Arial" w:cs="Arial"/>
          <w:b/>
          <w:color w:val="auto"/>
          <w:sz w:val="22"/>
          <w:szCs w:val="22"/>
        </w:rPr>
        <w:t xml:space="preserve"> </w:t>
      </w:r>
      <w:r w:rsidR="0003436A" w:rsidRPr="00CC28B8">
        <w:rPr>
          <w:rFonts w:ascii="Arial" w:hAnsi="Arial" w:cs="Arial"/>
          <w:color w:val="auto"/>
          <w:sz w:val="22"/>
          <w:szCs w:val="22"/>
        </w:rPr>
        <w:t xml:space="preserve">of the </w:t>
      </w:r>
      <w:r w:rsidR="000668D5" w:rsidRPr="00CC28B8">
        <w:rPr>
          <w:rFonts w:ascii="Arial" w:hAnsi="Arial" w:cs="Arial"/>
          <w:color w:val="auto"/>
          <w:sz w:val="22"/>
          <w:szCs w:val="22"/>
        </w:rPr>
        <w:t xml:space="preserve">cases </w:t>
      </w:r>
      <w:r w:rsidRPr="00CC28B8">
        <w:rPr>
          <w:rFonts w:ascii="Arial" w:hAnsi="Arial" w:cs="Arial"/>
          <w:color w:val="auto"/>
          <w:sz w:val="22"/>
          <w:szCs w:val="22"/>
        </w:rPr>
        <w:t>occurred</w:t>
      </w:r>
      <w:r w:rsidR="000668D5" w:rsidRPr="00CC28B8">
        <w:rPr>
          <w:rFonts w:ascii="Arial" w:hAnsi="Arial" w:cs="Arial"/>
          <w:color w:val="auto"/>
          <w:sz w:val="22"/>
          <w:szCs w:val="22"/>
        </w:rPr>
        <w:t xml:space="preserve"> in </w:t>
      </w:r>
      <w:r w:rsidR="001D5B28" w:rsidRPr="00CC28B8">
        <w:rPr>
          <w:rFonts w:ascii="Arial" w:hAnsi="Arial" w:cs="Arial"/>
          <w:color w:val="auto"/>
          <w:sz w:val="22"/>
          <w:szCs w:val="22"/>
        </w:rPr>
        <w:t>men</w:t>
      </w:r>
      <w:r w:rsidR="000668D5" w:rsidRPr="00CC28B8">
        <w:rPr>
          <w:rFonts w:ascii="Arial" w:hAnsi="Arial" w:cs="Arial"/>
          <w:color w:val="auto"/>
          <w:sz w:val="22"/>
          <w:szCs w:val="22"/>
        </w:rPr>
        <w:t xml:space="preserve"> (</w:t>
      </w:r>
      <w:r w:rsidR="001D5B28" w:rsidRPr="00CC28B8">
        <w:rPr>
          <w:rFonts w:ascii="Arial" w:hAnsi="Arial" w:cs="Arial"/>
          <w:color w:val="auto"/>
          <w:sz w:val="22"/>
          <w:szCs w:val="22"/>
        </w:rPr>
        <w:t>men</w:t>
      </w:r>
      <w:r w:rsidR="00F27DA4" w:rsidRPr="00CC28B8">
        <w:rPr>
          <w:rFonts w:ascii="Arial" w:hAnsi="Arial" w:cs="Arial"/>
          <w:color w:val="auto"/>
          <w:sz w:val="22"/>
          <w:szCs w:val="22"/>
        </w:rPr>
        <w:t xml:space="preserve">: </w:t>
      </w:r>
      <w:r w:rsidR="001D5B28" w:rsidRPr="00CC28B8">
        <w:rPr>
          <w:rFonts w:ascii="Arial" w:hAnsi="Arial" w:cs="Arial"/>
          <w:color w:val="auto"/>
          <w:sz w:val="22"/>
          <w:szCs w:val="22"/>
        </w:rPr>
        <w:t>women</w:t>
      </w:r>
      <w:r w:rsidR="00F27DA4" w:rsidRPr="00CC28B8">
        <w:rPr>
          <w:rFonts w:ascii="Arial" w:hAnsi="Arial" w:cs="Arial"/>
          <w:color w:val="auto"/>
          <w:sz w:val="22"/>
          <w:szCs w:val="22"/>
        </w:rPr>
        <w:t xml:space="preserve"> ratio =</w:t>
      </w:r>
      <w:r w:rsidR="00BE40C0" w:rsidRPr="00CC28B8">
        <w:rPr>
          <w:rFonts w:ascii="Arial" w:hAnsi="Arial" w:cs="Arial"/>
          <w:color w:val="auto"/>
          <w:sz w:val="22"/>
          <w:szCs w:val="22"/>
        </w:rPr>
        <w:t xml:space="preserve"> 6</w:t>
      </w:r>
      <w:r w:rsidR="007129B4" w:rsidRPr="00CC28B8">
        <w:rPr>
          <w:rFonts w:ascii="Arial" w:hAnsi="Arial" w:cs="Arial"/>
          <w:color w:val="auto"/>
          <w:sz w:val="22"/>
          <w:szCs w:val="22"/>
        </w:rPr>
        <w:t>.</w:t>
      </w:r>
      <w:r w:rsidR="000668D5" w:rsidRPr="00CC28B8">
        <w:rPr>
          <w:rFonts w:ascii="Arial" w:hAnsi="Arial" w:cs="Arial"/>
          <w:color w:val="auto"/>
          <w:sz w:val="22"/>
          <w:szCs w:val="22"/>
        </w:rPr>
        <w:t>6</w:t>
      </w:r>
      <w:r w:rsidR="00F27DA4" w:rsidRPr="00CC28B8">
        <w:rPr>
          <w:rFonts w:ascii="Arial" w:hAnsi="Arial" w:cs="Arial"/>
          <w:color w:val="auto"/>
          <w:sz w:val="22"/>
          <w:szCs w:val="22"/>
        </w:rPr>
        <w:t xml:space="preserve">: </w:t>
      </w:r>
      <w:r w:rsidR="000668D5" w:rsidRPr="00CC28B8">
        <w:rPr>
          <w:rFonts w:ascii="Arial" w:hAnsi="Arial" w:cs="Arial"/>
          <w:color w:val="auto"/>
          <w:sz w:val="22"/>
          <w:szCs w:val="22"/>
        </w:rPr>
        <w:t>1)</w:t>
      </w:r>
      <w:r w:rsidR="006848AA" w:rsidRPr="00B61B3F">
        <w:rPr>
          <w:rFonts w:ascii="Arial" w:hAnsi="Arial" w:cs="Arial"/>
          <w:sz w:val="22"/>
          <w:szCs w:val="22"/>
        </w:rPr>
        <w:t xml:space="preserve"> </w:t>
      </w:r>
      <w:r w:rsidR="0003436A">
        <w:rPr>
          <w:rFonts w:ascii="Arial" w:hAnsi="Arial" w:cs="Arial"/>
          <w:sz w:val="22"/>
          <w:szCs w:val="22"/>
        </w:rPr>
        <w:t>and</w:t>
      </w:r>
      <w:r w:rsidR="0003436A" w:rsidRPr="0093094C">
        <w:rPr>
          <w:rFonts w:ascii="Arial" w:hAnsi="Arial" w:cs="Arial"/>
          <w:sz w:val="22"/>
          <w:szCs w:val="22"/>
        </w:rPr>
        <w:t xml:space="preserve"> </w:t>
      </w:r>
      <w:r w:rsidR="000668D5" w:rsidRPr="0093094C">
        <w:rPr>
          <w:rFonts w:ascii="Arial" w:hAnsi="Arial" w:cs="Arial"/>
          <w:sz w:val="22"/>
          <w:szCs w:val="22"/>
        </w:rPr>
        <w:t>peak incidence in the 6th decade of life</w:t>
      </w:r>
      <w:r w:rsidR="00E6676A" w:rsidRPr="0093094C">
        <w:rPr>
          <w:rFonts w:ascii="Arial" w:hAnsi="Arial" w:cs="Arial"/>
          <w:sz w:val="22"/>
          <w:szCs w:val="22"/>
        </w:rPr>
        <w:t xml:space="preserve"> (fig. 2)</w:t>
      </w:r>
      <w:r w:rsidR="00A41A60" w:rsidRPr="00A41A60">
        <w:rPr>
          <w:b/>
          <w:color w:val="C00000"/>
        </w:rPr>
        <w:t xml:space="preserve"> (</w:t>
      </w:r>
      <w:r w:rsidR="00A41A60">
        <w:rPr>
          <w:b/>
          <w:color w:val="C00000"/>
        </w:rPr>
        <w:t>Insert</w:t>
      </w:r>
      <w:r w:rsidR="00A41A60" w:rsidRPr="00A41A60">
        <w:rPr>
          <w:b/>
          <w:color w:val="C00000"/>
        </w:rPr>
        <w:t xml:space="preserve"> </w:t>
      </w:r>
      <w:r w:rsidR="00A41A60">
        <w:rPr>
          <w:b/>
          <w:color w:val="C00000"/>
        </w:rPr>
        <w:t>table 2</w:t>
      </w:r>
      <w:r w:rsidR="00A41A60" w:rsidRPr="00A41A60">
        <w:rPr>
          <w:b/>
          <w:color w:val="C00000"/>
        </w:rPr>
        <w:t xml:space="preserve"> </w:t>
      </w:r>
      <w:r w:rsidR="00A41A60">
        <w:rPr>
          <w:b/>
          <w:color w:val="C00000"/>
        </w:rPr>
        <w:t>here</w:t>
      </w:r>
      <w:r w:rsidR="00A41A60" w:rsidRPr="00A41A60">
        <w:rPr>
          <w:b/>
          <w:color w:val="C00000"/>
        </w:rPr>
        <w:t>)</w:t>
      </w:r>
      <w:r w:rsidR="000668D5" w:rsidRPr="0093094C">
        <w:rPr>
          <w:rFonts w:ascii="Arial" w:hAnsi="Arial" w:cs="Arial"/>
          <w:sz w:val="22"/>
          <w:szCs w:val="22"/>
        </w:rPr>
        <w:t xml:space="preserve">. </w:t>
      </w:r>
      <w:r w:rsidR="00695B3D" w:rsidRPr="0093094C">
        <w:rPr>
          <w:rFonts w:ascii="Arial" w:hAnsi="Arial" w:cs="Arial"/>
          <w:sz w:val="22"/>
          <w:szCs w:val="22"/>
        </w:rPr>
        <w:t>The great majority</w:t>
      </w:r>
      <w:r w:rsidR="00A94475">
        <w:rPr>
          <w:rFonts w:ascii="Arial" w:hAnsi="Arial" w:cs="Arial"/>
          <w:sz w:val="22"/>
          <w:szCs w:val="22"/>
        </w:rPr>
        <w:t xml:space="preserve"> </w:t>
      </w:r>
      <w:r w:rsidR="00A94475" w:rsidRPr="00A94475">
        <w:rPr>
          <w:rFonts w:ascii="Arial" w:hAnsi="Arial" w:cs="Arial"/>
          <w:sz w:val="22"/>
          <w:szCs w:val="22"/>
        </w:rPr>
        <w:t>(9</w:t>
      </w:r>
      <w:r w:rsidR="008B56F5">
        <w:rPr>
          <w:rFonts w:ascii="Arial" w:hAnsi="Arial" w:cs="Arial"/>
          <w:sz w:val="22"/>
          <w:szCs w:val="22"/>
        </w:rPr>
        <w:t>6.7</w:t>
      </w:r>
      <w:r w:rsidR="00A94475" w:rsidRPr="00A94475">
        <w:rPr>
          <w:rFonts w:ascii="Arial" w:hAnsi="Arial" w:cs="Arial"/>
          <w:sz w:val="22"/>
          <w:szCs w:val="22"/>
        </w:rPr>
        <w:t>%)</w:t>
      </w:r>
      <w:r w:rsidR="00695B3D" w:rsidRPr="0093094C">
        <w:rPr>
          <w:rFonts w:ascii="Arial" w:hAnsi="Arial" w:cs="Arial"/>
          <w:sz w:val="22"/>
          <w:szCs w:val="22"/>
        </w:rPr>
        <w:t xml:space="preserve"> of cases </w:t>
      </w:r>
      <w:r w:rsidRPr="0093094C">
        <w:rPr>
          <w:rFonts w:ascii="Arial" w:hAnsi="Arial" w:cs="Arial"/>
          <w:sz w:val="22"/>
          <w:szCs w:val="22"/>
        </w:rPr>
        <w:t>were located</w:t>
      </w:r>
      <w:r w:rsidR="00695B3D" w:rsidRPr="0093094C">
        <w:rPr>
          <w:rFonts w:ascii="Arial" w:hAnsi="Arial" w:cs="Arial"/>
          <w:sz w:val="22"/>
          <w:szCs w:val="22"/>
        </w:rPr>
        <w:t xml:space="preserve"> in the parotid. </w:t>
      </w:r>
      <w:r w:rsidR="00AA4832" w:rsidRPr="0093094C">
        <w:rPr>
          <w:rFonts w:ascii="Arial" w:hAnsi="Arial" w:cs="Arial"/>
          <w:sz w:val="22"/>
          <w:szCs w:val="22"/>
        </w:rPr>
        <w:t>The mean tumor size was 2</w:t>
      </w:r>
      <w:r w:rsidR="0003436A">
        <w:rPr>
          <w:rFonts w:ascii="Arial" w:hAnsi="Arial" w:cs="Arial"/>
          <w:sz w:val="22"/>
          <w:szCs w:val="22"/>
        </w:rPr>
        <w:t>.</w:t>
      </w:r>
      <w:r w:rsidR="00AA4832" w:rsidRPr="0093094C">
        <w:rPr>
          <w:rFonts w:ascii="Arial" w:hAnsi="Arial" w:cs="Arial"/>
          <w:sz w:val="22"/>
          <w:szCs w:val="22"/>
        </w:rPr>
        <w:t xml:space="preserve">3 </w:t>
      </w:r>
      <w:r w:rsidR="0035544F" w:rsidRPr="008C223C">
        <w:rPr>
          <w:rFonts w:ascii="Arial" w:hAnsi="Arial" w:cs="Arial"/>
          <w:color w:val="31849B"/>
          <w:sz w:val="22"/>
          <w:szCs w:val="22"/>
        </w:rPr>
        <w:t>(±1.1)</w:t>
      </w:r>
      <w:r w:rsidR="0035544F">
        <w:rPr>
          <w:rFonts w:ascii="Arial" w:hAnsi="Arial" w:cs="Arial"/>
          <w:sz w:val="22"/>
          <w:szCs w:val="22"/>
        </w:rPr>
        <w:t xml:space="preserve"> </w:t>
      </w:r>
      <w:r w:rsidR="00AA4832" w:rsidRPr="0093094C">
        <w:rPr>
          <w:rFonts w:ascii="Arial" w:hAnsi="Arial" w:cs="Arial"/>
          <w:sz w:val="22"/>
          <w:szCs w:val="22"/>
        </w:rPr>
        <w:t>cm (range 0</w:t>
      </w:r>
      <w:r w:rsidR="003C5A19">
        <w:rPr>
          <w:rFonts w:ascii="Arial" w:hAnsi="Arial" w:cs="Arial"/>
          <w:sz w:val="22"/>
          <w:szCs w:val="22"/>
        </w:rPr>
        <w:t>.</w:t>
      </w:r>
      <w:r w:rsidR="00AA4832" w:rsidRPr="0093094C">
        <w:rPr>
          <w:rFonts w:ascii="Arial" w:hAnsi="Arial" w:cs="Arial"/>
          <w:sz w:val="22"/>
          <w:szCs w:val="22"/>
        </w:rPr>
        <w:t>6</w:t>
      </w:r>
      <w:r w:rsidR="00C62797">
        <w:rPr>
          <w:rFonts w:ascii="Arial" w:hAnsi="Arial" w:cs="Arial"/>
          <w:sz w:val="22"/>
          <w:szCs w:val="22"/>
        </w:rPr>
        <w:t>-</w:t>
      </w:r>
      <w:r w:rsidR="00AA4832" w:rsidRPr="0093094C">
        <w:rPr>
          <w:rFonts w:ascii="Arial" w:hAnsi="Arial" w:cs="Arial"/>
          <w:sz w:val="22"/>
          <w:szCs w:val="22"/>
        </w:rPr>
        <w:t>5</w:t>
      </w:r>
      <w:r w:rsidR="003C5A19">
        <w:rPr>
          <w:rFonts w:ascii="Arial" w:hAnsi="Arial" w:cs="Arial"/>
          <w:sz w:val="22"/>
          <w:szCs w:val="22"/>
        </w:rPr>
        <w:t>.</w:t>
      </w:r>
      <w:r w:rsidR="00AA4832" w:rsidRPr="0093094C">
        <w:rPr>
          <w:rFonts w:ascii="Arial" w:hAnsi="Arial" w:cs="Arial"/>
          <w:sz w:val="22"/>
          <w:szCs w:val="22"/>
        </w:rPr>
        <w:t xml:space="preserve">4). </w:t>
      </w:r>
      <w:proofErr w:type="spellStart"/>
      <w:r w:rsidR="0003436A">
        <w:rPr>
          <w:rFonts w:ascii="Arial" w:hAnsi="Arial" w:cs="Arial"/>
          <w:sz w:val="22"/>
          <w:szCs w:val="22"/>
        </w:rPr>
        <w:t>M</w:t>
      </w:r>
      <w:r w:rsidR="00695B3D" w:rsidRPr="0093094C">
        <w:rPr>
          <w:rFonts w:ascii="Arial" w:hAnsi="Arial" w:cs="Arial"/>
          <w:sz w:val="22"/>
          <w:szCs w:val="22"/>
        </w:rPr>
        <w:t>ulticentricity</w:t>
      </w:r>
      <w:proofErr w:type="spellEnd"/>
      <w:r w:rsidR="00695B3D" w:rsidRPr="0093094C">
        <w:rPr>
          <w:rFonts w:ascii="Arial" w:hAnsi="Arial" w:cs="Arial"/>
          <w:sz w:val="22"/>
          <w:szCs w:val="22"/>
        </w:rPr>
        <w:t xml:space="preserve"> wa</w:t>
      </w:r>
      <w:r w:rsidR="004A301A" w:rsidRPr="0093094C">
        <w:rPr>
          <w:rFonts w:ascii="Arial" w:hAnsi="Arial" w:cs="Arial"/>
          <w:sz w:val="22"/>
          <w:szCs w:val="22"/>
        </w:rPr>
        <w:t>s present in 9</w:t>
      </w:r>
      <w:r w:rsidR="007129B4">
        <w:rPr>
          <w:rFonts w:ascii="Arial" w:hAnsi="Arial" w:cs="Arial"/>
          <w:sz w:val="22"/>
          <w:szCs w:val="22"/>
        </w:rPr>
        <w:t xml:space="preserve"> </w:t>
      </w:r>
      <w:r w:rsidR="007129B4" w:rsidRPr="007129B4">
        <w:rPr>
          <w:rFonts w:ascii="Arial" w:hAnsi="Arial" w:cs="Arial"/>
          <w:sz w:val="22"/>
          <w:szCs w:val="22"/>
        </w:rPr>
        <w:t>(14.8%)</w:t>
      </w:r>
      <w:r w:rsidR="004A301A" w:rsidRPr="0093094C">
        <w:rPr>
          <w:rFonts w:ascii="Arial" w:hAnsi="Arial" w:cs="Arial"/>
          <w:sz w:val="22"/>
          <w:szCs w:val="22"/>
        </w:rPr>
        <w:t xml:space="preserve"> cases, of</w:t>
      </w:r>
      <w:r w:rsidR="00695B3D" w:rsidRPr="0093094C">
        <w:rPr>
          <w:rFonts w:ascii="Arial" w:hAnsi="Arial" w:cs="Arial"/>
          <w:sz w:val="22"/>
          <w:szCs w:val="22"/>
        </w:rPr>
        <w:t xml:space="preserve"> which 2 </w:t>
      </w:r>
      <w:r w:rsidR="0035544F">
        <w:rPr>
          <w:rFonts w:ascii="Arial" w:hAnsi="Arial" w:cs="Arial"/>
          <w:sz w:val="22"/>
          <w:szCs w:val="22"/>
        </w:rPr>
        <w:lastRenderedPageBreak/>
        <w:t>(22.2%)</w:t>
      </w:r>
      <w:r w:rsidR="00695B3D" w:rsidRPr="0093094C">
        <w:rPr>
          <w:rFonts w:ascii="Arial" w:hAnsi="Arial" w:cs="Arial"/>
          <w:sz w:val="22"/>
          <w:szCs w:val="22"/>
        </w:rPr>
        <w:t xml:space="preserve"> were </w:t>
      </w:r>
      <w:r w:rsidRPr="0093094C">
        <w:rPr>
          <w:rFonts w:ascii="Arial" w:hAnsi="Arial" w:cs="Arial"/>
          <w:sz w:val="22"/>
          <w:szCs w:val="22"/>
        </w:rPr>
        <w:t>synchronous</w:t>
      </w:r>
      <w:r w:rsidR="00695B3D" w:rsidRPr="0093094C">
        <w:rPr>
          <w:rFonts w:ascii="Arial" w:hAnsi="Arial" w:cs="Arial"/>
          <w:sz w:val="22"/>
          <w:szCs w:val="22"/>
        </w:rPr>
        <w:t xml:space="preserve"> and 7</w:t>
      </w:r>
      <w:r w:rsidR="0035544F">
        <w:rPr>
          <w:rFonts w:ascii="Arial" w:hAnsi="Arial" w:cs="Arial"/>
          <w:sz w:val="22"/>
          <w:szCs w:val="22"/>
        </w:rPr>
        <w:t xml:space="preserve"> (77.8%)</w:t>
      </w:r>
      <w:r w:rsidR="00695B3D" w:rsidRPr="0093094C">
        <w:rPr>
          <w:rFonts w:ascii="Arial" w:hAnsi="Arial" w:cs="Arial"/>
          <w:sz w:val="22"/>
          <w:szCs w:val="22"/>
        </w:rPr>
        <w:t xml:space="preserve"> </w:t>
      </w:r>
      <w:proofErr w:type="spellStart"/>
      <w:r w:rsidR="00695B3D" w:rsidRPr="0093094C">
        <w:rPr>
          <w:rFonts w:ascii="Arial" w:hAnsi="Arial" w:cs="Arial"/>
          <w:sz w:val="22"/>
          <w:szCs w:val="22"/>
        </w:rPr>
        <w:t>metac</w:t>
      </w:r>
      <w:r w:rsidRPr="0093094C">
        <w:rPr>
          <w:rFonts w:ascii="Arial" w:hAnsi="Arial" w:cs="Arial"/>
          <w:sz w:val="22"/>
          <w:szCs w:val="22"/>
        </w:rPr>
        <w:t>h</w:t>
      </w:r>
      <w:r w:rsidR="00695B3D" w:rsidRPr="0093094C">
        <w:rPr>
          <w:rFonts w:ascii="Arial" w:hAnsi="Arial" w:cs="Arial"/>
          <w:sz w:val="22"/>
          <w:szCs w:val="22"/>
        </w:rPr>
        <w:t>ronous</w:t>
      </w:r>
      <w:proofErr w:type="spellEnd"/>
      <w:r w:rsidR="00695B3D" w:rsidRPr="0093094C">
        <w:rPr>
          <w:rFonts w:ascii="Arial" w:hAnsi="Arial" w:cs="Arial"/>
          <w:sz w:val="22"/>
          <w:szCs w:val="22"/>
        </w:rPr>
        <w:t xml:space="preserve">; in 8 </w:t>
      </w:r>
      <w:r w:rsidR="004A301A" w:rsidRPr="0093094C">
        <w:rPr>
          <w:rFonts w:ascii="Arial" w:hAnsi="Arial" w:cs="Arial"/>
          <w:sz w:val="22"/>
          <w:szCs w:val="22"/>
        </w:rPr>
        <w:t xml:space="preserve">of these </w:t>
      </w:r>
      <w:r w:rsidR="00695B3D" w:rsidRPr="0093094C">
        <w:rPr>
          <w:rFonts w:ascii="Arial" w:hAnsi="Arial" w:cs="Arial"/>
          <w:sz w:val="22"/>
          <w:szCs w:val="22"/>
        </w:rPr>
        <w:t>cases</w:t>
      </w:r>
      <w:r w:rsidR="0035544F">
        <w:rPr>
          <w:rFonts w:ascii="Arial" w:hAnsi="Arial" w:cs="Arial"/>
          <w:sz w:val="22"/>
          <w:szCs w:val="22"/>
        </w:rPr>
        <w:t xml:space="preserve"> (88.9%)</w:t>
      </w:r>
      <w:r w:rsidR="00695B3D" w:rsidRPr="0093094C">
        <w:rPr>
          <w:rFonts w:ascii="Arial" w:hAnsi="Arial" w:cs="Arial"/>
          <w:sz w:val="22"/>
          <w:szCs w:val="22"/>
        </w:rPr>
        <w:t xml:space="preserve"> there was a bilateral involvement.</w:t>
      </w:r>
    </w:p>
    <w:p w:rsidR="00663411" w:rsidRPr="00663411" w:rsidRDefault="00695B3D" w:rsidP="00BF1E4D">
      <w:pPr>
        <w:pStyle w:val="ListParagraph"/>
        <w:spacing w:after="0" w:line="360" w:lineRule="auto"/>
        <w:ind w:left="0"/>
        <w:jc w:val="both"/>
        <w:rPr>
          <w:rFonts w:ascii="Arial" w:hAnsi="Arial" w:cs="Arial"/>
          <w:shd w:val="clear" w:color="auto" w:fill="FFFFFF"/>
          <w:lang w:val="en-US"/>
        </w:rPr>
      </w:pPr>
      <w:r w:rsidRPr="00CC28B8">
        <w:rPr>
          <w:rFonts w:ascii="Arial" w:hAnsi="Arial" w:cs="Arial"/>
          <w:lang w:val="en-US"/>
        </w:rPr>
        <w:t>Pr</w:t>
      </w:r>
      <w:r w:rsidR="00A53BCC" w:rsidRPr="00CC28B8">
        <w:rPr>
          <w:rFonts w:ascii="Arial" w:hAnsi="Arial" w:cs="Arial"/>
          <w:lang w:val="en-US"/>
        </w:rPr>
        <w:t>imary malignant epithelial tumo</w:t>
      </w:r>
      <w:r w:rsidRPr="00CC28B8">
        <w:rPr>
          <w:rFonts w:ascii="Arial" w:hAnsi="Arial" w:cs="Arial"/>
          <w:lang w:val="en-US"/>
        </w:rPr>
        <w:t>rs represented 14</w:t>
      </w:r>
      <w:r w:rsidR="0003436A" w:rsidRPr="00CC28B8">
        <w:rPr>
          <w:rFonts w:ascii="Arial" w:hAnsi="Arial" w:cs="Arial"/>
          <w:lang w:val="en-US"/>
        </w:rPr>
        <w:t>.</w:t>
      </w:r>
      <w:r w:rsidR="00663411" w:rsidRPr="00CC28B8">
        <w:rPr>
          <w:rFonts w:ascii="Arial" w:hAnsi="Arial" w:cs="Arial"/>
          <w:lang w:val="en-US"/>
        </w:rPr>
        <w:t>6</w:t>
      </w:r>
      <w:r w:rsidR="00A53BCC" w:rsidRPr="00CC28B8">
        <w:rPr>
          <w:rFonts w:ascii="Arial" w:hAnsi="Arial" w:cs="Arial"/>
          <w:lang w:val="en-US"/>
        </w:rPr>
        <w:t>%</w:t>
      </w:r>
      <w:r w:rsidR="007129B4" w:rsidRPr="00CC28B8">
        <w:rPr>
          <w:rFonts w:ascii="Arial" w:hAnsi="Arial" w:cs="Arial"/>
          <w:lang w:val="en-US"/>
        </w:rPr>
        <w:t xml:space="preserve"> (n=43)</w:t>
      </w:r>
      <w:r w:rsidR="00A53BCC" w:rsidRPr="00CC28B8">
        <w:rPr>
          <w:rFonts w:ascii="Arial" w:hAnsi="Arial" w:cs="Arial"/>
          <w:lang w:val="en-US"/>
        </w:rPr>
        <w:t xml:space="preserve"> of all </w:t>
      </w:r>
      <w:r w:rsidR="00653D0A" w:rsidRPr="00CC28B8">
        <w:rPr>
          <w:rFonts w:ascii="Arial" w:hAnsi="Arial" w:cs="Arial"/>
          <w:lang w:val="en-US"/>
        </w:rPr>
        <w:t>SGT</w:t>
      </w:r>
      <w:r w:rsidR="00F74F4A" w:rsidRPr="00CC28B8">
        <w:rPr>
          <w:rFonts w:ascii="Arial" w:hAnsi="Arial" w:cs="Arial"/>
          <w:lang w:val="en-US"/>
        </w:rPr>
        <w:t xml:space="preserve"> (table 1)</w:t>
      </w:r>
      <w:r w:rsidR="00653D0A" w:rsidRPr="00CC28B8">
        <w:rPr>
          <w:rFonts w:ascii="Arial" w:hAnsi="Arial" w:cs="Arial"/>
          <w:lang w:val="en-US"/>
        </w:rPr>
        <w:t>, i.e.</w:t>
      </w:r>
      <w:r w:rsidR="00DA5207" w:rsidRPr="00CC28B8">
        <w:rPr>
          <w:rFonts w:ascii="Arial" w:hAnsi="Arial" w:cs="Arial"/>
          <w:lang w:val="en-US"/>
        </w:rPr>
        <w:t xml:space="preserve"> 0.14% of all patients diagnosed with can</w:t>
      </w:r>
      <w:r w:rsidR="00653D0A" w:rsidRPr="00CC28B8">
        <w:rPr>
          <w:rFonts w:ascii="Arial" w:hAnsi="Arial" w:cs="Arial"/>
          <w:lang w:val="en-US"/>
        </w:rPr>
        <w:t>cer in our department at CHSJ</w:t>
      </w:r>
      <w:r w:rsidR="008B56F5" w:rsidRPr="00CC28B8">
        <w:rPr>
          <w:rFonts w:ascii="Arial" w:hAnsi="Arial" w:cs="Arial"/>
          <w:lang w:val="en-US"/>
        </w:rPr>
        <w:t xml:space="preserve"> during</w:t>
      </w:r>
      <w:r w:rsidR="00DA5207" w:rsidRPr="00CC28B8">
        <w:rPr>
          <w:rFonts w:ascii="Arial" w:hAnsi="Arial" w:cs="Arial"/>
          <w:lang w:val="en-US"/>
        </w:rPr>
        <w:t xml:space="preserve"> the same period</w:t>
      </w:r>
      <w:r w:rsidR="00653D0A" w:rsidRPr="00CC28B8">
        <w:rPr>
          <w:rFonts w:ascii="Arial" w:hAnsi="Arial" w:cs="Arial"/>
          <w:lang w:val="en-US"/>
        </w:rPr>
        <w:t xml:space="preserve"> (2005-2015)</w:t>
      </w:r>
      <w:r w:rsidRPr="00CC28B8">
        <w:rPr>
          <w:rFonts w:ascii="Arial" w:hAnsi="Arial" w:cs="Arial"/>
          <w:lang w:val="en-US"/>
        </w:rPr>
        <w:t>. They were slightly more com</w:t>
      </w:r>
      <w:r w:rsidR="00A53BCC" w:rsidRPr="00CC28B8">
        <w:rPr>
          <w:rFonts w:ascii="Arial" w:hAnsi="Arial" w:cs="Arial"/>
          <w:lang w:val="en-US"/>
        </w:rPr>
        <w:t>m</w:t>
      </w:r>
      <w:r w:rsidRPr="00CC28B8">
        <w:rPr>
          <w:rFonts w:ascii="Arial" w:hAnsi="Arial" w:cs="Arial"/>
          <w:lang w:val="en-US"/>
        </w:rPr>
        <w:t xml:space="preserve">on in </w:t>
      </w:r>
      <w:r w:rsidR="00E919FA" w:rsidRPr="00CC28B8">
        <w:rPr>
          <w:rFonts w:ascii="Arial" w:hAnsi="Arial" w:cs="Arial"/>
          <w:lang w:val="en-US"/>
        </w:rPr>
        <w:t xml:space="preserve">the </w:t>
      </w:r>
      <w:r w:rsidRPr="00CC28B8">
        <w:rPr>
          <w:rFonts w:ascii="Arial" w:hAnsi="Arial" w:cs="Arial"/>
          <w:lang w:val="en-US"/>
        </w:rPr>
        <w:t>male gender (</w:t>
      </w:r>
      <w:r w:rsidR="001D5B28" w:rsidRPr="00CC28B8">
        <w:rPr>
          <w:rFonts w:ascii="Arial" w:hAnsi="Arial" w:cs="Arial"/>
          <w:lang w:val="en-US"/>
        </w:rPr>
        <w:t>men</w:t>
      </w:r>
      <w:r w:rsidR="00F72CAC" w:rsidRPr="00CC28B8">
        <w:rPr>
          <w:rFonts w:ascii="Arial" w:hAnsi="Arial" w:cs="Arial"/>
          <w:lang w:val="en-US"/>
        </w:rPr>
        <w:t xml:space="preserve">: </w:t>
      </w:r>
      <w:r w:rsidR="001D5B28" w:rsidRPr="00CC28B8">
        <w:rPr>
          <w:rFonts w:ascii="Arial" w:hAnsi="Arial" w:cs="Arial"/>
          <w:lang w:val="en-US"/>
        </w:rPr>
        <w:t>women</w:t>
      </w:r>
      <w:r w:rsidR="00F72CAC" w:rsidRPr="00CC28B8">
        <w:rPr>
          <w:rFonts w:ascii="Arial" w:hAnsi="Arial" w:cs="Arial"/>
          <w:lang w:val="en-US"/>
        </w:rPr>
        <w:t xml:space="preserve"> ratio = 1.15: </w:t>
      </w:r>
      <w:r w:rsidR="00A652B9" w:rsidRPr="00CC28B8">
        <w:rPr>
          <w:rFonts w:ascii="Arial" w:hAnsi="Arial" w:cs="Arial"/>
          <w:lang w:val="en-US"/>
        </w:rPr>
        <w:t>1</w:t>
      </w:r>
      <w:r w:rsidRPr="00CC28B8">
        <w:rPr>
          <w:rFonts w:ascii="Arial" w:hAnsi="Arial" w:cs="Arial"/>
          <w:lang w:val="en-US"/>
        </w:rPr>
        <w:t>) and</w:t>
      </w:r>
      <w:r w:rsidRPr="00F23CD3">
        <w:rPr>
          <w:rFonts w:ascii="Arial" w:hAnsi="Arial" w:cs="Arial"/>
          <w:lang w:val="en-US"/>
        </w:rPr>
        <w:t xml:space="preserve"> there was a bimodal distribution, with a first peak in the 4th decade of life and a second o</w:t>
      </w:r>
      <w:r w:rsidR="00A5177F" w:rsidRPr="00F23CD3">
        <w:rPr>
          <w:rFonts w:ascii="Arial" w:hAnsi="Arial" w:cs="Arial"/>
          <w:lang w:val="en-US"/>
        </w:rPr>
        <w:t>n elderly patients (fig.</w:t>
      </w:r>
      <w:r w:rsidR="004A301A" w:rsidRPr="00F23CD3">
        <w:rPr>
          <w:rFonts w:ascii="Arial" w:hAnsi="Arial" w:cs="Arial"/>
          <w:lang w:val="en-US"/>
        </w:rPr>
        <w:t xml:space="preserve"> 3</w:t>
      </w:r>
      <w:r w:rsidRPr="00F23CD3">
        <w:rPr>
          <w:rFonts w:ascii="Arial" w:hAnsi="Arial" w:cs="Arial"/>
          <w:lang w:val="en-US"/>
        </w:rPr>
        <w:t>)</w:t>
      </w:r>
      <w:r w:rsidR="00A41A60" w:rsidRPr="00A41A60">
        <w:rPr>
          <w:rFonts w:hAnsi="Calibri" w:cs="Calibri"/>
          <w:b/>
          <w:color w:val="C00000"/>
          <w:lang w:val="en-US"/>
        </w:rPr>
        <w:t xml:space="preserve"> (Insert figure 3 here)</w:t>
      </w:r>
      <w:r w:rsidRPr="00F23CD3">
        <w:rPr>
          <w:rFonts w:ascii="Arial" w:hAnsi="Arial" w:cs="Arial"/>
          <w:lang w:val="en-US"/>
        </w:rPr>
        <w:t xml:space="preserve">. </w:t>
      </w:r>
      <w:r w:rsidRPr="00663411">
        <w:rPr>
          <w:rFonts w:ascii="Arial" w:hAnsi="Arial" w:cs="Arial"/>
          <w:lang w:val="en-US"/>
        </w:rPr>
        <w:t>Considering the location, 74</w:t>
      </w:r>
      <w:r w:rsidR="00876856" w:rsidRPr="00663411">
        <w:rPr>
          <w:rFonts w:ascii="Arial" w:hAnsi="Arial" w:cs="Arial"/>
          <w:lang w:val="en-US"/>
        </w:rPr>
        <w:t>.4</w:t>
      </w:r>
      <w:r w:rsidRPr="00663411">
        <w:rPr>
          <w:rFonts w:ascii="Arial" w:hAnsi="Arial" w:cs="Arial"/>
          <w:lang w:val="en-US"/>
        </w:rPr>
        <w:t xml:space="preserve">% (n=32) </w:t>
      </w:r>
      <w:r w:rsidR="00653D0A" w:rsidRPr="00663411">
        <w:rPr>
          <w:rFonts w:ascii="Arial" w:hAnsi="Arial" w:cs="Arial"/>
          <w:lang w:val="en-US"/>
        </w:rPr>
        <w:t>arose</w:t>
      </w:r>
      <w:r w:rsidRPr="00663411">
        <w:rPr>
          <w:rFonts w:ascii="Arial" w:hAnsi="Arial" w:cs="Arial"/>
          <w:lang w:val="en-US"/>
        </w:rPr>
        <w:t xml:space="preserve"> in the parotid, </w:t>
      </w:r>
      <w:r w:rsidR="00876856" w:rsidRPr="00663411">
        <w:rPr>
          <w:rFonts w:ascii="Arial" w:hAnsi="Arial" w:cs="Arial"/>
          <w:lang w:val="en-US"/>
        </w:rPr>
        <w:t>4.7</w:t>
      </w:r>
      <w:r w:rsidRPr="00663411">
        <w:rPr>
          <w:rFonts w:ascii="Arial" w:hAnsi="Arial" w:cs="Arial"/>
          <w:lang w:val="en-US"/>
        </w:rPr>
        <w:t>% (n=2) in the submandibular gland and 2</w:t>
      </w:r>
      <w:r w:rsidR="00876856" w:rsidRPr="00663411">
        <w:rPr>
          <w:rFonts w:ascii="Arial" w:hAnsi="Arial" w:cs="Arial"/>
          <w:lang w:val="en-US"/>
        </w:rPr>
        <w:t>0.9</w:t>
      </w:r>
      <w:r w:rsidRPr="00663411">
        <w:rPr>
          <w:rFonts w:ascii="Arial" w:hAnsi="Arial" w:cs="Arial"/>
          <w:lang w:val="en-US"/>
        </w:rPr>
        <w:t xml:space="preserve">% (n=9) in </w:t>
      </w:r>
      <w:r w:rsidRPr="00663411">
        <w:rPr>
          <w:rFonts w:ascii="Arial" w:hAnsi="Arial" w:cs="Arial"/>
          <w:i/>
          <w:lang w:val="en-US"/>
        </w:rPr>
        <w:t>minor</w:t>
      </w:r>
      <w:r w:rsidRPr="00663411">
        <w:rPr>
          <w:rFonts w:ascii="Arial" w:hAnsi="Arial" w:cs="Arial"/>
          <w:lang w:val="en-US"/>
        </w:rPr>
        <w:t xml:space="preserve"> salivary glands. </w:t>
      </w:r>
      <w:r w:rsidR="00663411" w:rsidRPr="00663411">
        <w:rPr>
          <w:rFonts w:ascii="Arial" w:hAnsi="Arial" w:cs="Arial"/>
          <w:lang w:val="en-US"/>
        </w:rPr>
        <w:t>However, p</w:t>
      </w:r>
      <w:r w:rsidR="00663411" w:rsidRPr="00663411">
        <w:rPr>
          <w:rFonts w:ascii="Arial" w:hAnsi="Arial" w:cs="Arial"/>
          <w:shd w:val="clear" w:color="auto" w:fill="FFFFFF"/>
          <w:lang w:val="en-US"/>
        </w:rPr>
        <w:t>rimary epithelial SGT were more frequently malignan</w:t>
      </w:r>
      <w:r w:rsidR="00F37670">
        <w:rPr>
          <w:rFonts w:ascii="Arial" w:hAnsi="Arial" w:cs="Arial"/>
          <w:shd w:val="clear" w:color="auto" w:fill="FFFFFF"/>
          <w:lang w:val="en-US"/>
        </w:rPr>
        <w:t xml:space="preserve">t in </w:t>
      </w:r>
      <w:r w:rsidR="00F37670" w:rsidRPr="0034582F">
        <w:rPr>
          <w:rFonts w:ascii="Arial" w:hAnsi="Arial" w:cs="Arial"/>
          <w:i/>
          <w:shd w:val="clear" w:color="auto" w:fill="FFFFFF"/>
          <w:lang w:val="en-US"/>
        </w:rPr>
        <w:t>minor</w:t>
      </w:r>
      <w:r w:rsidR="00F37670">
        <w:rPr>
          <w:rFonts w:ascii="Arial" w:hAnsi="Arial" w:cs="Arial"/>
          <w:shd w:val="clear" w:color="auto" w:fill="FFFFFF"/>
          <w:lang w:val="en-US"/>
        </w:rPr>
        <w:t xml:space="preserve"> salivary glands (33.3</w:t>
      </w:r>
      <w:r w:rsidR="00663411" w:rsidRPr="00663411">
        <w:rPr>
          <w:rFonts w:ascii="Arial" w:hAnsi="Arial" w:cs="Arial"/>
          <w:shd w:val="clear" w:color="auto" w:fill="FFFFFF"/>
          <w:lang w:val="en-US"/>
        </w:rPr>
        <w:t>%) tha</w:t>
      </w:r>
      <w:r w:rsidR="00F37670">
        <w:rPr>
          <w:rFonts w:ascii="Arial" w:hAnsi="Arial" w:cs="Arial"/>
          <w:shd w:val="clear" w:color="auto" w:fill="FFFFFF"/>
          <w:lang w:val="en-US"/>
        </w:rPr>
        <w:t xml:space="preserve">n in </w:t>
      </w:r>
      <w:r w:rsidR="00F37670" w:rsidRPr="0034582F">
        <w:rPr>
          <w:rFonts w:ascii="Arial" w:hAnsi="Arial" w:cs="Arial"/>
          <w:i/>
          <w:shd w:val="clear" w:color="auto" w:fill="FFFFFF"/>
          <w:lang w:val="en-US"/>
        </w:rPr>
        <w:t>major</w:t>
      </w:r>
      <w:r w:rsidR="00F37670">
        <w:rPr>
          <w:rFonts w:ascii="Arial" w:hAnsi="Arial" w:cs="Arial"/>
          <w:shd w:val="clear" w:color="auto" w:fill="FFFFFF"/>
          <w:lang w:val="en-US"/>
        </w:rPr>
        <w:t xml:space="preserve"> salivary glands (13.9</w:t>
      </w:r>
      <w:r w:rsidR="00663411" w:rsidRPr="00663411">
        <w:rPr>
          <w:rFonts w:ascii="Arial" w:hAnsi="Arial" w:cs="Arial"/>
          <w:shd w:val="clear" w:color="auto" w:fill="FFFFFF"/>
          <w:lang w:val="en-US"/>
        </w:rPr>
        <w:t>%).</w:t>
      </w:r>
    </w:p>
    <w:p w:rsidR="005C27F8" w:rsidRPr="0093094C" w:rsidRDefault="005C27F8" w:rsidP="00BF1E4D">
      <w:pPr>
        <w:pStyle w:val="Default"/>
        <w:spacing w:line="360" w:lineRule="auto"/>
        <w:jc w:val="both"/>
        <w:rPr>
          <w:rFonts w:ascii="Arial" w:hAnsi="Arial" w:cs="Arial"/>
          <w:sz w:val="22"/>
          <w:szCs w:val="22"/>
        </w:rPr>
      </w:pPr>
      <w:r w:rsidRPr="0093094C">
        <w:rPr>
          <w:rFonts w:ascii="Arial" w:hAnsi="Arial" w:cs="Arial"/>
          <w:sz w:val="22"/>
          <w:szCs w:val="22"/>
        </w:rPr>
        <w:t>The most frequent subtypes of malignant epith</w:t>
      </w:r>
      <w:r w:rsidR="004A301A" w:rsidRPr="0093094C">
        <w:rPr>
          <w:rFonts w:ascii="Arial" w:hAnsi="Arial" w:cs="Arial"/>
          <w:sz w:val="22"/>
          <w:szCs w:val="22"/>
        </w:rPr>
        <w:t>e</w:t>
      </w:r>
      <w:r w:rsidRPr="0093094C">
        <w:rPr>
          <w:rFonts w:ascii="Arial" w:hAnsi="Arial" w:cs="Arial"/>
          <w:sz w:val="22"/>
          <w:szCs w:val="22"/>
        </w:rPr>
        <w:t xml:space="preserve">lial SGT were mucoepidermoid </w:t>
      </w:r>
      <w:r w:rsidR="00476CF0">
        <w:rPr>
          <w:rFonts w:ascii="Arial" w:hAnsi="Arial" w:cs="Arial"/>
          <w:sz w:val="22"/>
          <w:szCs w:val="22"/>
        </w:rPr>
        <w:t>[</w:t>
      </w:r>
      <w:r w:rsidRPr="0093094C">
        <w:rPr>
          <w:rFonts w:ascii="Arial" w:hAnsi="Arial" w:cs="Arial"/>
          <w:sz w:val="22"/>
          <w:szCs w:val="22"/>
        </w:rPr>
        <w:t>n=16</w:t>
      </w:r>
      <w:r w:rsidR="00476CF0">
        <w:rPr>
          <w:rFonts w:ascii="Arial" w:hAnsi="Arial" w:cs="Arial"/>
          <w:sz w:val="22"/>
          <w:szCs w:val="22"/>
        </w:rPr>
        <w:t xml:space="preserve"> (</w:t>
      </w:r>
      <w:r w:rsidR="00A53BCC" w:rsidRPr="0093094C">
        <w:rPr>
          <w:rFonts w:ascii="Arial" w:hAnsi="Arial" w:cs="Arial"/>
          <w:sz w:val="22"/>
          <w:szCs w:val="22"/>
        </w:rPr>
        <w:t>37</w:t>
      </w:r>
      <w:r w:rsidR="00876856">
        <w:rPr>
          <w:rFonts w:ascii="Arial" w:hAnsi="Arial" w:cs="Arial"/>
          <w:sz w:val="22"/>
          <w:szCs w:val="22"/>
        </w:rPr>
        <w:t>.2</w:t>
      </w:r>
      <w:r w:rsidRPr="0093094C">
        <w:rPr>
          <w:rFonts w:ascii="Arial" w:hAnsi="Arial" w:cs="Arial"/>
          <w:sz w:val="22"/>
          <w:szCs w:val="22"/>
        </w:rPr>
        <w:t>%)</w:t>
      </w:r>
      <w:r w:rsidR="00476CF0">
        <w:rPr>
          <w:rFonts w:ascii="Arial" w:hAnsi="Arial" w:cs="Arial"/>
          <w:sz w:val="22"/>
          <w:szCs w:val="22"/>
        </w:rPr>
        <w:t>]</w:t>
      </w:r>
      <w:r w:rsidRPr="0093094C">
        <w:rPr>
          <w:rFonts w:ascii="Arial" w:hAnsi="Arial" w:cs="Arial"/>
          <w:sz w:val="22"/>
          <w:szCs w:val="22"/>
        </w:rPr>
        <w:t xml:space="preserve">, adenoid cystic </w:t>
      </w:r>
      <w:r w:rsidR="00476CF0">
        <w:rPr>
          <w:rFonts w:ascii="Arial" w:hAnsi="Arial" w:cs="Arial"/>
          <w:sz w:val="22"/>
          <w:szCs w:val="22"/>
        </w:rPr>
        <w:t>[</w:t>
      </w:r>
      <w:r w:rsidRPr="0093094C">
        <w:rPr>
          <w:rFonts w:ascii="Arial" w:hAnsi="Arial" w:cs="Arial"/>
          <w:sz w:val="22"/>
          <w:szCs w:val="22"/>
        </w:rPr>
        <w:t>n=6</w:t>
      </w:r>
      <w:r w:rsidR="00476CF0">
        <w:rPr>
          <w:rFonts w:ascii="Arial" w:hAnsi="Arial" w:cs="Arial"/>
          <w:sz w:val="22"/>
          <w:szCs w:val="22"/>
        </w:rPr>
        <w:t xml:space="preserve"> (</w:t>
      </w:r>
      <w:r w:rsidRPr="0093094C">
        <w:rPr>
          <w:rFonts w:ascii="Arial" w:hAnsi="Arial" w:cs="Arial"/>
          <w:sz w:val="22"/>
          <w:szCs w:val="22"/>
        </w:rPr>
        <w:t>14</w:t>
      </w:r>
      <w:r w:rsidR="00876856">
        <w:rPr>
          <w:rFonts w:ascii="Arial" w:hAnsi="Arial" w:cs="Arial"/>
          <w:sz w:val="22"/>
          <w:szCs w:val="22"/>
        </w:rPr>
        <w:t>.0</w:t>
      </w:r>
      <w:r w:rsidRPr="0093094C">
        <w:rPr>
          <w:rFonts w:ascii="Arial" w:hAnsi="Arial" w:cs="Arial"/>
          <w:sz w:val="22"/>
          <w:szCs w:val="22"/>
        </w:rPr>
        <w:t>%)</w:t>
      </w:r>
      <w:r w:rsidR="00476CF0">
        <w:rPr>
          <w:rFonts w:ascii="Arial" w:hAnsi="Arial" w:cs="Arial"/>
          <w:sz w:val="22"/>
          <w:szCs w:val="22"/>
        </w:rPr>
        <w:t>]</w:t>
      </w:r>
      <w:r w:rsidRPr="0093094C">
        <w:rPr>
          <w:rFonts w:ascii="Arial" w:hAnsi="Arial" w:cs="Arial"/>
          <w:sz w:val="22"/>
          <w:szCs w:val="22"/>
        </w:rPr>
        <w:t xml:space="preserve"> and acinic cell</w:t>
      </w:r>
      <w:r w:rsidR="00653D0A">
        <w:rPr>
          <w:rFonts w:ascii="Arial" w:hAnsi="Arial" w:cs="Arial"/>
          <w:sz w:val="22"/>
          <w:szCs w:val="22"/>
        </w:rPr>
        <w:t xml:space="preserve"> </w:t>
      </w:r>
      <w:r w:rsidR="00476CF0">
        <w:rPr>
          <w:rFonts w:ascii="Arial" w:hAnsi="Arial" w:cs="Arial"/>
          <w:sz w:val="22"/>
          <w:szCs w:val="22"/>
        </w:rPr>
        <w:t>[</w:t>
      </w:r>
      <w:r w:rsidR="00653D0A" w:rsidRPr="00653D0A">
        <w:rPr>
          <w:rFonts w:ascii="Arial" w:hAnsi="Arial" w:cs="Arial"/>
          <w:sz w:val="22"/>
          <w:szCs w:val="22"/>
        </w:rPr>
        <w:t>n=5</w:t>
      </w:r>
      <w:r w:rsidR="00476CF0">
        <w:rPr>
          <w:rFonts w:ascii="Arial" w:hAnsi="Arial" w:cs="Arial"/>
          <w:sz w:val="22"/>
          <w:szCs w:val="22"/>
        </w:rPr>
        <w:t xml:space="preserve"> (</w:t>
      </w:r>
      <w:r w:rsidR="00653D0A" w:rsidRPr="00653D0A">
        <w:rPr>
          <w:rFonts w:ascii="Arial" w:hAnsi="Arial" w:cs="Arial"/>
          <w:sz w:val="22"/>
          <w:szCs w:val="22"/>
        </w:rPr>
        <w:t>11.6%)</w:t>
      </w:r>
      <w:r w:rsidR="00476CF0">
        <w:rPr>
          <w:rFonts w:ascii="Arial" w:hAnsi="Arial" w:cs="Arial"/>
          <w:sz w:val="22"/>
          <w:szCs w:val="22"/>
        </w:rPr>
        <w:t>]</w:t>
      </w:r>
      <w:r w:rsidRPr="0093094C">
        <w:rPr>
          <w:rFonts w:ascii="Arial" w:hAnsi="Arial" w:cs="Arial"/>
          <w:sz w:val="22"/>
          <w:szCs w:val="22"/>
        </w:rPr>
        <w:t xml:space="preserve"> carcinoma</w:t>
      </w:r>
      <w:r w:rsidR="00653D0A">
        <w:rPr>
          <w:rFonts w:ascii="Arial" w:hAnsi="Arial" w:cs="Arial"/>
          <w:sz w:val="22"/>
          <w:szCs w:val="22"/>
        </w:rPr>
        <w:t>s</w:t>
      </w:r>
      <w:r w:rsidRPr="0093094C">
        <w:rPr>
          <w:rFonts w:ascii="Arial" w:hAnsi="Arial" w:cs="Arial"/>
          <w:sz w:val="22"/>
          <w:szCs w:val="22"/>
        </w:rPr>
        <w:t xml:space="preserve">. </w:t>
      </w:r>
      <w:r w:rsidR="0008730D">
        <w:rPr>
          <w:rFonts w:ascii="Arial" w:hAnsi="Arial" w:cs="Arial"/>
          <w:sz w:val="22"/>
          <w:szCs w:val="22"/>
        </w:rPr>
        <w:t xml:space="preserve">According to the </w:t>
      </w:r>
      <w:proofErr w:type="spellStart"/>
      <w:r w:rsidR="0008730D">
        <w:rPr>
          <w:rFonts w:ascii="Arial" w:hAnsi="Arial" w:cs="Arial"/>
          <w:sz w:val="22"/>
          <w:szCs w:val="22"/>
        </w:rPr>
        <w:t>Seethala</w:t>
      </w:r>
      <w:proofErr w:type="spellEnd"/>
      <w:r w:rsidR="0008730D">
        <w:rPr>
          <w:rFonts w:ascii="Arial" w:hAnsi="Arial" w:cs="Arial"/>
          <w:sz w:val="22"/>
          <w:szCs w:val="22"/>
        </w:rPr>
        <w:t xml:space="preserve"> criteria for risk stratification o</w:t>
      </w:r>
      <w:r w:rsidR="00BE40C0">
        <w:rPr>
          <w:rFonts w:ascii="Arial" w:hAnsi="Arial" w:cs="Arial"/>
          <w:sz w:val="22"/>
          <w:szCs w:val="22"/>
        </w:rPr>
        <w:t>f</w:t>
      </w:r>
      <w:r w:rsidR="0008730D">
        <w:rPr>
          <w:rFonts w:ascii="Arial" w:hAnsi="Arial" w:cs="Arial"/>
          <w:sz w:val="22"/>
          <w:szCs w:val="22"/>
        </w:rPr>
        <w:t xml:space="preserve"> salivary gland cancers </w:t>
      </w:r>
      <w:r w:rsidR="002F73DD">
        <w:rPr>
          <w:rFonts w:ascii="Arial" w:hAnsi="Arial" w:cs="Arial"/>
          <w:sz w:val="22"/>
          <w:szCs w:val="22"/>
        </w:rPr>
        <w:fldChar w:fldCharType="begin" w:fldLock="1"/>
      </w:r>
      <w:r w:rsidR="00244165">
        <w:rPr>
          <w:rFonts w:ascii="Arial" w:hAnsi="Arial" w:cs="Arial"/>
          <w:sz w:val="22"/>
          <w:szCs w:val="22"/>
        </w:rPr>
        <w:instrText>ADDIN CSL_CITATION { "citationItems" : [ { "id" : "ITEM-1", "itemData" : { "DOI" : "10.1097/PAP.0b013e318202645a", "ISBN" : "1072-4109", "ISSN" : "1072-4109", "PMID" : "21169736", "author" : [ { "dropping-particle" : "", "family" : "Raja R. Seethala", "given" : "", "non-dropping-particle" : "", "parse-names" : false, "suffix" : "" } ], "container-title" : "Adv Anat Pathol", "id" : "ITEM-1", "issue" : "800", "issued" : { "date-parts" : [ [ "2011" ] ] }, "page" : "29-45", "title" : "Histologic Grading and Prognostic Biomarkers in Salivary Gland Carcinomas", "type" : "article-journal", "volume" : "18" }, "uris" : [ "http://www.mendeley.com/documents/?uuid=a98f771f-2214-41ce-8576-d89be684c0eb" ] } ], "mendeley" : { "formattedCitation" : "(8)", "plainTextFormattedCitation" : "(8)", "previouslyFormattedCitation" : "(8)" }, "properties" : { "noteIndex" : 0 }, "schema" : "https://github.com/citation-style-language/schema/raw/master/csl-citation.json" }</w:instrText>
      </w:r>
      <w:r w:rsidR="002F73DD">
        <w:rPr>
          <w:rFonts w:ascii="Arial" w:hAnsi="Arial" w:cs="Arial"/>
          <w:sz w:val="22"/>
          <w:szCs w:val="22"/>
        </w:rPr>
        <w:fldChar w:fldCharType="separate"/>
      </w:r>
      <w:r w:rsidR="00244165" w:rsidRPr="00244165">
        <w:rPr>
          <w:rFonts w:ascii="Arial" w:hAnsi="Arial" w:cs="Arial"/>
          <w:noProof/>
          <w:sz w:val="22"/>
          <w:szCs w:val="22"/>
        </w:rPr>
        <w:t>(8)</w:t>
      </w:r>
      <w:r w:rsidR="002F73DD">
        <w:rPr>
          <w:rFonts w:ascii="Arial" w:hAnsi="Arial" w:cs="Arial"/>
          <w:sz w:val="22"/>
          <w:szCs w:val="22"/>
        </w:rPr>
        <w:fldChar w:fldCharType="end"/>
      </w:r>
      <w:r w:rsidR="0008730D">
        <w:rPr>
          <w:rFonts w:ascii="Arial" w:hAnsi="Arial" w:cs="Arial"/>
          <w:sz w:val="22"/>
          <w:szCs w:val="22"/>
        </w:rPr>
        <w:t xml:space="preserve">, </w:t>
      </w:r>
      <w:r w:rsidR="00876856">
        <w:rPr>
          <w:rFonts w:ascii="Arial" w:hAnsi="Arial" w:cs="Arial"/>
          <w:sz w:val="22"/>
          <w:szCs w:val="22"/>
        </w:rPr>
        <w:t>53.4% (n=23) of</w:t>
      </w:r>
      <w:r w:rsidR="0008730D">
        <w:rPr>
          <w:rFonts w:ascii="Arial" w:hAnsi="Arial" w:cs="Arial"/>
          <w:sz w:val="22"/>
          <w:szCs w:val="22"/>
        </w:rPr>
        <w:t xml:space="preserve"> cases were low risk and </w:t>
      </w:r>
      <w:r w:rsidR="00876856">
        <w:rPr>
          <w:rFonts w:ascii="Arial" w:hAnsi="Arial" w:cs="Arial"/>
          <w:sz w:val="22"/>
          <w:szCs w:val="22"/>
        </w:rPr>
        <w:t>46.5% (n=</w:t>
      </w:r>
      <w:r w:rsidR="0008730D">
        <w:rPr>
          <w:rFonts w:ascii="Arial" w:hAnsi="Arial" w:cs="Arial"/>
          <w:sz w:val="22"/>
          <w:szCs w:val="22"/>
        </w:rPr>
        <w:t>20</w:t>
      </w:r>
      <w:r w:rsidR="00876856">
        <w:rPr>
          <w:rFonts w:ascii="Arial" w:hAnsi="Arial" w:cs="Arial"/>
          <w:sz w:val="22"/>
          <w:szCs w:val="22"/>
        </w:rPr>
        <w:t>)</w:t>
      </w:r>
      <w:r w:rsidR="0008730D">
        <w:rPr>
          <w:rFonts w:ascii="Arial" w:hAnsi="Arial" w:cs="Arial"/>
          <w:sz w:val="22"/>
          <w:szCs w:val="22"/>
        </w:rPr>
        <w:t xml:space="preserve"> high risk tumors.</w:t>
      </w:r>
    </w:p>
    <w:p w:rsidR="00E6676A" w:rsidRPr="0093094C" w:rsidRDefault="008300BA" w:rsidP="00BF1E4D">
      <w:pPr>
        <w:pStyle w:val="Default"/>
        <w:spacing w:line="360" w:lineRule="auto"/>
        <w:jc w:val="both"/>
        <w:rPr>
          <w:rFonts w:ascii="Arial" w:hAnsi="Arial" w:cs="Arial"/>
          <w:sz w:val="22"/>
          <w:szCs w:val="22"/>
        </w:rPr>
      </w:pPr>
      <w:r>
        <w:rPr>
          <w:rFonts w:ascii="Arial" w:hAnsi="Arial" w:cs="Arial"/>
          <w:sz w:val="22"/>
          <w:szCs w:val="22"/>
        </w:rPr>
        <w:t>The</w:t>
      </w:r>
      <w:r w:rsidR="00A5177F" w:rsidRPr="0093094C">
        <w:rPr>
          <w:rFonts w:ascii="Arial" w:hAnsi="Arial" w:cs="Arial"/>
          <w:sz w:val="22"/>
          <w:szCs w:val="22"/>
        </w:rPr>
        <w:t xml:space="preserve"> AJCC  </w:t>
      </w:r>
      <w:r w:rsidR="00AA4832" w:rsidRPr="0093094C">
        <w:rPr>
          <w:rFonts w:ascii="Arial" w:hAnsi="Arial" w:cs="Arial"/>
          <w:sz w:val="22"/>
          <w:szCs w:val="22"/>
        </w:rPr>
        <w:t xml:space="preserve">pathological </w:t>
      </w:r>
      <w:r>
        <w:rPr>
          <w:rFonts w:ascii="Arial" w:hAnsi="Arial" w:cs="Arial"/>
          <w:sz w:val="22"/>
          <w:szCs w:val="22"/>
        </w:rPr>
        <w:t xml:space="preserve"> T </w:t>
      </w:r>
      <w:r w:rsidR="007129B4">
        <w:rPr>
          <w:rFonts w:ascii="Arial" w:hAnsi="Arial" w:cs="Arial"/>
          <w:sz w:val="22"/>
          <w:szCs w:val="22"/>
        </w:rPr>
        <w:t>value</w:t>
      </w:r>
      <w:r>
        <w:rPr>
          <w:rFonts w:ascii="Arial" w:hAnsi="Arial" w:cs="Arial"/>
          <w:sz w:val="22"/>
          <w:szCs w:val="22"/>
        </w:rPr>
        <w:t xml:space="preserve"> classification of</w:t>
      </w:r>
      <w:r w:rsidR="001F05A9">
        <w:rPr>
          <w:rFonts w:ascii="Arial" w:hAnsi="Arial" w:cs="Arial"/>
          <w:sz w:val="22"/>
          <w:szCs w:val="22"/>
        </w:rPr>
        <w:t xml:space="preserve"> 34</w:t>
      </w:r>
      <w:r>
        <w:rPr>
          <w:rFonts w:ascii="Arial" w:hAnsi="Arial" w:cs="Arial"/>
          <w:sz w:val="22"/>
          <w:szCs w:val="22"/>
        </w:rPr>
        <w:t xml:space="preserve"> </w:t>
      </w:r>
      <w:r w:rsidRPr="0034582F">
        <w:rPr>
          <w:rFonts w:ascii="Arial" w:hAnsi="Arial" w:cs="Arial"/>
          <w:i/>
          <w:sz w:val="22"/>
          <w:szCs w:val="22"/>
        </w:rPr>
        <w:t>major</w:t>
      </w:r>
      <w:r>
        <w:rPr>
          <w:rFonts w:ascii="Arial" w:hAnsi="Arial" w:cs="Arial"/>
          <w:sz w:val="22"/>
          <w:szCs w:val="22"/>
        </w:rPr>
        <w:t xml:space="preserve"> SGT displayed</w:t>
      </w:r>
      <w:r w:rsidR="00250685" w:rsidRPr="0093094C">
        <w:rPr>
          <w:rFonts w:ascii="Arial" w:hAnsi="Arial" w:cs="Arial"/>
          <w:sz w:val="22"/>
          <w:szCs w:val="22"/>
        </w:rPr>
        <w:t xml:space="preserve"> </w:t>
      </w:r>
      <w:r w:rsidR="00402ABF" w:rsidRPr="0093094C">
        <w:rPr>
          <w:rFonts w:ascii="Arial" w:hAnsi="Arial" w:cs="Arial"/>
          <w:sz w:val="22"/>
          <w:szCs w:val="22"/>
        </w:rPr>
        <w:t>9</w:t>
      </w:r>
      <w:r w:rsidR="007129B4">
        <w:rPr>
          <w:rFonts w:ascii="Arial" w:hAnsi="Arial" w:cs="Arial"/>
          <w:sz w:val="22"/>
          <w:szCs w:val="22"/>
        </w:rPr>
        <w:t xml:space="preserve"> </w:t>
      </w:r>
      <w:r w:rsidR="007129B4" w:rsidRPr="007129B4">
        <w:rPr>
          <w:rFonts w:ascii="Arial" w:hAnsi="Arial" w:cs="Arial"/>
          <w:sz w:val="22"/>
          <w:szCs w:val="22"/>
        </w:rPr>
        <w:t>(26</w:t>
      </w:r>
      <w:r w:rsidR="00876856">
        <w:rPr>
          <w:rFonts w:ascii="Arial" w:hAnsi="Arial" w:cs="Arial"/>
          <w:sz w:val="22"/>
          <w:szCs w:val="22"/>
        </w:rPr>
        <w:t>.4</w:t>
      </w:r>
      <w:r w:rsidR="007129B4" w:rsidRPr="007129B4">
        <w:rPr>
          <w:rFonts w:ascii="Arial" w:hAnsi="Arial" w:cs="Arial"/>
          <w:sz w:val="22"/>
          <w:szCs w:val="22"/>
        </w:rPr>
        <w:t xml:space="preserve">%)  </w:t>
      </w:r>
      <w:r w:rsidR="00A5177F" w:rsidRPr="0093094C">
        <w:rPr>
          <w:rFonts w:ascii="Arial" w:hAnsi="Arial" w:cs="Arial"/>
          <w:sz w:val="22"/>
          <w:szCs w:val="22"/>
        </w:rPr>
        <w:t xml:space="preserve"> cases </w:t>
      </w:r>
      <w:r w:rsidR="00A5177F" w:rsidRPr="0093094C">
        <w:rPr>
          <w:rFonts w:ascii="Arial" w:hAnsi="Arial" w:cs="Arial"/>
          <w:color w:val="2A2A2A"/>
          <w:sz w:val="22"/>
          <w:szCs w:val="22"/>
          <w:shd w:val="clear" w:color="auto" w:fill="FFFFFF"/>
        </w:rPr>
        <w:t>≤2 cm in greatest dimension (pT1)</w:t>
      </w:r>
      <w:r w:rsidR="00402ABF" w:rsidRPr="0093094C">
        <w:rPr>
          <w:rFonts w:ascii="Arial" w:hAnsi="Arial" w:cs="Arial"/>
          <w:sz w:val="22"/>
          <w:szCs w:val="22"/>
        </w:rPr>
        <w:t xml:space="preserve">, </w:t>
      </w:r>
      <w:r w:rsidR="00A5177F" w:rsidRPr="0093094C">
        <w:rPr>
          <w:rFonts w:ascii="Arial" w:hAnsi="Arial" w:cs="Arial"/>
          <w:sz w:val="22"/>
          <w:szCs w:val="22"/>
        </w:rPr>
        <w:t xml:space="preserve">3 </w:t>
      </w:r>
      <w:r w:rsidR="007A73D8">
        <w:rPr>
          <w:rFonts w:ascii="Arial" w:hAnsi="Arial" w:cs="Arial"/>
          <w:sz w:val="22"/>
          <w:szCs w:val="22"/>
        </w:rPr>
        <w:t>(</w:t>
      </w:r>
      <w:r w:rsidR="00876856">
        <w:rPr>
          <w:rFonts w:ascii="Arial" w:hAnsi="Arial" w:cs="Arial"/>
          <w:sz w:val="22"/>
          <w:szCs w:val="22"/>
        </w:rPr>
        <w:t>8.8</w:t>
      </w:r>
      <w:r w:rsidR="007A73D8">
        <w:rPr>
          <w:rFonts w:ascii="Arial" w:hAnsi="Arial" w:cs="Arial"/>
          <w:sz w:val="22"/>
          <w:szCs w:val="22"/>
        </w:rPr>
        <w:t>%)</w:t>
      </w:r>
      <w:r w:rsidR="00A5177F" w:rsidRPr="0093094C">
        <w:rPr>
          <w:rFonts w:ascii="Arial" w:hAnsi="Arial" w:cs="Arial"/>
          <w:sz w:val="22"/>
          <w:szCs w:val="22"/>
        </w:rPr>
        <w:t xml:space="preserve"> </w:t>
      </w:r>
      <w:r>
        <w:rPr>
          <w:rFonts w:ascii="Arial" w:hAnsi="Arial" w:cs="Arial"/>
          <w:sz w:val="22"/>
          <w:szCs w:val="22"/>
        </w:rPr>
        <w:t>with</w:t>
      </w:r>
      <w:r w:rsidR="00A5177F" w:rsidRPr="0093094C">
        <w:rPr>
          <w:rFonts w:ascii="Arial" w:hAnsi="Arial" w:cs="Arial"/>
          <w:sz w:val="22"/>
          <w:szCs w:val="22"/>
        </w:rPr>
        <w:t xml:space="preserve"> 2-4</w:t>
      </w:r>
      <w:r w:rsidR="007A73D8">
        <w:rPr>
          <w:rFonts w:ascii="Arial" w:hAnsi="Arial" w:cs="Arial"/>
          <w:sz w:val="22"/>
          <w:szCs w:val="22"/>
        </w:rPr>
        <w:t xml:space="preserve"> </w:t>
      </w:r>
      <w:r w:rsidR="00A5177F" w:rsidRPr="0093094C">
        <w:rPr>
          <w:rFonts w:ascii="Arial" w:hAnsi="Arial" w:cs="Arial"/>
          <w:sz w:val="22"/>
          <w:szCs w:val="22"/>
        </w:rPr>
        <w:t xml:space="preserve">cm tumor size without </w:t>
      </w:r>
      <w:r w:rsidR="003C5A19" w:rsidRPr="0093094C">
        <w:rPr>
          <w:rFonts w:ascii="Arial" w:hAnsi="Arial" w:cs="Arial"/>
          <w:sz w:val="22"/>
          <w:szCs w:val="22"/>
        </w:rPr>
        <w:t>extra parenchymal</w:t>
      </w:r>
      <w:r w:rsidR="00A5177F" w:rsidRPr="0093094C">
        <w:rPr>
          <w:rFonts w:ascii="Arial" w:hAnsi="Arial" w:cs="Arial"/>
          <w:sz w:val="22"/>
          <w:szCs w:val="22"/>
        </w:rPr>
        <w:t xml:space="preserve"> extension (pT2)</w:t>
      </w:r>
      <w:r>
        <w:rPr>
          <w:rFonts w:ascii="Arial" w:hAnsi="Arial" w:cs="Arial"/>
          <w:sz w:val="22"/>
          <w:szCs w:val="22"/>
        </w:rPr>
        <w:t>,</w:t>
      </w:r>
      <w:r w:rsidR="00A5177F" w:rsidRPr="0093094C">
        <w:rPr>
          <w:rFonts w:ascii="Arial" w:hAnsi="Arial" w:cs="Arial"/>
          <w:sz w:val="22"/>
          <w:szCs w:val="22"/>
        </w:rPr>
        <w:t xml:space="preserve"> </w:t>
      </w:r>
      <w:r w:rsidR="00E6676A" w:rsidRPr="0093094C">
        <w:rPr>
          <w:rFonts w:ascii="Arial" w:hAnsi="Arial" w:cs="Arial"/>
          <w:sz w:val="22"/>
          <w:szCs w:val="22"/>
        </w:rPr>
        <w:t>18</w:t>
      </w:r>
      <w:r w:rsidR="00402ABF" w:rsidRPr="0093094C">
        <w:rPr>
          <w:rFonts w:ascii="Arial" w:hAnsi="Arial" w:cs="Arial"/>
          <w:sz w:val="22"/>
          <w:szCs w:val="22"/>
        </w:rPr>
        <w:t xml:space="preserve"> </w:t>
      </w:r>
      <w:r w:rsidR="007A73D8">
        <w:rPr>
          <w:rFonts w:ascii="Arial" w:hAnsi="Arial" w:cs="Arial"/>
          <w:sz w:val="22"/>
          <w:szCs w:val="22"/>
        </w:rPr>
        <w:t>(5</w:t>
      </w:r>
      <w:r w:rsidR="00876856">
        <w:rPr>
          <w:rFonts w:ascii="Arial" w:hAnsi="Arial" w:cs="Arial"/>
          <w:sz w:val="22"/>
          <w:szCs w:val="22"/>
        </w:rPr>
        <w:t>2.9</w:t>
      </w:r>
      <w:r w:rsidR="007A73D8">
        <w:rPr>
          <w:rFonts w:ascii="Arial" w:hAnsi="Arial" w:cs="Arial"/>
          <w:sz w:val="22"/>
          <w:szCs w:val="22"/>
        </w:rPr>
        <w:t xml:space="preserve">%) </w:t>
      </w:r>
      <w:r w:rsidR="00A5177F" w:rsidRPr="0093094C">
        <w:rPr>
          <w:rFonts w:ascii="Arial" w:hAnsi="Arial" w:cs="Arial"/>
          <w:sz w:val="22"/>
          <w:szCs w:val="22"/>
        </w:rPr>
        <w:t xml:space="preserve">&gt;4cm or </w:t>
      </w:r>
      <w:r w:rsidR="003C5A19" w:rsidRPr="0093094C">
        <w:rPr>
          <w:rFonts w:ascii="Arial" w:hAnsi="Arial" w:cs="Arial"/>
          <w:sz w:val="22"/>
          <w:szCs w:val="22"/>
        </w:rPr>
        <w:t>extra parenchymal</w:t>
      </w:r>
      <w:r w:rsidR="00A5177F" w:rsidRPr="0093094C">
        <w:rPr>
          <w:rFonts w:ascii="Arial" w:hAnsi="Arial" w:cs="Arial"/>
          <w:sz w:val="22"/>
          <w:szCs w:val="22"/>
        </w:rPr>
        <w:t xml:space="preserve"> extension (pT3)</w:t>
      </w:r>
      <w:r>
        <w:rPr>
          <w:rFonts w:ascii="Arial" w:hAnsi="Arial" w:cs="Arial"/>
          <w:sz w:val="22"/>
          <w:szCs w:val="22"/>
        </w:rPr>
        <w:t>,</w:t>
      </w:r>
      <w:r w:rsidR="00BE40C0">
        <w:rPr>
          <w:rFonts w:ascii="Arial" w:hAnsi="Arial" w:cs="Arial"/>
          <w:sz w:val="22"/>
          <w:szCs w:val="22"/>
        </w:rPr>
        <w:t xml:space="preserve"> and</w:t>
      </w:r>
      <w:r w:rsidR="00A5177F" w:rsidRPr="0093094C">
        <w:rPr>
          <w:rFonts w:ascii="Arial" w:hAnsi="Arial" w:cs="Arial"/>
          <w:sz w:val="22"/>
          <w:szCs w:val="22"/>
        </w:rPr>
        <w:t xml:space="preserve"> 4 </w:t>
      </w:r>
      <w:r w:rsidR="007A73D8">
        <w:rPr>
          <w:rFonts w:ascii="Arial" w:hAnsi="Arial" w:cs="Arial"/>
          <w:sz w:val="22"/>
          <w:szCs w:val="22"/>
        </w:rPr>
        <w:t>(1</w:t>
      </w:r>
      <w:r w:rsidR="00876856">
        <w:rPr>
          <w:rFonts w:ascii="Arial" w:hAnsi="Arial" w:cs="Arial"/>
          <w:sz w:val="22"/>
          <w:szCs w:val="22"/>
        </w:rPr>
        <w:t>1.8</w:t>
      </w:r>
      <w:r w:rsidR="007A73D8">
        <w:rPr>
          <w:rFonts w:ascii="Arial" w:hAnsi="Arial" w:cs="Arial"/>
          <w:sz w:val="22"/>
          <w:szCs w:val="22"/>
        </w:rPr>
        <w:t>%)</w:t>
      </w:r>
      <w:r w:rsidR="00A5177F" w:rsidRPr="0093094C">
        <w:rPr>
          <w:rFonts w:ascii="Arial" w:hAnsi="Arial" w:cs="Arial"/>
          <w:sz w:val="22"/>
          <w:szCs w:val="22"/>
        </w:rPr>
        <w:t xml:space="preserve"> </w:t>
      </w:r>
      <w:r w:rsidR="00BE40C0">
        <w:rPr>
          <w:rFonts w:ascii="Arial" w:hAnsi="Arial" w:cs="Arial"/>
          <w:sz w:val="22"/>
          <w:szCs w:val="22"/>
        </w:rPr>
        <w:t>invad</w:t>
      </w:r>
      <w:r>
        <w:rPr>
          <w:rFonts w:ascii="Arial" w:hAnsi="Arial" w:cs="Arial"/>
          <w:sz w:val="22"/>
          <w:szCs w:val="22"/>
        </w:rPr>
        <w:t>ing</w:t>
      </w:r>
      <w:r w:rsidR="00BE40C0">
        <w:rPr>
          <w:rFonts w:ascii="Arial" w:hAnsi="Arial" w:cs="Arial"/>
          <w:sz w:val="22"/>
          <w:szCs w:val="22"/>
        </w:rPr>
        <w:t xml:space="preserve"> </w:t>
      </w:r>
      <w:r w:rsidR="00A5177F" w:rsidRPr="0093094C">
        <w:rPr>
          <w:rFonts w:ascii="Arial" w:hAnsi="Arial" w:cs="Arial"/>
          <w:sz w:val="22"/>
          <w:szCs w:val="22"/>
        </w:rPr>
        <w:t>adjacent structures (pT4)</w:t>
      </w:r>
      <w:r w:rsidR="00402ABF" w:rsidRPr="0093094C">
        <w:rPr>
          <w:rFonts w:ascii="Arial" w:hAnsi="Arial" w:cs="Arial"/>
          <w:sz w:val="22"/>
          <w:szCs w:val="22"/>
        </w:rPr>
        <w:t xml:space="preserve">. </w:t>
      </w:r>
      <w:proofErr w:type="spellStart"/>
      <w:r w:rsidR="00402ABF" w:rsidRPr="0093094C">
        <w:rPr>
          <w:rFonts w:ascii="Arial" w:hAnsi="Arial" w:cs="Arial"/>
          <w:sz w:val="22"/>
          <w:szCs w:val="22"/>
        </w:rPr>
        <w:t>Histopathological</w:t>
      </w:r>
      <w:proofErr w:type="spellEnd"/>
      <w:r w:rsidR="00402ABF" w:rsidRPr="0093094C">
        <w:rPr>
          <w:rFonts w:ascii="Arial" w:hAnsi="Arial" w:cs="Arial"/>
          <w:sz w:val="22"/>
          <w:szCs w:val="22"/>
        </w:rPr>
        <w:t xml:space="preserve"> evaluation of regional lymph nodes</w:t>
      </w:r>
      <w:r>
        <w:rPr>
          <w:rFonts w:ascii="Arial" w:hAnsi="Arial" w:cs="Arial"/>
          <w:sz w:val="22"/>
          <w:szCs w:val="22"/>
        </w:rPr>
        <w:t xml:space="preserve"> (N)</w:t>
      </w:r>
      <w:r w:rsidR="00402ABF" w:rsidRPr="0093094C">
        <w:rPr>
          <w:rFonts w:ascii="Arial" w:hAnsi="Arial" w:cs="Arial"/>
          <w:sz w:val="22"/>
          <w:szCs w:val="22"/>
        </w:rPr>
        <w:t xml:space="preserve"> was requested in 24 cases</w:t>
      </w:r>
      <w:r w:rsidR="00B748FE">
        <w:rPr>
          <w:rFonts w:ascii="Arial" w:hAnsi="Arial" w:cs="Arial"/>
          <w:sz w:val="22"/>
          <w:szCs w:val="22"/>
        </w:rPr>
        <w:t xml:space="preserve"> (55.8%)</w:t>
      </w:r>
      <w:r w:rsidR="00402ABF" w:rsidRPr="0093094C">
        <w:rPr>
          <w:rFonts w:ascii="Arial" w:hAnsi="Arial" w:cs="Arial"/>
          <w:sz w:val="22"/>
          <w:szCs w:val="22"/>
        </w:rPr>
        <w:t xml:space="preserve">, and metastasis were detected in </w:t>
      </w:r>
      <w:r w:rsidR="00B748FE">
        <w:rPr>
          <w:rFonts w:ascii="Arial" w:hAnsi="Arial" w:cs="Arial"/>
          <w:sz w:val="22"/>
          <w:szCs w:val="22"/>
        </w:rPr>
        <w:t>33.3% of cases (n=8)</w:t>
      </w:r>
      <w:r w:rsidR="007A73D8">
        <w:rPr>
          <w:rFonts w:ascii="Arial" w:hAnsi="Arial" w:cs="Arial"/>
          <w:sz w:val="22"/>
          <w:szCs w:val="22"/>
        </w:rPr>
        <w:t xml:space="preserve"> (N1=5; N2a=1; N2b=2)</w:t>
      </w:r>
      <w:r w:rsidR="00402ABF" w:rsidRPr="0093094C">
        <w:rPr>
          <w:rFonts w:ascii="Arial" w:hAnsi="Arial" w:cs="Arial"/>
          <w:sz w:val="22"/>
          <w:szCs w:val="22"/>
        </w:rPr>
        <w:t xml:space="preserve">. Globally, </w:t>
      </w:r>
      <w:proofErr w:type="spellStart"/>
      <w:r w:rsidR="00402ABF" w:rsidRPr="0093094C">
        <w:rPr>
          <w:rFonts w:ascii="Arial" w:hAnsi="Arial" w:cs="Arial"/>
          <w:sz w:val="22"/>
          <w:szCs w:val="22"/>
        </w:rPr>
        <w:t>perineu</w:t>
      </w:r>
      <w:r w:rsidR="00A5177F" w:rsidRPr="0093094C">
        <w:rPr>
          <w:rFonts w:ascii="Arial" w:hAnsi="Arial" w:cs="Arial"/>
          <w:sz w:val="22"/>
          <w:szCs w:val="22"/>
        </w:rPr>
        <w:t>ral</w:t>
      </w:r>
      <w:proofErr w:type="spellEnd"/>
      <w:r w:rsidR="00A5177F" w:rsidRPr="0093094C">
        <w:rPr>
          <w:rFonts w:ascii="Arial" w:hAnsi="Arial" w:cs="Arial"/>
          <w:sz w:val="22"/>
          <w:szCs w:val="22"/>
        </w:rPr>
        <w:t xml:space="preserve"> invasion was </w:t>
      </w:r>
      <w:r w:rsidR="00957E33">
        <w:rPr>
          <w:rFonts w:ascii="Arial" w:hAnsi="Arial" w:cs="Arial"/>
          <w:sz w:val="22"/>
          <w:szCs w:val="22"/>
        </w:rPr>
        <w:t>detected</w:t>
      </w:r>
      <w:r w:rsidR="00A5177F" w:rsidRPr="0093094C">
        <w:rPr>
          <w:rFonts w:ascii="Arial" w:hAnsi="Arial" w:cs="Arial"/>
          <w:sz w:val="22"/>
          <w:szCs w:val="22"/>
        </w:rPr>
        <w:t xml:space="preserve"> in </w:t>
      </w:r>
      <w:r w:rsidR="00B748FE">
        <w:rPr>
          <w:rFonts w:ascii="Arial" w:hAnsi="Arial" w:cs="Arial"/>
          <w:sz w:val="22"/>
          <w:szCs w:val="22"/>
        </w:rPr>
        <w:t xml:space="preserve">41.8% (n=18) </w:t>
      </w:r>
      <w:r w:rsidR="00A5177F" w:rsidRPr="0093094C">
        <w:rPr>
          <w:rFonts w:ascii="Arial" w:hAnsi="Arial" w:cs="Arial"/>
          <w:sz w:val="22"/>
          <w:szCs w:val="22"/>
        </w:rPr>
        <w:t>and v</w:t>
      </w:r>
      <w:r w:rsidR="00E6676A" w:rsidRPr="0093094C">
        <w:rPr>
          <w:rFonts w:ascii="Arial" w:hAnsi="Arial" w:cs="Arial"/>
          <w:sz w:val="22"/>
          <w:szCs w:val="22"/>
        </w:rPr>
        <w:t xml:space="preserve">ascular invasion in </w:t>
      </w:r>
      <w:r w:rsidR="00B748FE">
        <w:rPr>
          <w:rFonts w:ascii="Arial" w:hAnsi="Arial" w:cs="Arial"/>
          <w:sz w:val="22"/>
          <w:szCs w:val="22"/>
        </w:rPr>
        <w:t>30.2% (n=</w:t>
      </w:r>
      <w:r w:rsidR="00E6676A" w:rsidRPr="0093094C">
        <w:rPr>
          <w:rFonts w:ascii="Arial" w:hAnsi="Arial" w:cs="Arial"/>
          <w:sz w:val="22"/>
          <w:szCs w:val="22"/>
        </w:rPr>
        <w:t>13</w:t>
      </w:r>
      <w:r w:rsidR="00B748FE">
        <w:rPr>
          <w:rFonts w:ascii="Arial" w:hAnsi="Arial" w:cs="Arial"/>
          <w:sz w:val="22"/>
          <w:szCs w:val="22"/>
        </w:rPr>
        <w:t>)</w:t>
      </w:r>
      <w:r w:rsidR="00E6676A" w:rsidRPr="0093094C">
        <w:rPr>
          <w:rFonts w:ascii="Arial" w:hAnsi="Arial" w:cs="Arial"/>
          <w:sz w:val="22"/>
          <w:szCs w:val="22"/>
        </w:rPr>
        <w:t>.</w:t>
      </w:r>
    </w:p>
    <w:p w:rsidR="00E6676A" w:rsidRDefault="00402ABF" w:rsidP="00BF1E4D">
      <w:pPr>
        <w:pStyle w:val="Default"/>
        <w:spacing w:line="360" w:lineRule="auto"/>
        <w:jc w:val="both"/>
        <w:rPr>
          <w:rFonts w:ascii="Arial" w:hAnsi="Arial" w:cs="Arial"/>
          <w:sz w:val="22"/>
          <w:szCs w:val="22"/>
        </w:rPr>
      </w:pPr>
      <w:r w:rsidRPr="0093094C">
        <w:rPr>
          <w:rFonts w:ascii="Arial" w:hAnsi="Arial" w:cs="Arial"/>
          <w:sz w:val="22"/>
          <w:szCs w:val="22"/>
        </w:rPr>
        <w:t xml:space="preserve">In </w:t>
      </w:r>
      <w:r w:rsidR="00A5177F" w:rsidRPr="0093094C">
        <w:rPr>
          <w:rFonts w:ascii="Arial" w:hAnsi="Arial" w:cs="Arial"/>
          <w:sz w:val="22"/>
          <w:szCs w:val="22"/>
        </w:rPr>
        <w:t xml:space="preserve">the 9 </w:t>
      </w:r>
      <w:r w:rsidRPr="00957E33">
        <w:rPr>
          <w:rFonts w:ascii="Arial" w:hAnsi="Arial" w:cs="Arial"/>
          <w:i/>
          <w:sz w:val="22"/>
          <w:szCs w:val="22"/>
        </w:rPr>
        <w:t>minor</w:t>
      </w:r>
      <w:r w:rsidRPr="0093094C">
        <w:rPr>
          <w:rFonts w:ascii="Arial" w:hAnsi="Arial" w:cs="Arial"/>
          <w:sz w:val="22"/>
          <w:szCs w:val="22"/>
        </w:rPr>
        <w:t xml:space="preserve"> </w:t>
      </w:r>
      <w:r w:rsidR="00A5177F" w:rsidRPr="0093094C">
        <w:rPr>
          <w:rFonts w:ascii="Arial" w:hAnsi="Arial" w:cs="Arial"/>
          <w:sz w:val="22"/>
          <w:szCs w:val="22"/>
        </w:rPr>
        <w:t xml:space="preserve">SGT, </w:t>
      </w:r>
      <w:r w:rsidRPr="0093094C">
        <w:rPr>
          <w:rFonts w:ascii="Arial" w:hAnsi="Arial" w:cs="Arial"/>
          <w:sz w:val="22"/>
          <w:szCs w:val="22"/>
        </w:rPr>
        <w:t>5</w:t>
      </w:r>
      <w:r w:rsidR="00B748FE">
        <w:rPr>
          <w:rFonts w:ascii="Arial" w:hAnsi="Arial" w:cs="Arial"/>
          <w:sz w:val="22"/>
          <w:szCs w:val="22"/>
        </w:rPr>
        <w:t xml:space="preserve"> (55.6%)</w:t>
      </w:r>
      <w:r w:rsidRPr="0093094C">
        <w:rPr>
          <w:rFonts w:ascii="Arial" w:hAnsi="Arial" w:cs="Arial"/>
          <w:sz w:val="22"/>
          <w:szCs w:val="22"/>
        </w:rPr>
        <w:t xml:space="preserve"> </w:t>
      </w:r>
      <w:r w:rsidR="00AA4832" w:rsidRPr="0093094C">
        <w:rPr>
          <w:rFonts w:ascii="Arial" w:hAnsi="Arial" w:cs="Arial"/>
          <w:sz w:val="22"/>
          <w:szCs w:val="22"/>
        </w:rPr>
        <w:t>were &lt; 2 cm (</w:t>
      </w:r>
      <w:r w:rsidRPr="0093094C">
        <w:rPr>
          <w:rFonts w:ascii="Arial" w:hAnsi="Arial" w:cs="Arial"/>
          <w:sz w:val="22"/>
          <w:szCs w:val="22"/>
        </w:rPr>
        <w:t>pT1</w:t>
      </w:r>
      <w:r w:rsidR="00AA4832" w:rsidRPr="0093094C">
        <w:rPr>
          <w:rFonts w:ascii="Arial" w:hAnsi="Arial" w:cs="Arial"/>
          <w:sz w:val="22"/>
          <w:szCs w:val="22"/>
        </w:rPr>
        <w:t>)</w:t>
      </w:r>
      <w:r w:rsidRPr="0093094C">
        <w:rPr>
          <w:rFonts w:ascii="Arial" w:hAnsi="Arial" w:cs="Arial"/>
          <w:sz w:val="22"/>
          <w:szCs w:val="22"/>
        </w:rPr>
        <w:t>, 2</w:t>
      </w:r>
      <w:r w:rsidR="00B748FE">
        <w:rPr>
          <w:rFonts w:ascii="Arial" w:hAnsi="Arial" w:cs="Arial"/>
          <w:sz w:val="22"/>
          <w:szCs w:val="22"/>
        </w:rPr>
        <w:t xml:space="preserve"> (22.2%)</w:t>
      </w:r>
      <w:r w:rsidR="00AA4832" w:rsidRPr="0093094C">
        <w:rPr>
          <w:rFonts w:ascii="Arial" w:hAnsi="Arial" w:cs="Arial"/>
          <w:sz w:val="22"/>
          <w:szCs w:val="22"/>
        </w:rPr>
        <w:t xml:space="preserve"> had 2-4 cm</w:t>
      </w:r>
      <w:r w:rsidRPr="0093094C">
        <w:rPr>
          <w:rFonts w:ascii="Arial" w:hAnsi="Arial" w:cs="Arial"/>
          <w:sz w:val="22"/>
          <w:szCs w:val="22"/>
        </w:rPr>
        <w:t xml:space="preserve"> </w:t>
      </w:r>
      <w:r w:rsidR="00AA4832" w:rsidRPr="0093094C">
        <w:rPr>
          <w:rFonts w:ascii="Arial" w:hAnsi="Arial" w:cs="Arial"/>
          <w:sz w:val="22"/>
          <w:szCs w:val="22"/>
        </w:rPr>
        <w:t>(</w:t>
      </w:r>
      <w:r w:rsidRPr="0093094C">
        <w:rPr>
          <w:rFonts w:ascii="Arial" w:hAnsi="Arial" w:cs="Arial"/>
          <w:sz w:val="22"/>
          <w:szCs w:val="22"/>
        </w:rPr>
        <w:t>pT2</w:t>
      </w:r>
      <w:r w:rsidR="00AA4832" w:rsidRPr="0093094C">
        <w:rPr>
          <w:rFonts w:ascii="Arial" w:hAnsi="Arial" w:cs="Arial"/>
          <w:sz w:val="22"/>
          <w:szCs w:val="22"/>
        </w:rPr>
        <w:t>) and</w:t>
      </w:r>
      <w:r w:rsidRPr="0093094C">
        <w:rPr>
          <w:rFonts w:ascii="Arial" w:hAnsi="Arial" w:cs="Arial"/>
          <w:sz w:val="22"/>
          <w:szCs w:val="22"/>
        </w:rPr>
        <w:t xml:space="preserve"> 2</w:t>
      </w:r>
      <w:r w:rsidR="00B748FE">
        <w:rPr>
          <w:rFonts w:ascii="Arial" w:hAnsi="Arial" w:cs="Arial"/>
          <w:sz w:val="22"/>
          <w:szCs w:val="22"/>
        </w:rPr>
        <w:t xml:space="preserve"> (22.2%)</w:t>
      </w:r>
      <w:r w:rsidRPr="0093094C">
        <w:rPr>
          <w:rFonts w:ascii="Arial" w:hAnsi="Arial" w:cs="Arial"/>
          <w:sz w:val="22"/>
          <w:szCs w:val="22"/>
        </w:rPr>
        <w:t xml:space="preserve"> </w:t>
      </w:r>
      <w:r w:rsidR="00AA4832" w:rsidRPr="0093094C">
        <w:rPr>
          <w:rFonts w:ascii="Arial" w:hAnsi="Arial" w:cs="Arial"/>
          <w:sz w:val="22"/>
          <w:szCs w:val="22"/>
        </w:rPr>
        <w:t>were greater than 4 cm (</w:t>
      </w:r>
      <w:r w:rsidRPr="0093094C">
        <w:rPr>
          <w:rFonts w:ascii="Arial" w:hAnsi="Arial" w:cs="Arial"/>
          <w:sz w:val="22"/>
          <w:szCs w:val="22"/>
        </w:rPr>
        <w:t>pT3</w:t>
      </w:r>
      <w:r w:rsidR="00AA4832" w:rsidRPr="0093094C">
        <w:rPr>
          <w:rFonts w:ascii="Arial" w:hAnsi="Arial" w:cs="Arial"/>
          <w:sz w:val="22"/>
          <w:szCs w:val="22"/>
        </w:rPr>
        <w:t>)</w:t>
      </w:r>
      <w:r w:rsidR="00A94475">
        <w:rPr>
          <w:rFonts w:ascii="Arial" w:hAnsi="Arial" w:cs="Arial"/>
          <w:sz w:val="22"/>
          <w:szCs w:val="22"/>
        </w:rPr>
        <w:t>. Lymph node metastase</w:t>
      </w:r>
      <w:r w:rsidRPr="0093094C">
        <w:rPr>
          <w:rFonts w:ascii="Arial" w:hAnsi="Arial" w:cs="Arial"/>
          <w:sz w:val="22"/>
          <w:szCs w:val="22"/>
        </w:rPr>
        <w:t xml:space="preserve">s </w:t>
      </w:r>
      <w:r w:rsidR="00A94475">
        <w:rPr>
          <w:rFonts w:ascii="Arial" w:hAnsi="Arial" w:cs="Arial"/>
          <w:sz w:val="22"/>
          <w:szCs w:val="22"/>
        </w:rPr>
        <w:t>were</w:t>
      </w:r>
      <w:r w:rsidRPr="0093094C">
        <w:rPr>
          <w:rFonts w:ascii="Arial" w:hAnsi="Arial" w:cs="Arial"/>
          <w:sz w:val="22"/>
          <w:szCs w:val="22"/>
        </w:rPr>
        <w:t xml:space="preserve"> </w:t>
      </w:r>
      <w:r w:rsidR="003C5A19">
        <w:rPr>
          <w:rFonts w:ascii="Arial" w:hAnsi="Arial" w:cs="Arial"/>
          <w:sz w:val="22"/>
          <w:szCs w:val="22"/>
        </w:rPr>
        <w:t>not</w:t>
      </w:r>
      <w:r w:rsidR="003C5A19" w:rsidRPr="0093094C">
        <w:rPr>
          <w:rFonts w:ascii="Arial" w:hAnsi="Arial" w:cs="Arial"/>
          <w:sz w:val="22"/>
          <w:szCs w:val="22"/>
        </w:rPr>
        <w:t xml:space="preserve"> </w:t>
      </w:r>
      <w:r w:rsidR="00957E33">
        <w:rPr>
          <w:rFonts w:ascii="Arial" w:hAnsi="Arial" w:cs="Arial"/>
          <w:sz w:val="22"/>
          <w:szCs w:val="22"/>
        </w:rPr>
        <w:t>detected</w:t>
      </w:r>
      <w:r w:rsidRPr="0093094C">
        <w:rPr>
          <w:rFonts w:ascii="Arial" w:hAnsi="Arial" w:cs="Arial"/>
          <w:sz w:val="22"/>
          <w:szCs w:val="22"/>
        </w:rPr>
        <w:t xml:space="preserve"> in the 3 cases in which </w:t>
      </w:r>
      <w:proofErr w:type="spellStart"/>
      <w:r w:rsidRPr="0093094C">
        <w:rPr>
          <w:rFonts w:ascii="Arial" w:hAnsi="Arial" w:cs="Arial"/>
          <w:sz w:val="22"/>
          <w:szCs w:val="22"/>
        </w:rPr>
        <w:t>histopathological</w:t>
      </w:r>
      <w:proofErr w:type="spellEnd"/>
      <w:r w:rsidRPr="0093094C">
        <w:rPr>
          <w:rFonts w:ascii="Arial" w:hAnsi="Arial" w:cs="Arial"/>
          <w:sz w:val="22"/>
          <w:szCs w:val="22"/>
        </w:rPr>
        <w:t xml:space="preserve"> evaluation was requested.</w:t>
      </w:r>
      <w:r w:rsidR="00E6676A" w:rsidRPr="0093094C">
        <w:rPr>
          <w:rFonts w:ascii="Arial" w:hAnsi="Arial" w:cs="Arial"/>
          <w:sz w:val="22"/>
          <w:szCs w:val="22"/>
        </w:rPr>
        <w:t xml:space="preserve"> Globally, </w:t>
      </w:r>
      <w:proofErr w:type="spellStart"/>
      <w:r w:rsidR="00E6676A" w:rsidRPr="0093094C">
        <w:rPr>
          <w:rFonts w:ascii="Arial" w:hAnsi="Arial" w:cs="Arial"/>
          <w:sz w:val="22"/>
          <w:szCs w:val="22"/>
        </w:rPr>
        <w:t>perineural</w:t>
      </w:r>
      <w:proofErr w:type="spellEnd"/>
      <w:r w:rsidR="00E6676A" w:rsidRPr="0093094C">
        <w:rPr>
          <w:rFonts w:ascii="Arial" w:hAnsi="Arial" w:cs="Arial"/>
          <w:sz w:val="22"/>
          <w:szCs w:val="22"/>
        </w:rPr>
        <w:t xml:space="preserve"> invasion was </w:t>
      </w:r>
      <w:r w:rsidR="00957E33">
        <w:rPr>
          <w:rFonts w:ascii="Arial" w:hAnsi="Arial" w:cs="Arial"/>
          <w:sz w:val="22"/>
          <w:szCs w:val="22"/>
        </w:rPr>
        <w:t>detected</w:t>
      </w:r>
      <w:r w:rsidR="00E6676A" w:rsidRPr="0093094C">
        <w:rPr>
          <w:rFonts w:ascii="Arial" w:hAnsi="Arial" w:cs="Arial"/>
          <w:sz w:val="22"/>
          <w:szCs w:val="22"/>
        </w:rPr>
        <w:t xml:space="preserve"> in </w:t>
      </w:r>
      <w:r w:rsidR="00B748FE">
        <w:rPr>
          <w:rFonts w:ascii="Arial" w:hAnsi="Arial" w:cs="Arial"/>
          <w:sz w:val="22"/>
          <w:szCs w:val="22"/>
        </w:rPr>
        <w:t>33.3% (n=3)</w:t>
      </w:r>
      <w:r w:rsidR="001F05A9" w:rsidRPr="0093094C">
        <w:rPr>
          <w:rFonts w:ascii="Arial" w:hAnsi="Arial" w:cs="Arial"/>
          <w:sz w:val="22"/>
          <w:szCs w:val="22"/>
        </w:rPr>
        <w:t xml:space="preserve"> </w:t>
      </w:r>
      <w:r w:rsidR="00AA4832" w:rsidRPr="0093094C">
        <w:rPr>
          <w:rFonts w:ascii="Arial" w:hAnsi="Arial" w:cs="Arial"/>
          <w:sz w:val="22"/>
          <w:szCs w:val="22"/>
        </w:rPr>
        <w:t>and v</w:t>
      </w:r>
      <w:r w:rsidR="00E6676A" w:rsidRPr="0093094C">
        <w:rPr>
          <w:rFonts w:ascii="Arial" w:hAnsi="Arial" w:cs="Arial"/>
          <w:sz w:val="22"/>
          <w:szCs w:val="22"/>
        </w:rPr>
        <w:t xml:space="preserve">ascular invasion </w:t>
      </w:r>
      <w:r w:rsidR="00AA4832" w:rsidRPr="0093094C">
        <w:rPr>
          <w:rFonts w:ascii="Arial" w:hAnsi="Arial" w:cs="Arial"/>
          <w:sz w:val="22"/>
          <w:szCs w:val="22"/>
        </w:rPr>
        <w:t>in</w:t>
      </w:r>
      <w:r w:rsidR="00E6676A" w:rsidRPr="0093094C">
        <w:rPr>
          <w:rFonts w:ascii="Arial" w:hAnsi="Arial" w:cs="Arial"/>
          <w:sz w:val="22"/>
          <w:szCs w:val="22"/>
        </w:rPr>
        <w:t xml:space="preserve"> </w:t>
      </w:r>
      <w:r w:rsidR="00B748FE">
        <w:rPr>
          <w:rFonts w:ascii="Arial" w:hAnsi="Arial" w:cs="Arial"/>
          <w:sz w:val="22"/>
          <w:szCs w:val="22"/>
        </w:rPr>
        <w:t>22.2% (n=2)</w:t>
      </w:r>
      <w:r w:rsidR="00E6676A" w:rsidRPr="0093094C">
        <w:rPr>
          <w:rFonts w:ascii="Arial" w:hAnsi="Arial" w:cs="Arial"/>
          <w:sz w:val="22"/>
          <w:szCs w:val="22"/>
        </w:rPr>
        <w:t>.</w:t>
      </w:r>
    </w:p>
    <w:p w:rsidR="00A57BF8" w:rsidRDefault="00A57BF8" w:rsidP="00BF1E4D">
      <w:pPr>
        <w:pStyle w:val="Default"/>
        <w:spacing w:line="360" w:lineRule="auto"/>
        <w:jc w:val="both"/>
        <w:rPr>
          <w:rFonts w:ascii="Arial" w:hAnsi="Arial" w:cs="Arial"/>
          <w:sz w:val="22"/>
          <w:szCs w:val="22"/>
        </w:rPr>
      </w:pPr>
      <w:r>
        <w:rPr>
          <w:rFonts w:ascii="Arial" w:hAnsi="Arial" w:cs="Arial"/>
          <w:sz w:val="22"/>
          <w:szCs w:val="22"/>
        </w:rPr>
        <w:t xml:space="preserve">Distant </w:t>
      </w:r>
      <w:r w:rsidR="00265BD5">
        <w:rPr>
          <w:rFonts w:ascii="Arial" w:hAnsi="Arial" w:cs="Arial"/>
          <w:sz w:val="22"/>
          <w:szCs w:val="22"/>
        </w:rPr>
        <w:t>metastases were</w:t>
      </w:r>
      <w:r w:rsidR="003C5A19">
        <w:rPr>
          <w:rFonts w:ascii="Arial" w:hAnsi="Arial" w:cs="Arial"/>
          <w:sz w:val="22"/>
          <w:szCs w:val="22"/>
        </w:rPr>
        <w:t xml:space="preserve"> </w:t>
      </w:r>
      <w:r w:rsidR="001F05A9">
        <w:rPr>
          <w:rFonts w:ascii="Arial" w:hAnsi="Arial" w:cs="Arial"/>
          <w:sz w:val="22"/>
          <w:szCs w:val="22"/>
        </w:rPr>
        <w:t xml:space="preserve">not </w:t>
      </w:r>
      <w:r>
        <w:rPr>
          <w:rFonts w:ascii="Arial" w:hAnsi="Arial" w:cs="Arial"/>
          <w:sz w:val="22"/>
          <w:szCs w:val="22"/>
        </w:rPr>
        <w:t>detec</w:t>
      </w:r>
      <w:r w:rsidR="00803E76">
        <w:rPr>
          <w:rFonts w:ascii="Arial" w:hAnsi="Arial" w:cs="Arial"/>
          <w:sz w:val="22"/>
          <w:szCs w:val="22"/>
        </w:rPr>
        <w:t>t</w:t>
      </w:r>
      <w:r>
        <w:rPr>
          <w:rFonts w:ascii="Arial" w:hAnsi="Arial" w:cs="Arial"/>
          <w:sz w:val="22"/>
          <w:szCs w:val="22"/>
        </w:rPr>
        <w:t xml:space="preserve">ed at the time of surgical treatment in any </w:t>
      </w:r>
      <w:r w:rsidRPr="00957E33">
        <w:rPr>
          <w:rFonts w:ascii="Arial" w:hAnsi="Arial" w:cs="Arial"/>
          <w:i/>
          <w:sz w:val="22"/>
          <w:szCs w:val="22"/>
        </w:rPr>
        <w:t>minor</w:t>
      </w:r>
      <w:r>
        <w:rPr>
          <w:rFonts w:ascii="Arial" w:hAnsi="Arial" w:cs="Arial"/>
          <w:sz w:val="22"/>
          <w:szCs w:val="22"/>
        </w:rPr>
        <w:t xml:space="preserve"> or </w:t>
      </w:r>
      <w:r w:rsidRPr="00957E33">
        <w:rPr>
          <w:rFonts w:ascii="Arial" w:hAnsi="Arial" w:cs="Arial"/>
          <w:i/>
          <w:sz w:val="22"/>
          <w:szCs w:val="22"/>
        </w:rPr>
        <w:t>major</w:t>
      </w:r>
      <w:r>
        <w:rPr>
          <w:rFonts w:ascii="Arial" w:hAnsi="Arial" w:cs="Arial"/>
          <w:sz w:val="22"/>
          <w:szCs w:val="22"/>
        </w:rPr>
        <w:t xml:space="preserve"> </w:t>
      </w:r>
      <w:r w:rsidR="001F05A9">
        <w:rPr>
          <w:rFonts w:ascii="Arial" w:hAnsi="Arial" w:cs="Arial"/>
          <w:sz w:val="22"/>
          <w:szCs w:val="22"/>
        </w:rPr>
        <w:t>SGT</w:t>
      </w:r>
      <w:r>
        <w:rPr>
          <w:rFonts w:ascii="Arial" w:hAnsi="Arial" w:cs="Arial"/>
          <w:sz w:val="22"/>
          <w:szCs w:val="22"/>
        </w:rPr>
        <w:t>.</w:t>
      </w:r>
    </w:p>
    <w:p w:rsidR="00A57BF8" w:rsidRDefault="001F05A9" w:rsidP="00BF1E4D">
      <w:pPr>
        <w:pStyle w:val="Default"/>
        <w:spacing w:line="360" w:lineRule="auto"/>
        <w:jc w:val="both"/>
        <w:rPr>
          <w:rFonts w:ascii="Arial" w:hAnsi="Arial" w:cs="Arial"/>
          <w:sz w:val="22"/>
          <w:szCs w:val="22"/>
        </w:rPr>
      </w:pPr>
      <w:r>
        <w:rPr>
          <w:rFonts w:ascii="Arial" w:hAnsi="Arial" w:cs="Arial"/>
          <w:sz w:val="22"/>
          <w:szCs w:val="22"/>
        </w:rPr>
        <w:t>Clinical staging at diagnosis displayed</w:t>
      </w:r>
      <w:r w:rsidR="00B61B3F">
        <w:rPr>
          <w:rFonts w:ascii="Arial" w:hAnsi="Arial" w:cs="Arial"/>
          <w:sz w:val="22"/>
          <w:szCs w:val="22"/>
        </w:rPr>
        <w:t xml:space="preserve"> </w:t>
      </w:r>
      <w:r w:rsidR="003C5A19" w:rsidRPr="003C5A19">
        <w:rPr>
          <w:rFonts w:ascii="Arial" w:hAnsi="Arial" w:cs="Arial"/>
          <w:sz w:val="22"/>
          <w:szCs w:val="22"/>
        </w:rPr>
        <w:t>32.6%</w:t>
      </w:r>
      <w:r w:rsidR="00B61B3F">
        <w:rPr>
          <w:rFonts w:ascii="Arial" w:hAnsi="Arial" w:cs="Arial"/>
          <w:sz w:val="22"/>
          <w:szCs w:val="22"/>
        </w:rPr>
        <w:t xml:space="preserve"> (n=14</w:t>
      </w:r>
      <w:r w:rsidR="003C5A19" w:rsidRPr="003C5A19">
        <w:rPr>
          <w:rFonts w:ascii="Arial" w:hAnsi="Arial" w:cs="Arial"/>
          <w:sz w:val="22"/>
          <w:szCs w:val="22"/>
        </w:rPr>
        <w:t xml:space="preserve">) </w:t>
      </w:r>
      <w:r w:rsidR="00B61B3F">
        <w:rPr>
          <w:rFonts w:ascii="Arial" w:hAnsi="Arial" w:cs="Arial"/>
          <w:sz w:val="22"/>
          <w:szCs w:val="22"/>
        </w:rPr>
        <w:t xml:space="preserve">cases stage I, </w:t>
      </w:r>
      <w:r w:rsidR="00A57BF8">
        <w:rPr>
          <w:rFonts w:ascii="Arial" w:hAnsi="Arial" w:cs="Arial"/>
          <w:sz w:val="22"/>
          <w:szCs w:val="22"/>
        </w:rPr>
        <w:t>11</w:t>
      </w:r>
      <w:r w:rsidR="003C5A19">
        <w:rPr>
          <w:rFonts w:ascii="Arial" w:hAnsi="Arial" w:cs="Arial"/>
          <w:sz w:val="22"/>
          <w:szCs w:val="22"/>
        </w:rPr>
        <w:t>.</w:t>
      </w:r>
      <w:r w:rsidR="00B61B3F">
        <w:rPr>
          <w:rFonts w:ascii="Arial" w:hAnsi="Arial" w:cs="Arial"/>
          <w:sz w:val="22"/>
          <w:szCs w:val="22"/>
        </w:rPr>
        <w:t xml:space="preserve">6% (n=5) stage II, </w:t>
      </w:r>
      <w:r w:rsidR="00A57BF8">
        <w:rPr>
          <w:rFonts w:ascii="Arial" w:hAnsi="Arial" w:cs="Arial"/>
          <w:sz w:val="22"/>
          <w:szCs w:val="22"/>
        </w:rPr>
        <w:t>41</w:t>
      </w:r>
      <w:r w:rsidR="007129B4">
        <w:rPr>
          <w:rFonts w:ascii="Arial" w:hAnsi="Arial" w:cs="Arial"/>
          <w:sz w:val="22"/>
          <w:szCs w:val="22"/>
        </w:rPr>
        <w:t>.</w:t>
      </w:r>
      <w:r w:rsidR="00B61B3F">
        <w:rPr>
          <w:rFonts w:ascii="Arial" w:hAnsi="Arial" w:cs="Arial"/>
          <w:sz w:val="22"/>
          <w:szCs w:val="22"/>
        </w:rPr>
        <w:t>9% (n=18)</w:t>
      </w:r>
      <w:r w:rsidR="00A57BF8">
        <w:rPr>
          <w:rFonts w:ascii="Arial" w:hAnsi="Arial" w:cs="Arial"/>
          <w:sz w:val="22"/>
          <w:szCs w:val="22"/>
        </w:rPr>
        <w:t xml:space="preserve"> stage III</w:t>
      </w:r>
      <w:r w:rsidR="003C5A19">
        <w:rPr>
          <w:rFonts w:ascii="Arial" w:hAnsi="Arial" w:cs="Arial"/>
          <w:sz w:val="22"/>
          <w:szCs w:val="22"/>
        </w:rPr>
        <w:t>,</w:t>
      </w:r>
      <w:r w:rsidR="00B61B3F">
        <w:rPr>
          <w:rFonts w:ascii="Arial" w:hAnsi="Arial" w:cs="Arial"/>
          <w:sz w:val="22"/>
          <w:szCs w:val="22"/>
        </w:rPr>
        <w:t xml:space="preserve"> and </w:t>
      </w:r>
      <w:r w:rsidR="00A57BF8">
        <w:rPr>
          <w:rFonts w:ascii="Arial" w:hAnsi="Arial" w:cs="Arial"/>
          <w:sz w:val="22"/>
          <w:szCs w:val="22"/>
        </w:rPr>
        <w:t>1</w:t>
      </w:r>
      <w:r w:rsidR="00876856">
        <w:rPr>
          <w:rFonts w:ascii="Arial" w:hAnsi="Arial" w:cs="Arial"/>
          <w:sz w:val="22"/>
          <w:szCs w:val="22"/>
        </w:rPr>
        <w:t>3.9</w:t>
      </w:r>
      <w:r w:rsidR="00B61B3F">
        <w:rPr>
          <w:rFonts w:ascii="Arial" w:hAnsi="Arial" w:cs="Arial"/>
          <w:sz w:val="22"/>
          <w:szCs w:val="22"/>
        </w:rPr>
        <w:t>% (n=6)</w:t>
      </w:r>
      <w:r w:rsidR="00A57BF8">
        <w:rPr>
          <w:rFonts w:ascii="Arial" w:hAnsi="Arial" w:cs="Arial"/>
          <w:sz w:val="22"/>
          <w:szCs w:val="22"/>
        </w:rPr>
        <w:t xml:space="preserve"> stage IV. </w:t>
      </w:r>
    </w:p>
    <w:p w:rsidR="00A57BF8" w:rsidRDefault="007415C7" w:rsidP="00BF1E4D">
      <w:pPr>
        <w:pStyle w:val="Default"/>
        <w:spacing w:line="360" w:lineRule="auto"/>
        <w:jc w:val="both"/>
        <w:rPr>
          <w:rFonts w:ascii="Arial" w:hAnsi="Arial" w:cs="Arial"/>
          <w:sz w:val="22"/>
          <w:szCs w:val="22"/>
        </w:rPr>
      </w:pPr>
      <w:proofErr w:type="spellStart"/>
      <w:r>
        <w:rPr>
          <w:rFonts w:ascii="Arial" w:hAnsi="Arial" w:cs="Arial"/>
          <w:sz w:val="22"/>
          <w:szCs w:val="22"/>
        </w:rPr>
        <w:t>Neoadjuvant</w:t>
      </w:r>
      <w:proofErr w:type="spellEnd"/>
      <w:r>
        <w:rPr>
          <w:rFonts w:ascii="Arial" w:hAnsi="Arial" w:cs="Arial"/>
          <w:sz w:val="22"/>
          <w:szCs w:val="22"/>
        </w:rPr>
        <w:t xml:space="preserve"> therapy was not performed in any case. </w:t>
      </w:r>
      <w:r w:rsidR="00A57BF8">
        <w:rPr>
          <w:rFonts w:ascii="Arial" w:hAnsi="Arial" w:cs="Arial"/>
          <w:sz w:val="22"/>
          <w:szCs w:val="22"/>
        </w:rPr>
        <w:t xml:space="preserve">Adjuvant </w:t>
      </w:r>
      <w:r>
        <w:rPr>
          <w:rFonts w:ascii="Arial" w:hAnsi="Arial" w:cs="Arial"/>
          <w:sz w:val="22"/>
          <w:szCs w:val="22"/>
        </w:rPr>
        <w:t>radiothe</w:t>
      </w:r>
      <w:r w:rsidR="00A57BF8">
        <w:rPr>
          <w:rFonts w:ascii="Arial" w:hAnsi="Arial" w:cs="Arial"/>
          <w:sz w:val="22"/>
          <w:szCs w:val="22"/>
        </w:rPr>
        <w:t xml:space="preserve">rapy was </w:t>
      </w:r>
      <w:r w:rsidR="001F05A9">
        <w:rPr>
          <w:rFonts w:ascii="Arial" w:hAnsi="Arial" w:cs="Arial"/>
          <w:sz w:val="22"/>
          <w:szCs w:val="22"/>
        </w:rPr>
        <w:t xml:space="preserve">performed </w:t>
      </w:r>
      <w:r w:rsidR="00A57BF8">
        <w:rPr>
          <w:rFonts w:ascii="Arial" w:hAnsi="Arial" w:cs="Arial"/>
          <w:sz w:val="22"/>
          <w:szCs w:val="22"/>
        </w:rPr>
        <w:t>in 27</w:t>
      </w:r>
      <w:r w:rsidR="007129B4">
        <w:rPr>
          <w:rFonts w:ascii="Arial" w:hAnsi="Arial" w:cs="Arial"/>
          <w:sz w:val="22"/>
          <w:szCs w:val="22"/>
        </w:rPr>
        <w:t xml:space="preserve"> </w:t>
      </w:r>
      <w:r w:rsidR="007129B4" w:rsidRPr="007129B4">
        <w:rPr>
          <w:rFonts w:ascii="Arial" w:hAnsi="Arial" w:cs="Arial"/>
          <w:sz w:val="22"/>
          <w:szCs w:val="22"/>
        </w:rPr>
        <w:t>(62.8%)</w:t>
      </w:r>
      <w:r w:rsidR="00A57BF8">
        <w:rPr>
          <w:rFonts w:ascii="Arial" w:hAnsi="Arial" w:cs="Arial"/>
          <w:sz w:val="22"/>
          <w:szCs w:val="22"/>
        </w:rPr>
        <w:t xml:space="preserve"> cases</w:t>
      </w:r>
      <w:r w:rsidR="001F05A9">
        <w:rPr>
          <w:rFonts w:ascii="Arial" w:hAnsi="Arial" w:cs="Arial"/>
          <w:sz w:val="22"/>
          <w:szCs w:val="22"/>
        </w:rPr>
        <w:t>,</w:t>
      </w:r>
      <w:r>
        <w:rPr>
          <w:rFonts w:ascii="Arial" w:hAnsi="Arial" w:cs="Arial"/>
          <w:sz w:val="22"/>
          <w:szCs w:val="22"/>
        </w:rPr>
        <w:t xml:space="preserve"> and in two of these cases it was combined with chemotherapy.</w:t>
      </w:r>
    </w:p>
    <w:p w:rsidR="00B84304" w:rsidRPr="0093094C" w:rsidRDefault="00B84304" w:rsidP="00BF1E4D">
      <w:pPr>
        <w:pStyle w:val="Default"/>
        <w:spacing w:line="360" w:lineRule="auto"/>
        <w:jc w:val="both"/>
        <w:rPr>
          <w:rFonts w:ascii="Arial" w:hAnsi="Arial" w:cs="Arial"/>
          <w:sz w:val="22"/>
          <w:szCs w:val="22"/>
        </w:rPr>
      </w:pPr>
      <w:r w:rsidRPr="0093094C">
        <w:rPr>
          <w:rFonts w:ascii="Arial" w:hAnsi="Arial" w:cs="Arial"/>
          <w:sz w:val="22"/>
          <w:szCs w:val="22"/>
        </w:rPr>
        <w:t xml:space="preserve">Globally, the 5 and 10 year </w:t>
      </w:r>
      <w:r w:rsidR="004964B0">
        <w:rPr>
          <w:rFonts w:ascii="Arial" w:hAnsi="Arial" w:cs="Arial"/>
          <w:sz w:val="22"/>
          <w:szCs w:val="22"/>
        </w:rPr>
        <w:t>disease-</w:t>
      </w:r>
      <w:r w:rsidR="00876856">
        <w:rPr>
          <w:rFonts w:ascii="Arial" w:hAnsi="Arial" w:cs="Arial"/>
          <w:sz w:val="22"/>
          <w:szCs w:val="22"/>
        </w:rPr>
        <w:t xml:space="preserve">specific </w:t>
      </w:r>
      <w:r w:rsidRPr="0093094C">
        <w:rPr>
          <w:rFonts w:ascii="Arial" w:hAnsi="Arial" w:cs="Arial"/>
          <w:sz w:val="22"/>
          <w:szCs w:val="22"/>
        </w:rPr>
        <w:t>survival rate of primary ma</w:t>
      </w:r>
      <w:r w:rsidR="00D36BA6" w:rsidRPr="0093094C">
        <w:rPr>
          <w:rFonts w:ascii="Arial" w:hAnsi="Arial" w:cs="Arial"/>
          <w:sz w:val="22"/>
          <w:szCs w:val="22"/>
        </w:rPr>
        <w:t>lignant SGT was</w:t>
      </w:r>
      <w:r w:rsidR="004A301A" w:rsidRPr="0093094C">
        <w:rPr>
          <w:rFonts w:ascii="Arial" w:hAnsi="Arial" w:cs="Arial"/>
          <w:sz w:val="22"/>
          <w:szCs w:val="22"/>
        </w:rPr>
        <w:t xml:space="preserve"> </w:t>
      </w:r>
      <w:r w:rsidR="00876856">
        <w:rPr>
          <w:rFonts w:ascii="Arial" w:hAnsi="Arial" w:cs="Arial"/>
          <w:sz w:val="22"/>
          <w:szCs w:val="22"/>
        </w:rPr>
        <w:t>76.9</w:t>
      </w:r>
      <w:r w:rsidR="007129B4">
        <w:rPr>
          <w:rFonts w:ascii="Arial" w:hAnsi="Arial" w:cs="Arial"/>
          <w:sz w:val="22"/>
          <w:szCs w:val="22"/>
        </w:rPr>
        <w:t>%</w:t>
      </w:r>
      <w:r w:rsidR="004A301A" w:rsidRPr="0093094C">
        <w:rPr>
          <w:rFonts w:ascii="Arial" w:hAnsi="Arial" w:cs="Arial"/>
          <w:sz w:val="22"/>
          <w:szCs w:val="22"/>
        </w:rPr>
        <w:t xml:space="preserve"> and </w:t>
      </w:r>
      <w:r w:rsidR="00876856">
        <w:rPr>
          <w:rFonts w:ascii="Arial" w:hAnsi="Arial" w:cs="Arial"/>
          <w:sz w:val="22"/>
          <w:szCs w:val="22"/>
        </w:rPr>
        <w:t>57.9</w:t>
      </w:r>
      <w:r w:rsidR="004A301A" w:rsidRPr="0093094C">
        <w:rPr>
          <w:rFonts w:ascii="Arial" w:hAnsi="Arial" w:cs="Arial"/>
          <w:sz w:val="22"/>
          <w:szCs w:val="22"/>
        </w:rPr>
        <w:t>%, respectivel</w:t>
      </w:r>
      <w:r w:rsidR="001A6BB0" w:rsidRPr="0093094C">
        <w:rPr>
          <w:rFonts w:ascii="Arial" w:hAnsi="Arial" w:cs="Arial"/>
          <w:sz w:val="22"/>
          <w:szCs w:val="22"/>
        </w:rPr>
        <w:t>y (fig. 4</w:t>
      </w:r>
      <w:r w:rsidR="00D36BA6" w:rsidRPr="0093094C">
        <w:rPr>
          <w:rFonts w:ascii="Arial" w:hAnsi="Arial" w:cs="Arial"/>
          <w:sz w:val="22"/>
          <w:szCs w:val="22"/>
        </w:rPr>
        <w:t>)</w:t>
      </w:r>
      <w:r w:rsidR="00A41A60" w:rsidRPr="00A41A60">
        <w:rPr>
          <w:b/>
          <w:color w:val="C00000"/>
        </w:rPr>
        <w:t xml:space="preserve"> (</w:t>
      </w:r>
      <w:r w:rsidR="00A41A60">
        <w:rPr>
          <w:b/>
          <w:color w:val="C00000"/>
        </w:rPr>
        <w:t>Insert</w:t>
      </w:r>
      <w:r w:rsidR="00A41A60" w:rsidRPr="00A41A60">
        <w:rPr>
          <w:b/>
          <w:color w:val="C00000"/>
        </w:rPr>
        <w:t xml:space="preserve"> </w:t>
      </w:r>
      <w:r w:rsidR="00B61B3F">
        <w:rPr>
          <w:b/>
          <w:color w:val="C00000"/>
        </w:rPr>
        <w:t>fi</w:t>
      </w:r>
      <w:r w:rsidR="00A41A60">
        <w:rPr>
          <w:b/>
          <w:color w:val="C00000"/>
        </w:rPr>
        <w:t>gure 4</w:t>
      </w:r>
      <w:r w:rsidR="00A41A60" w:rsidRPr="00A41A60">
        <w:rPr>
          <w:b/>
          <w:color w:val="C00000"/>
        </w:rPr>
        <w:t xml:space="preserve"> </w:t>
      </w:r>
      <w:r w:rsidR="00A41A60">
        <w:rPr>
          <w:b/>
          <w:color w:val="C00000"/>
        </w:rPr>
        <w:t>here</w:t>
      </w:r>
      <w:r w:rsidR="00A41A60" w:rsidRPr="00A41A60">
        <w:rPr>
          <w:b/>
          <w:color w:val="C00000"/>
        </w:rPr>
        <w:t>)</w:t>
      </w:r>
      <w:r w:rsidR="00D36BA6" w:rsidRPr="0093094C">
        <w:rPr>
          <w:rFonts w:ascii="Arial" w:hAnsi="Arial" w:cs="Arial"/>
          <w:sz w:val="22"/>
          <w:szCs w:val="22"/>
        </w:rPr>
        <w:t xml:space="preserve">. </w:t>
      </w:r>
      <w:r w:rsidR="001F05A9">
        <w:rPr>
          <w:rFonts w:ascii="Arial" w:hAnsi="Arial" w:cs="Arial"/>
          <w:sz w:val="22"/>
          <w:szCs w:val="22"/>
        </w:rPr>
        <w:t>The</w:t>
      </w:r>
      <w:r w:rsidR="00D36BA6" w:rsidRPr="0093094C">
        <w:rPr>
          <w:rFonts w:ascii="Arial" w:hAnsi="Arial" w:cs="Arial"/>
          <w:sz w:val="22"/>
          <w:szCs w:val="22"/>
        </w:rPr>
        <w:t xml:space="preserve"> 5 and 10 year disease</w:t>
      </w:r>
      <w:r w:rsidR="001A6BB0" w:rsidRPr="0093094C">
        <w:rPr>
          <w:rFonts w:ascii="Arial" w:hAnsi="Arial" w:cs="Arial"/>
          <w:sz w:val="22"/>
          <w:szCs w:val="22"/>
        </w:rPr>
        <w:t>-</w:t>
      </w:r>
      <w:r w:rsidR="00876856">
        <w:rPr>
          <w:rFonts w:ascii="Arial" w:hAnsi="Arial" w:cs="Arial"/>
          <w:sz w:val="22"/>
          <w:szCs w:val="22"/>
        </w:rPr>
        <w:t>f</w:t>
      </w:r>
      <w:r w:rsidR="001A6BB0" w:rsidRPr="0093094C">
        <w:rPr>
          <w:rFonts w:ascii="Arial" w:hAnsi="Arial" w:cs="Arial"/>
          <w:sz w:val="22"/>
          <w:szCs w:val="22"/>
        </w:rPr>
        <w:t>ree</w:t>
      </w:r>
      <w:r w:rsidR="00D36BA6" w:rsidRPr="0093094C">
        <w:rPr>
          <w:rFonts w:ascii="Arial" w:hAnsi="Arial" w:cs="Arial"/>
          <w:sz w:val="22"/>
          <w:szCs w:val="22"/>
        </w:rPr>
        <w:t xml:space="preserve"> survival rate</w:t>
      </w:r>
      <w:r w:rsidR="004A301A" w:rsidRPr="0093094C">
        <w:rPr>
          <w:rFonts w:ascii="Arial" w:hAnsi="Arial" w:cs="Arial"/>
          <w:sz w:val="22"/>
          <w:szCs w:val="22"/>
        </w:rPr>
        <w:t xml:space="preserve"> was 63</w:t>
      </w:r>
      <w:r w:rsidR="00A94475">
        <w:rPr>
          <w:rFonts w:ascii="Arial" w:hAnsi="Arial" w:cs="Arial"/>
          <w:sz w:val="22"/>
          <w:szCs w:val="22"/>
        </w:rPr>
        <w:t>.</w:t>
      </w:r>
      <w:r w:rsidR="00876856">
        <w:rPr>
          <w:rFonts w:ascii="Arial" w:hAnsi="Arial" w:cs="Arial"/>
          <w:sz w:val="22"/>
          <w:szCs w:val="22"/>
        </w:rPr>
        <w:t>4</w:t>
      </w:r>
      <w:r w:rsidR="007129B4">
        <w:rPr>
          <w:rFonts w:ascii="Arial" w:hAnsi="Arial" w:cs="Arial"/>
          <w:sz w:val="22"/>
          <w:szCs w:val="22"/>
        </w:rPr>
        <w:t>%</w:t>
      </w:r>
      <w:r w:rsidR="004A301A" w:rsidRPr="0093094C">
        <w:rPr>
          <w:rFonts w:ascii="Arial" w:hAnsi="Arial" w:cs="Arial"/>
          <w:sz w:val="22"/>
          <w:szCs w:val="22"/>
        </w:rPr>
        <w:t xml:space="preserve"> and 50</w:t>
      </w:r>
      <w:r w:rsidR="00A94475">
        <w:rPr>
          <w:rFonts w:ascii="Arial" w:hAnsi="Arial" w:cs="Arial"/>
          <w:sz w:val="22"/>
          <w:szCs w:val="22"/>
        </w:rPr>
        <w:t>.</w:t>
      </w:r>
      <w:r w:rsidR="00876856">
        <w:rPr>
          <w:rFonts w:ascii="Arial" w:hAnsi="Arial" w:cs="Arial"/>
          <w:sz w:val="22"/>
          <w:szCs w:val="22"/>
        </w:rPr>
        <w:t>1</w:t>
      </w:r>
      <w:r w:rsidR="004A301A" w:rsidRPr="0093094C">
        <w:rPr>
          <w:rFonts w:ascii="Arial" w:hAnsi="Arial" w:cs="Arial"/>
          <w:sz w:val="22"/>
          <w:szCs w:val="22"/>
        </w:rPr>
        <w:t xml:space="preserve"> %</w:t>
      </w:r>
      <w:r w:rsidR="006848AA">
        <w:rPr>
          <w:rFonts w:ascii="Arial" w:hAnsi="Arial" w:cs="Arial"/>
          <w:sz w:val="22"/>
          <w:szCs w:val="22"/>
        </w:rPr>
        <w:t>,</w:t>
      </w:r>
      <w:r w:rsidR="004A301A" w:rsidRPr="0093094C">
        <w:rPr>
          <w:rFonts w:ascii="Arial" w:hAnsi="Arial" w:cs="Arial"/>
          <w:sz w:val="22"/>
          <w:szCs w:val="22"/>
        </w:rPr>
        <w:t xml:space="preserve"> respectivel</w:t>
      </w:r>
      <w:r w:rsidR="001A6BB0" w:rsidRPr="0093094C">
        <w:rPr>
          <w:rFonts w:ascii="Arial" w:hAnsi="Arial" w:cs="Arial"/>
          <w:sz w:val="22"/>
          <w:szCs w:val="22"/>
        </w:rPr>
        <w:t xml:space="preserve">y (fig. </w:t>
      </w:r>
      <w:r w:rsidR="00F74F4A">
        <w:rPr>
          <w:rFonts w:ascii="Arial" w:hAnsi="Arial" w:cs="Arial"/>
          <w:sz w:val="22"/>
          <w:szCs w:val="22"/>
        </w:rPr>
        <w:t>4</w:t>
      </w:r>
      <w:r w:rsidR="00D36BA6" w:rsidRPr="0093094C">
        <w:rPr>
          <w:rFonts w:ascii="Arial" w:hAnsi="Arial" w:cs="Arial"/>
          <w:sz w:val="22"/>
          <w:szCs w:val="22"/>
        </w:rPr>
        <w:t xml:space="preserve">). </w:t>
      </w:r>
      <w:r w:rsidR="00A94475">
        <w:rPr>
          <w:rFonts w:ascii="Arial" w:hAnsi="Arial" w:cs="Arial"/>
          <w:sz w:val="22"/>
          <w:szCs w:val="22"/>
        </w:rPr>
        <w:t>At</w:t>
      </w:r>
      <w:r w:rsidR="00D36BA6" w:rsidRPr="0093094C">
        <w:rPr>
          <w:rFonts w:ascii="Arial" w:hAnsi="Arial" w:cs="Arial"/>
          <w:sz w:val="22"/>
          <w:szCs w:val="22"/>
        </w:rPr>
        <w:t xml:space="preserve"> the end of the </w:t>
      </w:r>
      <w:r w:rsidR="00FF5C9D" w:rsidRPr="0093094C">
        <w:rPr>
          <w:rFonts w:ascii="Arial" w:hAnsi="Arial" w:cs="Arial"/>
          <w:sz w:val="22"/>
          <w:szCs w:val="22"/>
        </w:rPr>
        <w:t>follow-up period, 30</w:t>
      </w:r>
      <w:r w:rsidR="00876856">
        <w:rPr>
          <w:rFonts w:ascii="Arial" w:hAnsi="Arial" w:cs="Arial"/>
          <w:sz w:val="22"/>
          <w:szCs w:val="22"/>
        </w:rPr>
        <w:t>.2</w:t>
      </w:r>
      <w:r w:rsidR="00FF5C9D" w:rsidRPr="0093094C">
        <w:rPr>
          <w:rFonts w:ascii="Arial" w:hAnsi="Arial" w:cs="Arial"/>
          <w:sz w:val="22"/>
          <w:szCs w:val="22"/>
        </w:rPr>
        <w:t>% (n=13) had</w:t>
      </w:r>
      <w:r w:rsidR="00D36BA6" w:rsidRPr="0093094C">
        <w:rPr>
          <w:rFonts w:ascii="Arial" w:hAnsi="Arial" w:cs="Arial"/>
          <w:sz w:val="22"/>
          <w:szCs w:val="22"/>
        </w:rPr>
        <w:t xml:space="preserve"> local recurrence and 25</w:t>
      </w:r>
      <w:r w:rsidR="001F05A9">
        <w:rPr>
          <w:rFonts w:ascii="Arial" w:hAnsi="Arial" w:cs="Arial"/>
          <w:sz w:val="22"/>
          <w:szCs w:val="22"/>
        </w:rPr>
        <w:t>.</w:t>
      </w:r>
      <w:r w:rsidR="00D36BA6" w:rsidRPr="0093094C">
        <w:rPr>
          <w:rFonts w:ascii="Arial" w:hAnsi="Arial" w:cs="Arial"/>
          <w:sz w:val="22"/>
          <w:szCs w:val="22"/>
        </w:rPr>
        <w:t xml:space="preserve">6 % (n=11) </w:t>
      </w:r>
      <w:r w:rsidR="00FF5C9D" w:rsidRPr="00C46640">
        <w:rPr>
          <w:rFonts w:ascii="Arial" w:hAnsi="Arial" w:cs="Arial"/>
          <w:sz w:val="22"/>
          <w:szCs w:val="22"/>
        </w:rPr>
        <w:t>developed</w:t>
      </w:r>
      <w:r w:rsidR="00D36BA6" w:rsidRPr="00C46640">
        <w:rPr>
          <w:rFonts w:ascii="Arial" w:hAnsi="Arial" w:cs="Arial"/>
          <w:sz w:val="22"/>
          <w:szCs w:val="22"/>
        </w:rPr>
        <w:t xml:space="preserve"> </w:t>
      </w:r>
      <w:r w:rsidR="00FF5C9D" w:rsidRPr="00C46640">
        <w:rPr>
          <w:rFonts w:ascii="Arial" w:hAnsi="Arial" w:cs="Arial"/>
          <w:sz w:val="22"/>
          <w:szCs w:val="22"/>
        </w:rPr>
        <w:lastRenderedPageBreak/>
        <w:t>metastases</w:t>
      </w:r>
      <w:r w:rsidR="00D36BA6" w:rsidRPr="00C46640">
        <w:rPr>
          <w:rFonts w:ascii="Arial" w:hAnsi="Arial" w:cs="Arial"/>
          <w:sz w:val="22"/>
          <w:szCs w:val="22"/>
        </w:rPr>
        <w:t xml:space="preserve">. </w:t>
      </w:r>
      <w:r w:rsidR="00C46640" w:rsidRPr="00C46640">
        <w:rPr>
          <w:rFonts w:ascii="Arial" w:hAnsi="Arial" w:cs="Arial"/>
          <w:sz w:val="22"/>
          <w:szCs w:val="22"/>
          <w:lang w:eastAsia="pt-PT"/>
        </w:rPr>
        <w:t xml:space="preserve">The mean disease-free interval was 26 </w:t>
      </w:r>
      <w:r w:rsidR="00B748FE" w:rsidRPr="008C223C">
        <w:rPr>
          <w:rFonts w:ascii="Arial" w:hAnsi="Arial" w:cs="Arial"/>
          <w:color w:val="31849B"/>
          <w:sz w:val="22"/>
          <w:szCs w:val="22"/>
          <w:lang w:eastAsia="pt-PT"/>
        </w:rPr>
        <w:t>(±37.5)</w:t>
      </w:r>
      <w:r w:rsidR="00B748FE">
        <w:rPr>
          <w:rFonts w:ascii="Arial" w:hAnsi="Arial" w:cs="Arial"/>
          <w:sz w:val="22"/>
          <w:szCs w:val="22"/>
          <w:lang w:eastAsia="pt-PT"/>
        </w:rPr>
        <w:t xml:space="preserve"> </w:t>
      </w:r>
      <w:r w:rsidR="00C46640" w:rsidRPr="00C46640">
        <w:rPr>
          <w:rFonts w:ascii="Arial" w:hAnsi="Arial" w:cs="Arial"/>
          <w:sz w:val="22"/>
          <w:szCs w:val="22"/>
          <w:lang w:eastAsia="pt-PT"/>
        </w:rPr>
        <w:t xml:space="preserve">months (range: 1-133). The mean metastatic-free interval was </w:t>
      </w:r>
      <w:r w:rsidR="00B748FE">
        <w:rPr>
          <w:rFonts w:ascii="Arial" w:hAnsi="Arial" w:cs="Arial"/>
          <w:sz w:val="22"/>
          <w:szCs w:val="22"/>
          <w:lang w:eastAsia="pt-PT"/>
        </w:rPr>
        <w:t xml:space="preserve">26.7 </w:t>
      </w:r>
      <w:r w:rsidR="00B748FE" w:rsidRPr="008C223C">
        <w:rPr>
          <w:rFonts w:ascii="Arial" w:hAnsi="Arial" w:cs="Arial"/>
          <w:color w:val="31849B"/>
          <w:sz w:val="22"/>
          <w:szCs w:val="22"/>
          <w:lang w:eastAsia="pt-PT"/>
        </w:rPr>
        <w:t>(±39.1)</w:t>
      </w:r>
      <w:r w:rsidR="00B748FE">
        <w:rPr>
          <w:rFonts w:ascii="Arial" w:hAnsi="Arial" w:cs="Arial"/>
          <w:sz w:val="22"/>
          <w:szCs w:val="22"/>
          <w:lang w:eastAsia="pt-PT"/>
        </w:rPr>
        <w:t xml:space="preserve"> months (range: 2-8</w:t>
      </w:r>
      <w:r w:rsidR="00C46640" w:rsidRPr="00C46640">
        <w:rPr>
          <w:rFonts w:ascii="Arial" w:hAnsi="Arial" w:cs="Arial"/>
          <w:sz w:val="22"/>
          <w:szCs w:val="22"/>
          <w:lang w:eastAsia="pt-PT"/>
        </w:rPr>
        <w:t xml:space="preserve">5). </w:t>
      </w:r>
      <w:r w:rsidR="00D36BA6" w:rsidRPr="00C46640">
        <w:rPr>
          <w:rFonts w:ascii="Arial" w:hAnsi="Arial" w:cs="Arial"/>
          <w:sz w:val="22"/>
          <w:szCs w:val="22"/>
        </w:rPr>
        <w:t>The most frequent metastatic sites were the</w:t>
      </w:r>
      <w:r w:rsidR="00D36BA6" w:rsidRPr="0093094C">
        <w:rPr>
          <w:rFonts w:ascii="Arial" w:hAnsi="Arial" w:cs="Arial"/>
          <w:sz w:val="22"/>
          <w:szCs w:val="22"/>
        </w:rPr>
        <w:t xml:space="preserve"> lung </w:t>
      </w:r>
      <w:r w:rsidR="00047824">
        <w:rPr>
          <w:rFonts w:ascii="Arial" w:hAnsi="Arial" w:cs="Arial"/>
          <w:sz w:val="22"/>
          <w:szCs w:val="22"/>
        </w:rPr>
        <w:t>[</w:t>
      </w:r>
      <w:r w:rsidR="00D36BA6" w:rsidRPr="0093094C">
        <w:rPr>
          <w:rFonts w:ascii="Arial" w:hAnsi="Arial" w:cs="Arial"/>
          <w:sz w:val="22"/>
          <w:szCs w:val="22"/>
        </w:rPr>
        <w:t>n=7</w:t>
      </w:r>
      <w:r w:rsidR="00E80375">
        <w:rPr>
          <w:rFonts w:ascii="Arial" w:hAnsi="Arial" w:cs="Arial"/>
          <w:sz w:val="22"/>
          <w:szCs w:val="22"/>
        </w:rPr>
        <w:t xml:space="preserve"> </w:t>
      </w:r>
      <w:r w:rsidR="00047824">
        <w:rPr>
          <w:rFonts w:ascii="Arial" w:hAnsi="Arial" w:cs="Arial"/>
          <w:sz w:val="22"/>
          <w:szCs w:val="22"/>
        </w:rPr>
        <w:t>(</w:t>
      </w:r>
      <w:r w:rsidR="00E80375">
        <w:rPr>
          <w:rFonts w:ascii="Arial" w:hAnsi="Arial" w:cs="Arial"/>
          <w:sz w:val="22"/>
          <w:szCs w:val="22"/>
        </w:rPr>
        <w:t>63.6%</w:t>
      </w:r>
      <w:r w:rsidR="00D36BA6" w:rsidRPr="0093094C">
        <w:rPr>
          <w:rFonts w:ascii="Arial" w:hAnsi="Arial" w:cs="Arial"/>
          <w:sz w:val="22"/>
          <w:szCs w:val="22"/>
        </w:rPr>
        <w:t>)</w:t>
      </w:r>
      <w:r w:rsidR="00047824">
        <w:rPr>
          <w:rFonts w:ascii="Arial" w:hAnsi="Arial" w:cs="Arial"/>
          <w:sz w:val="22"/>
          <w:szCs w:val="22"/>
        </w:rPr>
        <w:t>]</w:t>
      </w:r>
      <w:r w:rsidR="00D36BA6" w:rsidRPr="0093094C">
        <w:rPr>
          <w:rFonts w:ascii="Arial" w:hAnsi="Arial" w:cs="Arial"/>
          <w:sz w:val="22"/>
          <w:szCs w:val="22"/>
        </w:rPr>
        <w:t xml:space="preserve"> and the central nervous system (n=5</w:t>
      </w:r>
      <w:r w:rsidR="00E80375">
        <w:rPr>
          <w:rFonts w:ascii="Arial" w:hAnsi="Arial" w:cs="Arial"/>
          <w:sz w:val="22"/>
          <w:szCs w:val="22"/>
        </w:rPr>
        <w:t>; 45.5%</w:t>
      </w:r>
      <w:r w:rsidR="00D36BA6" w:rsidRPr="0093094C">
        <w:rPr>
          <w:rFonts w:ascii="Arial" w:hAnsi="Arial" w:cs="Arial"/>
          <w:sz w:val="22"/>
          <w:szCs w:val="22"/>
        </w:rPr>
        <w:t>). The crude mortality rate was of 23</w:t>
      </w:r>
      <w:r w:rsidR="00A94475">
        <w:rPr>
          <w:rFonts w:ascii="Arial" w:hAnsi="Arial" w:cs="Arial"/>
          <w:sz w:val="22"/>
          <w:szCs w:val="22"/>
        </w:rPr>
        <w:t>.</w:t>
      </w:r>
      <w:r w:rsidR="00C13FBE">
        <w:rPr>
          <w:rFonts w:ascii="Arial" w:hAnsi="Arial" w:cs="Arial"/>
          <w:sz w:val="22"/>
          <w:szCs w:val="22"/>
        </w:rPr>
        <w:t>3</w:t>
      </w:r>
      <w:r w:rsidR="00D36BA6" w:rsidRPr="0093094C">
        <w:rPr>
          <w:rFonts w:ascii="Arial" w:hAnsi="Arial" w:cs="Arial"/>
          <w:sz w:val="22"/>
          <w:szCs w:val="22"/>
        </w:rPr>
        <w:t xml:space="preserve">%. </w:t>
      </w:r>
      <w:r w:rsidR="00876856">
        <w:rPr>
          <w:rFonts w:ascii="Arial" w:hAnsi="Arial" w:cs="Arial"/>
          <w:sz w:val="22"/>
          <w:szCs w:val="22"/>
        </w:rPr>
        <w:t>None of the cases was submitted to autopsy.</w:t>
      </w:r>
    </w:p>
    <w:p w:rsidR="004A301A" w:rsidRPr="0093094C" w:rsidRDefault="004A301A" w:rsidP="00BF1E4D">
      <w:pPr>
        <w:pStyle w:val="Default"/>
        <w:spacing w:line="360" w:lineRule="auto"/>
        <w:jc w:val="both"/>
        <w:rPr>
          <w:rFonts w:ascii="Arial" w:hAnsi="Arial" w:cs="Arial"/>
          <w:sz w:val="22"/>
          <w:szCs w:val="22"/>
        </w:rPr>
      </w:pPr>
      <w:r w:rsidRPr="0093094C">
        <w:rPr>
          <w:rFonts w:ascii="Arial" w:hAnsi="Arial" w:cs="Arial"/>
          <w:sz w:val="22"/>
          <w:szCs w:val="22"/>
        </w:rPr>
        <w:t xml:space="preserve">Death </w:t>
      </w:r>
      <w:r w:rsidR="001F05A9">
        <w:rPr>
          <w:rFonts w:ascii="Arial" w:hAnsi="Arial" w:cs="Arial"/>
          <w:sz w:val="22"/>
          <w:szCs w:val="22"/>
        </w:rPr>
        <w:t>due to</w:t>
      </w:r>
      <w:r w:rsidR="001F05A9" w:rsidRPr="0093094C">
        <w:rPr>
          <w:rFonts w:ascii="Arial" w:hAnsi="Arial" w:cs="Arial"/>
          <w:sz w:val="22"/>
          <w:szCs w:val="22"/>
        </w:rPr>
        <w:t xml:space="preserve"> </w:t>
      </w:r>
      <w:r w:rsidRPr="0093094C">
        <w:rPr>
          <w:rFonts w:ascii="Arial" w:hAnsi="Arial" w:cs="Arial"/>
          <w:sz w:val="22"/>
          <w:szCs w:val="22"/>
        </w:rPr>
        <w:t xml:space="preserve">disease </w:t>
      </w:r>
      <w:r w:rsidR="001F05A9">
        <w:rPr>
          <w:rFonts w:ascii="Arial" w:hAnsi="Arial" w:cs="Arial"/>
          <w:sz w:val="22"/>
          <w:szCs w:val="22"/>
        </w:rPr>
        <w:t>occurred</w:t>
      </w:r>
      <w:r w:rsidRPr="0093094C">
        <w:rPr>
          <w:rFonts w:ascii="Arial" w:hAnsi="Arial" w:cs="Arial"/>
          <w:sz w:val="22"/>
          <w:szCs w:val="22"/>
        </w:rPr>
        <w:t xml:space="preserve"> in cases of high grade mucoepidermoid </w:t>
      </w:r>
      <w:r w:rsidR="00D10062">
        <w:rPr>
          <w:rFonts w:ascii="Arial" w:hAnsi="Arial" w:cs="Arial"/>
          <w:sz w:val="22"/>
          <w:szCs w:val="22"/>
        </w:rPr>
        <w:t>[</w:t>
      </w:r>
      <w:r w:rsidRPr="0093094C">
        <w:rPr>
          <w:rFonts w:ascii="Arial" w:hAnsi="Arial" w:cs="Arial"/>
          <w:sz w:val="22"/>
          <w:szCs w:val="22"/>
        </w:rPr>
        <w:t>(</w:t>
      </w:r>
      <w:r w:rsidR="00D10062" w:rsidRPr="00D10062">
        <w:rPr>
          <w:rFonts w:ascii="Arial" w:hAnsi="Arial" w:cs="Arial"/>
          <w:sz w:val="22"/>
          <w:szCs w:val="22"/>
        </w:rPr>
        <w:t>n=4</w:t>
      </w:r>
      <w:r w:rsidR="00D10062">
        <w:rPr>
          <w:rFonts w:ascii="Arial" w:hAnsi="Arial" w:cs="Arial"/>
          <w:sz w:val="22"/>
          <w:szCs w:val="22"/>
        </w:rPr>
        <w:t xml:space="preserve"> (</w:t>
      </w:r>
      <w:r w:rsidR="00E80375">
        <w:rPr>
          <w:rFonts w:ascii="Arial" w:hAnsi="Arial" w:cs="Arial"/>
          <w:sz w:val="22"/>
          <w:szCs w:val="22"/>
        </w:rPr>
        <w:t>40%</w:t>
      </w:r>
      <w:r w:rsidR="00D10062">
        <w:rPr>
          <w:rFonts w:ascii="Arial" w:hAnsi="Arial" w:cs="Arial"/>
          <w:sz w:val="22"/>
          <w:szCs w:val="22"/>
        </w:rPr>
        <w:t>)]</w:t>
      </w:r>
      <w:r w:rsidRPr="0093094C">
        <w:rPr>
          <w:rFonts w:ascii="Arial" w:hAnsi="Arial" w:cs="Arial"/>
          <w:sz w:val="22"/>
          <w:szCs w:val="22"/>
        </w:rPr>
        <w:t xml:space="preserve">), adenoid cystic </w:t>
      </w:r>
      <w:r w:rsidR="00D10062">
        <w:rPr>
          <w:rFonts w:ascii="Arial" w:hAnsi="Arial" w:cs="Arial"/>
          <w:sz w:val="22"/>
          <w:szCs w:val="22"/>
        </w:rPr>
        <w:t>[</w:t>
      </w:r>
      <w:r w:rsidR="00D10062" w:rsidRPr="00D10062">
        <w:rPr>
          <w:rFonts w:ascii="Arial" w:hAnsi="Arial" w:cs="Arial"/>
          <w:sz w:val="22"/>
          <w:szCs w:val="22"/>
        </w:rPr>
        <w:t>n=2</w:t>
      </w:r>
      <w:r w:rsidR="00D10062">
        <w:rPr>
          <w:rFonts w:ascii="Arial" w:hAnsi="Arial" w:cs="Arial"/>
          <w:sz w:val="22"/>
          <w:szCs w:val="22"/>
        </w:rPr>
        <w:t xml:space="preserve"> (</w:t>
      </w:r>
      <w:r w:rsidR="006127CE">
        <w:rPr>
          <w:rFonts w:ascii="Arial" w:hAnsi="Arial" w:cs="Arial"/>
          <w:sz w:val="22"/>
          <w:szCs w:val="22"/>
        </w:rPr>
        <w:t>2</w:t>
      </w:r>
      <w:r w:rsidR="00E80375">
        <w:rPr>
          <w:rFonts w:ascii="Arial" w:hAnsi="Arial" w:cs="Arial"/>
          <w:sz w:val="22"/>
          <w:szCs w:val="22"/>
        </w:rPr>
        <w:t>0%</w:t>
      </w:r>
      <w:r w:rsidR="00D10062">
        <w:rPr>
          <w:rFonts w:ascii="Arial" w:hAnsi="Arial" w:cs="Arial"/>
          <w:sz w:val="22"/>
          <w:szCs w:val="22"/>
        </w:rPr>
        <w:t>)]</w:t>
      </w:r>
      <w:r w:rsidRPr="0093094C">
        <w:rPr>
          <w:rFonts w:ascii="Arial" w:hAnsi="Arial" w:cs="Arial"/>
          <w:sz w:val="22"/>
          <w:szCs w:val="22"/>
        </w:rPr>
        <w:t xml:space="preserve">, </w:t>
      </w:r>
      <w:r w:rsidR="00EE5A72" w:rsidRPr="0093094C">
        <w:rPr>
          <w:rFonts w:ascii="Arial" w:hAnsi="Arial" w:cs="Arial"/>
          <w:sz w:val="22"/>
          <w:szCs w:val="22"/>
        </w:rPr>
        <w:t xml:space="preserve">salivary duct </w:t>
      </w:r>
      <w:r w:rsidR="00D10062">
        <w:rPr>
          <w:rFonts w:ascii="Arial" w:hAnsi="Arial" w:cs="Arial"/>
          <w:sz w:val="22"/>
          <w:szCs w:val="22"/>
        </w:rPr>
        <w:t>[</w:t>
      </w:r>
      <w:r w:rsidR="00D10062" w:rsidRPr="00D10062">
        <w:rPr>
          <w:rFonts w:ascii="Arial" w:hAnsi="Arial" w:cs="Arial"/>
          <w:sz w:val="22"/>
          <w:szCs w:val="22"/>
        </w:rPr>
        <w:t>n=1</w:t>
      </w:r>
      <w:r w:rsidR="00D10062">
        <w:rPr>
          <w:rFonts w:ascii="Arial" w:hAnsi="Arial" w:cs="Arial"/>
          <w:sz w:val="22"/>
          <w:szCs w:val="22"/>
        </w:rPr>
        <w:t xml:space="preserve"> (</w:t>
      </w:r>
      <w:r w:rsidR="00E80375">
        <w:rPr>
          <w:rFonts w:ascii="Arial" w:hAnsi="Arial" w:cs="Arial"/>
          <w:sz w:val="22"/>
          <w:szCs w:val="22"/>
        </w:rPr>
        <w:t>10%</w:t>
      </w:r>
      <w:r w:rsidR="00D10062">
        <w:rPr>
          <w:rFonts w:ascii="Arial" w:hAnsi="Arial" w:cs="Arial"/>
          <w:sz w:val="22"/>
          <w:szCs w:val="22"/>
        </w:rPr>
        <w:t>)]</w:t>
      </w:r>
      <w:r w:rsidR="00EE5A72" w:rsidRPr="0093094C">
        <w:rPr>
          <w:rFonts w:ascii="Arial" w:hAnsi="Arial" w:cs="Arial"/>
          <w:sz w:val="22"/>
          <w:szCs w:val="22"/>
        </w:rPr>
        <w:t xml:space="preserve">, </w:t>
      </w:r>
      <w:r w:rsidR="00957E33">
        <w:rPr>
          <w:rFonts w:ascii="Arial" w:hAnsi="Arial" w:cs="Arial"/>
          <w:sz w:val="22"/>
          <w:szCs w:val="22"/>
        </w:rPr>
        <w:t xml:space="preserve">and </w:t>
      </w:r>
      <w:r w:rsidR="001F05A9" w:rsidRPr="0093094C">
        <w:rPr>
          <w:rFonts w:ascii="Arial" w:hAnsi="Arial" w:cs="Arial"/>
          <w:sz w:val="22"/>
          <w:szCs w:val="22"/>
        </w:rPr>
        <w:t>myoepithelial</w:t>
      </w:r>
      <w:r w:rsidR="00957E33">
        <w:rPr>
          <w:rFonts w:ascii="Arial" w:hAnsi="Arial" w:cs="Arial"/>
          <w:sz w:val="22"/>
          <w:szCs w:val="22"/>
        </w:rPr>
        <w:t xml:space="preserve"> </w:t>
      </w:r>
      <w:r w:rsidR="00A87246">
        <w:rPr>
          <w:rFonts w:ascii="Arial" w:hAnsi="Arial" w:cs="Arial"/>
          <w:sz w:val="22"/>
          <w:szCs w:val="22"/>
        </w:rPr>
        <w:t>[</w:t>
      </w:r>
      <w:r w:rsidR="00D10062" w:rsidRPr="00D10062">
        <w:rPr>
          <w:rFonts w:ascii="Arial" w:hAnsi="Arial" w:cs="Arial"/>
          <w:sz w:val="22"/>
          <w:szCs w:val="22"/>
        </w:rPr>
        <w:t>n=1</w:t>
      </w:r>
      <w:r w:rsidR="00D10062">
        <w:rPr>
          <w:rFonts w:ascii="Arial" w:hAnsi="Arial" w:cs="Arial"/>
          <w:sz w:val="22"/>
          <w:szCs w:val="22"/>
        </w:rPr>
        <w:t xml:space="preserve"> (</w:t>
      </w:r>
      <w:r w:rsidR="00E80375">
        <w:rPr>
          <w:rFonts w:ascii="Arial" w:hAnsi="Arial" w:cs="Arial"/>
          <w:sz w:val="22"/>
          <w:szCs w:val="22"/>
        </w:rPr>
        <w:t>10%</w:t>
      </w:r>
      <w:r w:rsidR="00D10062">
        <w:rPr>
          <w:rFonts w:ascii="Arial" w:hAnsi="Arial" w:cs="Arial"/>
          <w:sz w:val="22"/>
          <w:szCs w:val="22"/>
        </w:rPr>
        <w:t>)]</w:t>
      </w:r>
      <w:r w:rsidR="00EE5A72" w:rsidRPr="0093094C">
        <w:rPr>
          <w:rFonts w:ascii="Arial" w:hAnsi="Arial" w:cs="Arial"/>
          <w:sz w:val="22"/>
          <w:szCs w:val="22"/>
        </w:rPr>
        <w:t xml:space="preserve"> carcinoma</w:t>
      </w:r>
      <w:r w:rsidR="00957E33">
        <w:rPr>
          <w:rFonts w:ascii="Arial" w:hAnsi="Arial" w:cs="Arial"/>
          <w:sz w:val="22"/>
          <w:szCs w:val="22"/>
        </w:rPr>
        <w:t>s</w:t>
      </w:r>
      <w:r w:rsidR="00EE5A72" w:rsidRPr="0093094C">
        <w:rPr>
          <w:rFonts w:ascii="Arial" w:hAnsi="Arial" w:cs="Arial"/>
          <w:sz w:val="22"/>
          <w:szCs w:val="22"/>
        </w:rPr>
        <w:t xml:space="preserve">, </w:t>
      </w:r>
      <w:proofErr w:type="spellStart"/>
      <w:r w:rsidR="00EE5A72" w:rsidRPr="0093094C">
        <w:rPr>
          <w:rFonts w:ascii="Arial" w:hAnsi="Arial" w:cs="Arial"/>
          <w:sz w:val="22"/>
          <w:szCs w:val="22"/>
        </w:rPr>
        <w:t>carcinosarcoma</w:t>
      </w:r>
      <w:proofErr w:type="spellEnd"/>
      <w:r w:rsidR="00A87246">
        <w:rPr>
          <w:rFonts w:ascii="Arial" w:hAnsi="Arial" w:cs="Arial"/>
          <w:sz w:val="22"/>
          <w:szCs w:val="22"/>
        </w:rPr>
        <w:t xml:space="preserve"> </w:t>
      </w:r>
      <w:r w:rsidR="00A87246" w:rsidRPr="00A87246">
        <w:rPr>
          <w:rFonts w:ascii="Arial" w:hAnsi="Arial" w:cs="Arial"/>
          <w:sz w:val="22"/>
          <w:szCs w:val="22"/>
        </w:rPr>
        <w:t>[(n=1 (10%)];</w:t>
      </w:r>
      <w:r w:rsidR="00EE5A72" w:rsidRPr="0093094C">
        <w:rPr>
          <w:rFonts w:ascii="Arial" w:hAnsi="Arial" w:cs="Arial"/>
          <w:sz w:val="22"/>
          <w:szCs w:val="22"/>
        </w:rPr>
        <w:t xml:space="preserve"> and small cell </w:t>
      </w:r>
      <w:proofErr w:type="spellStart"/>
      <w:r w:rsidR="001A6BB0" w:rsidRPr="0093094C">
        <w:rPr>
          <w:rFonts w:ascii="Arial" w:hAnsi="Arial" w:cs="Arial"/>
          <w:sz w:val="22"/>
          <w:szCs w:val="22"/>
        </w:rPr>
        <w:t>neuroendocrine</w:t>
      </w:r>
      <w:proofErr w:type="spellEnd"/>
      <w:r w:rsidR="001A6BB0" w:rsidRPr="0093094C">
        <w:rPr>
          <w:rFonts w:ascii="Arial" w:hAnsi="Arial" w:cs="Arial"/>
          <w:sz w:val="22"/>
          <w:szCs w:val="22"/>
        </w:rPr>
        <w:t xml:space="preserve"> </w:t>
      </w:r>
      <w:r w:rsidR="00EE5A72" w:rsidRPr="0093094C">
        <w:rPr>
          <w:rFonts w:ascii="Arial" w:hAnsi="Arial" w:cs="Arial"/>
          <w:sz w:val="22"/>
          <w:szCs w:val="22"/>
        </w:rPr>
        <w:t>carcinoma</w:t>
      </w:r>
      <w:r w:rsidR="00A87246">
        <w:rPr>
          <w:rFonts w:ascii="Arial" w:hAnsi="Arial" w:cs="Arial"/>
          <w:sz w:val="22"/>
          <w:szCs w:val="22"/>
        </w:rPr>
        <w:t xml:space="preserve"> </w:t>
      </w:r>
      <w:r w:rsidR="00A87246" w:rsidRPr="00A87246">
        <w:rPr>
          <w:rFonts w:ascii="Arial" w:hAnsi="Arial" w:cs="Arial"/>
          <w:sz w:val="22"/>
          <w:szCs w:val="22"/>
        </w:rPr>
        <w:t>[(n=1 (10%)]</w:t>
      </w:r>
      <w:r w:rsidR="00EE5A72" w:rsidRPr="0093094C">
        <w:rPr>
          <w:rFonts w:ascii="Arial" w:hAnsi="Arial" w:cs="Arial"/>
          <w:sz w:val="22"/>
          <w:szCs w:val="22"/>
        </w:rPr>
        <w:t xml:space="preserve">. According to location, mortality was observed in 9 </w:t>
      </w:r>
      <w:r w:rsidR="001F05A9">
        <w:rPr>
          <w:rFonts w:ascii="Arial" w:hAnsi="Arial" w:cs="Arial"/>
          <w:sz w:val="22"/>
          <w:szCs w:val="22"/>
        </w:rPr>
        <w:t>out of</w:t>
      </w:r>
      <w:r w:rsidR="001F05A9" w:rsidRPr="0093094C">
        <w:rPr>
          <w:rFonts w:ascii="Arial" w:hAnsi="Arial" w:cs="Arial"/>
          <w:sz w:val="22"/>
          <w:szCs w:val="22"/>
        </w:rPr>
        <w:t xml:space="preserve"> </w:t>
      </w:r>
      <w:r w:rsidR="00EE5A72" w:rsidRPr="0093094C">
        <w:rPr>
          <w:rFonts w:ascii="Arial" w:hAnsi="Arial" w:cs="Arial"/>
          <w:sz w:val="22"/>
          <w:szCs w:val="22"/>
        </w:rPr>
        <w:t>34</w:t>
      </w:r>
      <w:r w:rsidR="00E80375">
        <w:rPr>
          <w:rFonts w:ascii="Arial" w:hAnsi="Arial" w:cs="Arial"/>
          <w:sz w:val="22"/>
          <w:szCs w:val="22"/>
        </w:rPr>
        <w:t xml:space="preserve"> (26.5%)</w:t>
      </w:r>
      <w:r w:rsidR="00EE5A72" w:rsidRPr="0093094C">
        <w:rPr>
          <w:rFonts w:ascii="Arial" w:hAnsi="Arial" w:cs="Arial"/>
          <w:sz w:val="22"/>
          <w:szCs w:val="22"/>
        </w:rPr>
        <w:t xml:space="preserve"> </w:t>
      </w:r>
      <w:r w:rsidR="00160A87" w:rsidRPr="00050FB0">
        <w:rPr>
          <w:rFonts w:ascii="Arial" w:hAnsi="Arial" w:cs="Arial"/>
          <w:i/>
          <w:sz w:val="22"/>
          <w:szCs w:val="22"/>
        </w:rPr>
        <w:t>major</w:t>
      </w:r>
      <w:r w:rsidR="00160A87">
        <w:rPr>
          <w:rFonts w:ascii="Arial" w:hAnsi="Arial" w:cs="Arial"/>
          <w:sz w:val="22"/>
          <w:szCs w:val="22"/>
        </w:rPr>
        <w:t xml:space="preserve"> salivary gland </w:t>
      </w:r>
      <w:r w:rsidR="001F05A9">
        <w:rPr>
          <w:rFonts w:ascii="Arial" w:hAnsi="Arial" w:cs="Arial"/>
          <w:sz w:val="22"/>
          <w:szCs w:val="22"/>
        </w:rPr>
        <w:t>carcinomas</w:t>
      </w:r>
      <w:r w:rsidR="001F05A9" w:rsidRPr="0093094C">
        <w:rPr>
          <w:rFonts w:ascii="Arial" w:hAnsi="Arial" w:cs="Arial"/>
          <w:sz w:val="22"/>
          <w:szCs w:val="22"/>
        </w:rPr>
        <w:t xml:space="preserve"> </w:t>
      </w:r>
      <w:r w:rsidR="006848AA">
        <w:rPr>
          <w:rFonts w:ascii="Arial" w:hAnsi="Arial" w:cs="Arial"/>
          <w:sz w:val="22"/>
          <w:szCs w:val="22"/>
        </w:rPr>
        <w:t>compare to</w:t>
      </w:r>
      <w:r w:rsidR="00EE5A72" w:rsidRPr="0093094C">
        <w:rPr>
          <w:rFonts w:ascii="Arial" w:hAnsi="Arial" w:cs="Arial"/>
          <w:sz w:val="22"/>
          <w:szCs w:val="22"/>
        </w:rPr>
        <w:t xml:space="preserve"> 1 </w:t>
      </w:r>
      <w:r w:rsidR="00160A87">
        <w:rPr>
          <w:rFonts w:ascii="Arial" w:hAnsi="Arial" w:cs="Arial"/>
          <w:sz w:val="22"/>
          <w:szCs w:val="22"/>
        </w:rPr>
        <w:t>out of</w:t>
      </w:r>
      <w:r w:rsidR="001F05A9" w:rsidRPr="0093094C">
        <w:rPr>
          <w:rFonts w:ascii="Arial" w:hAnsi="Arial" w:cs="Arial"/>
          <w:sz w:val="22"/>
          <w:szCs w:val="22"/>
        </w:rPr>
        <w:t xml:space="preserve"> </w:t>
      </w:r>
      <w:r w:rsidR="002F4371" w:rsidRPr="0093094C">
        <w:rPr>
          <w:rFonts w:ascii="Arial" w:hAnsi="Arial" w:cs="Arial"/>
          <w:sz w:val="22"/>
          <w:szCs w:val="22"/>
        </w:rPr>
        <w:t xml:space="preserve">9 </w:t>
      </w:r>
      <w:r w:rsidR="00E80375">
        <w:rPr>
          <w:rFonts w:ascii="Arial" w:hAnsi="Arial" w:cs="Arial"/>
          <w:sz w:val="22"/>
          <w:szCs w:val="22"/>
        </w:rPr>
        <w:t xml:space="preserve">(11.1%) </w:t>
      </w:r>
      <w:r w:rsidR="002F4371" w:rsidRPr="00050FB0">
        <w:rPr>
          <w:rFonts w:ascii="Arial" w:hAnsi="Arial" w:cs="Arial"/>
          <w:i/>
          <w:sz w:val="22"/>
          <w:szCs w:val="22"/>
        </w:rPr>
        <w:t>minor</w:t>
      </w:r>
      <w:r w:rsidR="00EE5A72" w:rsidRPr="0093094C">
        <w:rPr>
          <w:rFonts w:ascii="Arial" w:hAnsi="Arial" w:cs="Arial"/>
          <w:sz w:val="22"/>
          <w:szCs w:val="22"/>
        </w:rPr>
        <w:t xml:space="preserve"> salivary gland</w:t>
      </w:r>
      <w:r w:rsidR="00160A87">
        <w:rPr>
          <w:rFonts w:ascii="Arial" w:hAnsi="Arial" w:cs="Arial"/>
          <w:sz w:val="22"/>
          <w:szCs w:val="22"/>
        </w:rPr>
        <w:t xml:space="preserve"> carcinomas</w:t>
      </w:r>
      <w:r w:rsidR="00EE5A72" w:rsidRPr="0093094C">
        <w:rPr>
          <w:rFonts w:ascii="Arial" w:hAnsi="Arial" w:cs="Arial"/>
          <w:sz w:val="22"/>
          <w:szCs w:val="22"/>
        </w:rPr>
        <w:t>.</w:t>
      </w:r>
    </w:p>
    <w:p w:rsidR="00A53BCC" w:rsidRPr="00A41A60" w:rsidRDefault="00160A87" w:rsidP="00BF1E4D">
      <w:pPr>
        <w:pStyle w:val="HTMLPreformatted"/>
        <w:shd w:val="clear" w:color="auto" w:fill="FFFFFF"/>
        <w:spacing w:line="360" w:lineRule="auto"/>
        <w:jc w:val="both"/>
        <w:rPr>
          <w:rFonts w:ascii="Arial" w:hAnsi="Arial" w:cs="Arial"/>
          <w:color w:val="212121"/>
          <w:sz w:val="22"/>
          <w:szCs w:val="22"/>
          <w:shd w:val="clear" w:color="auto" w:fill="FFFFFF"/>
        </w:rPr>
      </w:pPr>
      <w:r>
        <w:rPr>
          <w:rFonts w:ascii="Arial" w:hAnsi="Arial" w:cs="Arial"/>
          <w:sz w:val="22"/>
          <w:szCs w:val="22"/>
        </w:rPr>
        <w:t>Our series</w:t>
      </w:r>
      <w:r w:rsidR="002925ED" w:rsidRPr="0093094C">
        <w:rPr>
          <w:rFonts w:ascii="Arial" w:hAnsi="Arial" w:cs="Arial"/>
          <w:color w:val="212121"/>
          <w:sz w:val="22"/>
          <w:szCs w:val="22"/>
        </w:rPr>
        <w:t xml:space="preserve"> is </w:t>
      </w:r>
      <w:r>
        <w:rPr>
          <w:rFonts w:ascii="Arial" w:hAnsi="Arial" w:cs="Arial"/>
          <w:color w:val="212121"/>
          <w:sz w:val="22"/>
          <w:szCs w:val="22"/>
        </w:rPr>
        <w:t>limited</w:t>
      </w:r>
      <w:r w:rsidRPr="0093094C">
        <w:rPr>
          <w:rFonts w:ascii="Arial" w:hAnsi="Arial" w:cs="Arial"/>
          <w:color w:val="212121"/>
          <w:sz w:val="22"/>
          <w:szCs w:val="22"/>
        </w:rPr>
        <w:t xml:space="preserve"> </w:t>
      </w:r>
      <w:r w:rsidR="002925ED" w:rsidRPr="0093094C">
        <w:rPr>
          <w:rFonts w:ascii="Arial" w:hAnsi="Arial" w:cs="Arial"/>
          <w:color w:val="212121"/>
          <w:sz w:val="22"/>
          <w:szCs w:val="22"/>
        </w:rPr>
        <w:t xml:space="preserve">to correlate mortality </w:t>
      </w:r>
      <w:r w:rsidR="0095658E" w:rsidRPr="0093094C">
        <w:rPr>
          <w:rFonts w:ascii="Arial" w:hAnsi="Arial" w:cs="Arial"/>
          <w:color w:val="212121"/>
          <w:sz w:val="22"/>
          <w:szCs w:val="22"/>
        </w:rPr>
        <w:t>or disease progression with</w:t>
      </w:r>
      <w:r w:rsidR="001C73A2" w:rsidRPr="0093094C">
        <w:rPr>
          <w:rFonts w:ascii="Arial" w:hAnsi="Arial" w:cs="Arial"/>
          <w:color w:val="212121"/>
          <w:sz w:val="22"/>
          <w:szCs w:val="22"/>
        </w:rPr>
        <w:t xml:space="preserve"> </w:t>
      </w:r>
      <w:proofErr w:type="spellStart"/>
      <w:r w:rsidR="001C73A2" w:rsidRPr="0093094C">
        <w:rPr>
          <w:rFonts w:ascii="Arial" w:hAnsi="Arial" w:cs="Arial"/>
          <w:color w:val="212121"/>
          <w:sz w:val="22"/>
          <w:szCs w:val="22"/>
        </w:rPr>
        <w:t>hi</w:t>
      </w:r>
      <w:r w:rsidR="002925ED" w:rsidRPr="0093094C">
        <w:rPr>
          <w:rFonts w:ascii="Arial" w:hAnsi="Arial" w:cs="Arial"/>
          <w:color w:val="212121"/>
          <w:sz w:val="22"/>
          <w:szCs w:val="22"/>
        </w:rPr>
        <w:t>stologic</w:t>
      </w:r>
      <w:proofErr w:type="spellEnd"/>
      <w:r w:rsidR="00EE5A72" w:rsidRPr="0093094C">
        <w:rPr>
          <w:rFonts w:ascii="Arial" w:hAnsi="Arial" w:cs="Arial"/>
          <w:color w:val="212121"/>
          <w:sz w:val="22"/>
          <w:szCs w:val="22"/>
        </w:rPr>
        <w:t xml:space="preserve"> subtypes</w:t>
      </w:r>
      <w:r>
        <w:rPr>
          <w:rFonts w:ascii="Arial" w:hAnsi="Arial" w:cs="Arial"/>
          <w:color w:val="212121"/>
          <w:sz w:val="22"/>
          <w:szCs w:val="22"/>
        </w:rPr>
        <w:t>. Concerning tumor grading</w:t>
      </w:r>
      <w:r w:rsidR="00050FB0">
        <w:rPr>
          <w:rFonts w:ascii="Arial" w:hAnsi="Arial" w:cs="Arial"/>
          <w:color w:val="212121"/>
          <w:sz w:val="22"/>
          <w:szCs w:val="22"/>
        </w:rPr>
        <w:t xml:space="preserve"> of muco</w:t>
      </w:r>
      <w:r w:rsidR="006848AA">
        <w:rPr>
          <w:rFonts w:ascii="Arial" w:hAnsi="Arial" w:cs="Arial"/>
          <w:color w:val="212121"/>
          <w:sz w:val="22"/>
          <w:szCs w:val="22"/>
        </w:rPr>
        <w:t>epidermoid carcinomas</w:t>
      </w:r>
      <w:r>
        <w:rPr>
          <w:rFonts w:ascii="Arial" w:hAnsi="Arial" w:cs="Arial"/>
          <w:color w:val="212121"/>
          <w:sz w:val="22"/>
          <w:szCs w:val="22"/>
        </w:rPr>
        <w:t>,</w:t>
      </w:r>
      <w:r w:rsidR="001151BC">
        <w:rPr>
          <w:rFonts w:ascii="Arial" w:hAnsi="Arial" w:cs="Arial"/>
          <w:color w:val="212121"/>
          <w:sz w:val="22"/>
          <w:szCs w:val="22"/>
        </w:rPr>
        <w:t xml:space="preserve"> </w:t>
      </w:r>
      <w:r w:rsidR="00E919FA" w:rsidRPr="00E919FA">
        <w:rPr>
          <w:rFonts w:ascii="Arial" w:hAnsi="Arial" w:cs="Arial"/>
          <w:color w:val="212121"/>
          <w:sz w:val="22"/>
          <w:szCs w:val="22"/>
        </w:rPr>
        <w:t xml:space="preserve">3 (60%) </w:t>
      </w:r>
      <w:r w:rsidR="001151BC">
        <w:rPr>
          <w:rFonts w:ascii="Arial" w:hAnsi="Arial" w:cs="Arial"/>
          <w:color w:val="212121"/>
          <w:sz w:val="22"/>
          <w:szCs w:val="22"/>
        </w:rPr>
        <w:t>of the</w:t>
      </w:r>
      <w:r w:rsidRPr="0093094C">
        <w:rPr>
          <w:rFonts w:ascii="Arial" w:hAnsi="Arial" w:cs="Arial"/>
          <w:color w:val="212121"/>
          <w:sz w:val="22"/>
          <w:szCs w:val="22"/>
        </w:rPr>
        <w:t xml:space="preserve"> </w:t>
      </w:r>
      <w:r w:rsidR="002925ED" w:rsidRPr="0093094C">
        <w:rPr>
          <w:rFonts w:ascii="Arial" w:hAnsi="Arial" w:cs="Arial"/>
          <w:color w:val="212121"/>
          <w:sz w:val="22"/>
          <w:szCs w:val="22"/>
        </w:rPr>
        <w:t>5 high-grade</w:t>
      </w:r>
      <w:r w:rsidR="00E919FA" w:rsidRPr="00E919FA">
        <w:rPr>
          <w:rFonts w:ascii="Arial" w:hAnsi="Arial" w:cs="Arial"/>
          <w:color w:val="212121"/>
          <w:sz w:val="22"/>
          <w:szCs w:val="22"/>
        </w:rPr>
        <w:t xml:space="preserve"> tumors</w:t>
      </w:r>
      <w:r w:rsidR="002925ED" w:rsidRPr="0093094C">
        <w:rPr>
          <w:rFonts w:ascii="Arial" w:hAnsi="Arial" w:cs="Arial"/>
          <w:color w:val="212121"/>
          <w:sz w:val="22"/>
          <w:szCs w:val="22"/>
        </w:rPr>
        <w:t>,</w:t>
      </w:r>
      <w:r w:rsidR="006848AA">
        <w:rPr>
          <w:rFonts w:ascii="Arial" w:hAnsi="Arial" w:cs="Arial"/>
          <w:color w:val="212121"/>
          <w:sz w:val="22"/>
          <w:szCs w:val="22"/>
        </w:rPr>
        <w:t xml:space="preserve"> </w:t>
      </w:r>
      <w:r w:rsidR="00050FB0">
        <w:rPr>
          <w:rFonts w:ascii="Arial" w:hAnsi="Arial" w:cs="Arial"/>
          <w:color w:val="212121"/>
          <w:sz w:val="22"/>
          <w:szCs w:val="22"/>
        </w:rPr>
        <w:t>displayed</w:t>
      </w:r>
      <w:r w:rsidR="001151BC">
        <w:rPr>
          <w:rFonts w:ascii="Arial" w:hAnsi="Arial" w:cs="Arial"/>
          <w:color w:val="212121"/>
          <w:sz w:val="22"/>
          <w:szCs w:val="22"/>
        </w:rPr>
        <w:t xml:space="preserve"> local recurrence</w:t>
      </w:r>
      <w:r w:rsidR="002925ED" w:rsidRPr="0093094C">
        <w:rPr>
          <w:rFonts w:ascii="Arial" w:hAnsi="Arial" w:cs="Arial"/>
          <w:color w:val="212121"/>
          <w:sz w:val="22"/>
          <w:szCs w:val="22"/>
        </w:rPr>
        <w:t xml:space="preserve">, 3 </w:t>
      </w:r>
      <w:r w:rsidR="00F91270">
        <w:rPr>
          <w:rFonts w:ascii="Arial" w:hAnsi="Arial" w:cs="Arial"/>
          <w:color w:val="212121"/>
          <w:sz w:val="22"/>
          <w:szCs w:val="22"/>
        </w:rPr>
        <w:t xml:space="preserve">(60%) </w:t>
      </w:r>
      <w:r w:rsidR="002925ED" w:rsidRPr="0093094C">
        <w:rPr>
          <w:rFonts w:ascii="Arial" w:hAnsi="Arial" w:cs="Arial"/>
          <w:color w:val="212121"/>
          <w:sz w:val="22"/>
          <w:szCs w:val="22"/>
        </w:rPr>
        <w:t>developed distant metastas</w:t>
      </w:r>
      <w:r>
        <w:rPr>
          <w:rFonts w:ascii="Arial" w:hAnsi="Arial" w:cs="Arial"/>
          <w:color w:val="212121"/>
          <w:sz w:val="22"/>
          <w:szCs w:val="22"/>
        </w:rPr>
        <w:t>e</w:t>
      </w:r>
      <w:r w:rsidR="002925ED" w:rsidRPr="0093094C">
        <w:rPr>
          <w:rFonts w:ascii="Arial" w:hAnsi="Arial" w:cs="Arial"/>
          <w:color w:val="212121"/>
          <w:sz w:val="22"/>
          <w:szCs w:val="22"/>
        </w:rPr>
        <w:t>s</w:t>
      </w:r>
      <w:r>
        <w:rPr>
          <w:rFonts w:ascii="Arial" w:hAnsi="Arial" w:cs="Arial"/>
          <w:color w:val="212121"/>
          <w:sz w:val="22"/>
          <w:szCs w:val="22"/>
        </w:rPr>
        <w:t>,</w:t>
      </w:r>
      <w:r w:rsidR="002925ED" w:rsidRPr="0093094C">
        <w:rPr>
          <w:rFonts w:ascii="Arial" w:hAnsi="Arial" w:cs="Arial"/>
          <w:color w:val="212121"/>
          <w:sz w:val="22"/>
          <w:szCs w:val="22"/>
        </w:rPr>
        <w:t xml:space="preserve"> and the observed crude mortality rate was of 80</w:t>
      </w:r>
      <w:r w:rsidR="00A94475">
        <w:rPr>
          <w:rFonts w:ascii="Arial" w:hAnsi="Arial" w:cs="Arial"/>
          <w:color w:val="212121"/>
          <w:sz w:val="22"/>
          <w:szCs w:val="22"/>
        </w:rPr>
        <w:t>.0</w:t>
      </w:r>
      <w:r w:rsidR="002925ED" w:rsidRPr="0093094C">
        <w:rPr>
          <w:rFonts w:ascii="Arial" w:hAnsi="Arial" w:cs="Arial"/>
          <w:color w:val="212121"/>
          <w:sz w:val="22"/>
          <w:szCs w:val="22"/>
        </w:rPr>
        <w:t>%</w:t>
      </w:r>
      <w:r w:rsidR="00A87246" w:rsidRPr="00A87246">
        <w:rPr>
          <w:rFonts w:ascii="Arial" w:hAnsi="Arial" w:cs="Arial"/>
          <w:color w:val="212121"/>
          <w:sz w:val="22"/>
          <w:szCs w:val="22"/>
        </w:rPr>
        <w:t>.</w:t>
      </w:r>
      <w:r w:rsidR="002925ED" w:rsidRPr="0093094C">
        <w:rPr>
          <w:rFonts w:ascii="Arial" w:hAnsi="Arial" w:cs="Arial"/>
          <w:color w:val="212121"/>
          <w:sz w:val="22"/>
          <w:szCs w:val="22"/>
        </w:rPr>
        <w:t xml:space="preserve"> </w:t>
      </w:r>
      <w:r w:rsidR="00000498" w:rsidRPr="00A87246">
        <w:rPr>
          <w:rFonts w:ascii="Arial" w:hAnsi="Arial" w:cs="Arial"/>
          <w:color w:val="212121"/>
          <w:sz w:val="22"/>
          <w:szCs w:val="22"/>
        </w:rPr>
        <w:t>On</w:t>
      </w:r>
      <w:r w:rsidR="006848AA" w:rsidRPr="0093094C">
        <w:rPr>
          <w:rFonts w:ascii="Arial" w:hAnsi="Arial" w:cs="Arial"/>
          <w:color w:val="212121"/>
          <w:sz w:val="22"/>
          <w:szCs w:val="22"/>
        </w:rPr>
        <w:t xml:space="preserve"> </w:t>
      </w:r>
      <w:r w:rsidR="002925ED" w:rsidRPr="0093094C">
        <w:rPr>
          <w:rFonts w:ascii="Arial" w:hAnsi="Arial" w:cs="Arial"/>
          <w:color w:val="212121"/>
          <w:sz w:val="22"/>
          <w:szCs w:val="22"/>
        </w:rPr>
        <w:t xml:space="preserve">the other hand, </w:t>
      </w:r>
      <w:r w:rsidR="002925ED" w:rsidRPr="0093094C">
        <w:rPr>
          <w:rFonts w:ascii="Arial" w:hAnsi="Arial" w:cs="Arial"/>
          <w:sz w:val="22"/>
          <w:szCs w:val="22"/>
        </w:rPr>
        <w:t>n</w:t>
      </w:r>
      <w:r w:rsidR="002925ED" w:rsidRPr="0093094C">
        <w:rPr>
          <w:rFonts w:ascii="Arial" w:hAnsi="Arial" w:cs="Arial"/>
          <w:color w:val="212121"/>
          <w:sz w:val="22"/>
          <w:szCs w:val="22"/>
          <w:shd w:val="clear" w:color="auto" w:fill="FFFFFF"/>
        </w:rPr>
        <w:t xml:space="preserve">o recurrence or disease progression was observed in the 11 </w:t>
      </w:r>
      <w:r w:rsidR="006848AA">
        <w:rPr>
          <w:rFonts w:ascii="Arial" w:hAnsi="Arial" w:cs="Arial"/>
          <w:color w:val="212121"/>
          <w:sz w:val="22"/>
          <w:szCs w:val="22"/>
          <w:shd w:val="clear" w:color="auto" w:fill="FFFFFF"/>
        </w:rPr>
        <w:t>low-grade</w:t>
      </w:r>
      <w:r w:rsidR="00E919FA" w:rsidRPr="00E919FA">
        <w:t xml:space="preserve"> </w:t>
      </w:r>
      <w:r w:rsidR="00E919FA" w:rsidRPr="00E919FA">
        <w:rPr>
          <w:rFonts w:ascii="Arial" w:hAnsi="Arial" w:cs="Arial"/>
          <w:color w:val="212121"/>
          <w:sz w:val="22"/>
          <w:szCs w:val="22"/>
          <w:shd w:val="clear" w:color="auto" w:fill="FFFFFF"/>
        </w:rPr>
        <w:t>mucoepidermoid carcinomas</w:t>
      </w:r>
      <w:r w:rsidR="002925ED" w:rsidRPr="0093094C">
        <w:rPr>
          <w:rFonts w:ascii="Arial" w:hAnsi="Arial" w:cs="Arial"/>
          <w:color w:val="212121"/>
          <w:sz w:val="22"/>
          <w:szCs w:val="22"/>
          <w:shd w:val="clear" w:color="auto" w:fill="FFFFFF"/>
        </w:rPr>
        <w:t xml:space="preserve">. </w:t>
      </w:r>
      <w:r w:rsidR="00303641">
        <w:rPr>
          <w:rFonts w:ascii="Arial" w:hAnsi="Arial" w:cs="Arial"/>
          <w:color w:val="212121"/>
          <w:sz w:val="22"/>
          <w:szCs w:val="22"/>
          <w:shd w:val="clear" w:color="auto" w:fill="FFFFFF"/>
        </w:rPr>
        <w:t>Other</w:t>
      </w:r>
      <w:r w:rsidR="001A6BB0" w:rsidRPr="0093094C">
        <w:rPr>
          <w:rFonts w:ascii="Arial" w:hAnsi="Arial" w:cs="Arial"/>
          <w:color w:val="212121"/>
          <w:sz w:val="22"/>
          <w:szCs w:val="22"/>
          <w:shd w:val="clear" w:color="auto" w:fill="FFFFFF"/>
        </w:rPr>
        <w:t xml:space="preserve"> classical pathologic prognostic factors</w:t>
      </w:r>
      <w:r w:rsidR="00303641">
        <w:rPr>
          <w:rFonts w:ascii="Arial" w:hAnsi="Arial" w:cs="Arial"/>
          <w:color w:val="212121"/>
          <w:sz w:val="22"/>
          <w:szCs w:val="22"/>
          <w:shd w:val="clear" w:color="auto" w:fill="FFFFFF"/>
        </w:rPr>
        <w:t xml:space="preserve"> evaluated </w:t>
      </w:r>
      <w:r w:rsidR="001151BC">
        <w:rPr>
          <w:rFonts w:ascii="Arial" w:hAnsi="Arial" w:cs="Arial"/>
          <w:color w:val="212121"/>
          <w:sz w:val="22"/>
          <w:szCs w:val="22"/>
          <w:shd w:val="clear" w:color="auto" w:fill="FFFFFF"/>
        </w:rPr>
        <w:t>(</w:t>
      </w:r>
      <w:r w:rsidR="00303641">
        <w:rPr>
          <w:rFonts w:ascii="Arial" w:hAnsi="Arial" w:cs="Arial"/>
          <w:color w:val="212121"/>
          <w:sz w:val="22"/>
          <w:szCs w:val="22"/>
          <w:shd w:val="clear" w:color="auto" w:fill="FFFFFF"/>
        </w:rPr>
        <w:t xml:space="preserve">risk stratification, stage of disease, </w:t>
      </w:r>
      <w:r w:rsidR="00303641" w:rsidRPr="0093094C">
        <w:rPr>
          <w:rFonts w:ascii="Arial" w:hAnsi="Arial" w:cs="Arial"/>
          <w:color w:val="212121"/>
          <w:sz w:val="22"/>
          <w:szCs w:val="22"/>
          <w:shd w:val="clear" w:color="auto" w:fill="FFFFFF"/>
        </w:rPr>
        <w:t xml:space="preserve">tumor stage, </w:t>
      </w:r>
      <w:r w:rsidR="00303641">
        <w:rPr>
          <w:rFonts w:ascii="Arial" w:hAnsi="Arial" w:cs="Arial"/>
          <w:color w:val="212121"/>
          <w:sz w:val="22"/>
          <w:szCs w:val="22"/>
          <w:shd w:val="clear" w:color="auto" w:fill="FFFFFF"/>
        </w:rPr>
        <w:t xml:space="preserve">resection margins, </w:t>
      </w:r>
      <w:proofErr w:type="spellStart"/>
      <w:r w:rsidR="00303641" w:rsidRPr="0093094C">
        <w:rPr>
          <w:rFonts w:ascii="Arial" w:hAnsi="Arial" w:cs="Arial"/>
          <w:color w:val="212121"/>
          <w:sz w:val="22"/>
          <w:szCs w:val="22"/>
          <w:shd w:val="clear" w:color="auto" w:fill="FFFFFF"/>
        </w:rPr>
        <w:t>perineural</w:t>
      </w:r>
      <w:proofErr w:type="spellEnd"/>
      <w:r w:rsidR="00303641" w:rsidRPr="0093094C">
        <w:rPr>
          <w:rFonts w:ascii="Arial" w:hAnsi="Arial" w:cs="Arial"/>
          <w:color w:val="212121"/>
          <w:sz w:val="22"/>
          <w:szCs w:val="22"/>
          <w:shd w:val="clear" w:color="auto" w:fill="FFFFFF"/>
        </w:rPr>
        <w:t xml:space="preserve"> invasion</w:t>
      </w:r>
      <w:r w:rsidR="00303641">
        <w:rPr>
          <w:rFonts w:ascii="Arial" w:hAnsi="Arial" w:cs="Arial"/>
          <w:color w:val="212121"/>
          <w:sz w:val="22"/>
          <w:szCs w:val="22"/>
          <w:shd w:val="clear" w:color="auto" w:fill="FFFFFF"/>
        </w:rPr>
        <w:t xml:space="preserve"> and vascular invasion</w:t>
      </w:r>
      <w:r w:rsidR="001151BC">
        <w:rPr>
          <w:rFonts w:ascii="Arial" w:hAnsi="Arial" w:cs="Arial"/>
          <w:color w:val="212121"/>
          <w:sz w:val="22"/>
          <w:szCs w:val="22"/>
          <w:shd w:val="clear" w:color="auto" w:fill="FFFFFF"/>
        </w:rPr>
        <w:t>)</w:t>
      </w:r>
      <w:r w:rsidR="00E6676A" w:rsidRPr="0093094C">
        <w:rPr>
          <w:rFonts w:ascii="Arial" w:hAnsi="Arial" w:cs="Arial"/>
          <w:color w:val="212121"/>
          <w:sz w:val="22"/>
          <w:szCs w:val="22"/>
          <w:shd w:val="clear" w:color="auto" w:fill="FFFFFF"/>
        </w:rPr>
        <w:t xml:space="preserve"> </w:t>
      </w:r>
      <w:r w:rsidR="00303641">
        <w:rPr>
          <w:rFonts w:ascii="Arial" w:hAnsi="Arial" w:cs="Arial"/>
          <w:color w:val="212121"/>
          <w:sz w:val="22"/>
          <w:szCs w:val="22"/>
          <w:shd w:val="clear" w:color="auto" w:fill="FFFFFF"/>
        </w:rPr>
        <w:t>displayed significant prognostic value for</w:t>
      </w:r>
      <w:r w:rsidR="001151BC" w:rsidRPr="001151BC">
        <w:t xml:space="preserve"> </w:t>
      </w:r>
      <w:r w:rsidR="001151BC" w:rsidRPr="001151BC">
        <w:rPr>
          <w:rFonts w:ascii="Arial" w:hAnsi="Arial" w:cs="Arial"/>
          <w:color w:val="212121"/>
          <w:sz w:val="22"/>
          <w:szCs w:val="22"/>
          <w:shd w:val="clear" w:color="auto" w:fill="FFFFFF"/>
        </w:rPr>
        <w:t>disease-free survival of patients</w:t>
      </w:r>
      <w:r w:rsidR="001151BC">
        <w:rPr>
          <w:rFonts w:ascii="Arial" w:hAnsi="Arial" w:cs="Arial"/>
          <w:color w:val="212121"/>
          <w:sz w:val="22"/>
          <w:szCs w:val="22"/>
          <w:shd w:val="clear" w:color="auto" w:fill="FFFFFF"/>
        </w:rPr>
        <w:t xml:space="preserve"> and/or</w:t>
      </w:r>
      <w:r w:rsidR="00303641">
        <w:rPr>
          <w:rFonts w:ascii="Arial" w:hAnsi="Arial" w:cs="Arial"/>
          <w:color w:val="212121"/>
          <w:sz w:val="22"/>
          <w:szCs w:val="22"/>
          <w:shd w:val="clear" w:color="auto" w:fill="FFFFFF"/>
        </w:rPr>
        <w:t xml:space="preserve"> </w:t>
      </w:r>
      <w:r w:rsidR="00A13C1C">
        <w:rPr>
          <w:rFonts w:ascii="Arial" w:hAnsi="Arial" w:cs="Arial"/>
          <w:color w:val="212121"/>
          <w:sz w:val="22"/>
          <w:szCs w:val="22"/>
          <w:shd w:val="clear" w:color="auto" w:fill="FFFFFF"/>
        </w:rPr>
        <w:t>dise</w:t>
      </w:r>
      <w:r w:rsidR="00A13C1C" w:rsidRPr="00A41A60">
        <w:rPr>
          <w:rFonts w:ascii="Arial" w:hAnsi="Arial" w:cs="Arial"/>
          <w:color w:val="212121"/>
          <w:sz w:val="22"/>
          <w:szCs w:val="22"/>
          <w:shd w:val="clear" w:color="auto" w:fill="FFFFFF"/>
        </w:rPr>
        <w:t>ase</w:t>
      </w:r>
      <w:r w:rsidR="00303641" w:rsidRPr="00A41A60">
        <w:rPr>
          <w:rFonts w:ascii="Arial" w:hAnsi="Arial" w:cs="Arial"/>
          <w:color w:val="212121"/>
          <w:sz w:val="22"/>
          <w:szCs w:val="22"/>
          <w:shd w:val="clear" w:color="auto" w:fill="FFFFFF"/>
        </w:rPr>
        <w:t xml:space="preserve"> </w:t>
      </w:r>
      <w:r w:rsidR="00050FB0" w:rsidRPr="00A41A60">
        <w:rPr>
          <w:rFonts w:ascii="Arial" w:hAnsi="Arial" w:cs="Arial"/>
          <w:color w:val="212121"/>
          <w:sz w:val="22"/>
          <w:szCs w:val="22"/>
          <w:shd w:val="clear" w:color="auto" w:fill="FFFFFF"/>
        </w:rPr>
        <w:t xml:space="preserve">specific </w:t>
      </w:r>
      <w:r w:rsidR="003F3340" w:rsidRPr="00A41A60">
        <w:rPr>
          <w:rFonts w:ascii="Arial" w:hAnsi="Arial" w:cs="Arial"/>
          <w:color w:val="212121"/>
          <w:sz w:val="22"/>
          <w:szCs w:val="22"/>
          <w:shd w:val="clear" w:color="auto" w:fill="FFFFFF"/>
        </w:rPr>
        <w:t xml:space="preserve">survival </w:t>
      </w:r>
      <w:r w:rsidR="00713EC7" w:rsidRPr="00A41A60">
        <w:rPr>
          <w:rFonts w:ascii="Arial" w:hAnsi="Arial" w:cs="Arial"/>
          <w:color w:val="212121"/>
          <w:sz w:val="22"/>
          <w:szCs w:val="22"/>
          <w:shd w:val="clear" w:color="auto" w:fill="FFFFFF"/>
        </w:rPr>
        <w:t>(</w:t>
      </w:r>
      <w:r w:rsidR="00F74F4A" w:rsidRPr="00A41A60">
        <w:rPr>
          <w:rFonts w:ascii="Arial" w:hAnsi="Arial" w:cs="Arial"/>
          <w:color w:val="212121"/>
          <w:sz w:val="22"/>
          <w:szCs w:val="22"/>
          <w:shd w:val="clear" w:color="auto" w:fill="FFFFFF"/>
        </w:rPr>
        <w:t>t</w:t>
      </w:r>
      <w:r w:rsidR="00713EC7" w:rsidRPr="00A41A60">
        <w:rPr>
          <w:rFonts w:ascii="Arial" w:hAnsi="Arial" w:cs="Arial"/>
          <w:color w:val="212121"/>
          <w:sz w:val="22"/>
          <w:szCs w:val="22"/>
          <w:shd w:val="clear" w:color="auto" w:fill="FFFFFF"/>
        </w:rPr>
        <w:t>able 2)</w:t>
      </w:r>
      <w:r w:rsidR="00A41A60" w:rsidRPr="00A41A60">
        <w:rPr>
          <w:rFonts w:ascii="Arial" w:hAnsi="Arial" w:cs="Arial"/>
          <w:b/>
          <w:color w:val="C00000"/>
          <w:sz w:val="22"/>
          <w:szCs w:val="22"/>
        </w:rPr>
        <w:t xml:space="preserve"> (Insert table 2 here)</w:t>
      </w:r>
      <w:r w:rsidR="004A0AC2" w:rsidRPr="00A41A60">
        <w:rPr>
          <w:rFonts w:ascii="Arial" w:hAnsi="Arial" w:cs="Arial"/>
          <w:color w:val="212121"/>
          <w:sz w:val="22"/>
          <w:szCs w:val="22"/>
          <w:shd w:val="clear" w:color="auto" w:fill="FFFFFF"/>
        </w:rPr>
        <w:t>.</w:t>
      </w:r>
    </w:p>
    <w:p w:rsidR="004A0AC2" w:rsidRPr="0093094C" w:rsidRDefault="004A0AC2" w:rsidP="00BF1E4D">
      <w:pPr>
        <w:pStyle w:val="HTMLPreformatted"/>
        <w:shd w:val="clear" w:color="auto" w:fill="FFFFFF"/>
        <w:spacing w:line="360" w:lineRule="auto"/>
        <w:jc w:val="both"/>
        <w:rPr>
          <w:rFonts w:ascii="Arial" w:hAnsi="Arial" w:cs="Arial"/>
          <w:sz w:val="22"/>
          <w:szCs w:val="22"/>
        </w:rPr>
      </w:pPr>
    </w:p>
    <w:p w:rsidR="004440CA" w:rsidRPr="00507C66" w:rsidRDefault="001151BC" w:rsidP="00BF1E4D">
      <w:pPr>
        <w:pStyle w:val="Default"/>
        <w:spacing w:line="360" w:lineRule="auto"/>
        <w:jc w:val="both"/>
        <w:rPr>
          <w:rFonts w:ascii="Arial" w:hAnsi="Arial" w:cs="Arial"/>
          <w:b/>
          <w:sz w:val="22"/>
          <w:szCs w:val="22"/>
        </w:rPr>
      </w:pPr>
      <w:r>
        <w:rPr>
          <w:rFonts w:ascii="Arial" w:hAnsi="Arial" w:cs="Arial"/>
          <w:b/>
          <w:sz w:val="22"/>
          <w:szCs w:val="22"/>
        </w:rPr>
        <w:t>Discussion</w:t>
      </w:r>
    </w:p>
    <w:p w:rsidR="004440CA" w:rsidRPr="004440CA" w:rsidRDefault="0096041F" w:rsidP="004440CA">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312" w:lineRule="auto"/>
        <w:jc w:val="both"/>
        <w:rPr>
          <w:rFonts w:ascii="Arial" w:hAnsi="Arial" w:cs="Arial"/>
          <w:color w:val="0070C0"/>
        </w:rPr>
      </w:pPr>
      <w:r w:rsidRPr="0096041F">
        <w:rPr>
          <w:rFonts w:ascii="Arial" w:hAnsi="Arial" w:cs="Arial"/>
          <w:color w:val="0070C0"/>
        </w:rPr>
        <w:t xml:space="preserve">In summary, we found similar prevalence of SGT in both gender and a wide age distribution. Primary benign epithelial tumors were the most frequent [77.3% (n=228)], predominantly pleomorphic adenomas and Warthin tumors. Primary malignant epithelial tumors accounted for 14,8% (n=43) of all tumors, most frequently </w:t>
      </w:r>
      <w:r w:rsidRPr="0096041F">
        <w:rPr>
          <w:rFonts w:ascii="Arial" w:hAnsi="Arial" w:cs="Arial"/>
          <w:color w:val="0070C0"/>
          <w:lang w:eastAsia="pt-PT"/>
        </w:rPr>
        <w:t xml:space="preserve">mucoepidermoid, adenoid cystic and acinic cell carcinomas. </w:t>
      </w:r>
      <w:r w:rsidRPr="0096041F">
        <w:rPr>
          <w:rFonts w:ascii="Arial" w:hAnsi="Arial" w:cs="Arial"/>
          <w:color w:val="0070C0"/>
        </w:rPr>
        <w:t xml:space="preserve">Primary epithelial tumors were more frequently malignant in minor (33.3%) than in major (13.9%) salivary glands. Although infrequent, salivary carcinomas are prone to a significant morbidity and mortality. We found </w:t>
      </w:r>
      <w:r w:rsidRPr="0096041F">
        <w:rPr>
          <w:rFonts w:ascii="Arial" w:hAnsi="Arial" w:cs="Arial"/>
          <w:color w:val="0070C0"/>
          <w:lang w:eastAsia="pt-PT"/>
        </w:rPr>
        <w:t xml:space="preserve">local recurrence in </w:t>
      </w:r>
      <w:r w:rsidRPr="0096041F">
        <w:rPr>
          <w:rFonts w:ascii="Arial" w:hAnsi="Arial" w:cs="Arial"/>
          <w:color w:val="0070C0"/>
        </w:rPr>
        <w:t xml:space="preserve">30.2% </w:t>
      </w:r>
      <w:r w:rsidRPr="0096041F">
        <w:rPr>
          <w:rFonts w:ascii="Arial" w:hAnsi="Arial" w:cs="Arial"/>
          <w:color w:val="0070C0"/>
          <w:lang w:eastAsia="pt-PT"/>
        </w:rPr>
        <w:t xml:space="preserve">and distant metastases in 25.6%. The mean disease-free interval was 26 (±37.5) months; most metastases were in lung and central nervous system. The </w:t>
      </w:r>
      <w:r w:rsidRPr="0096041F">
        <w:rPr>
          <w:rFonts w:ascii="Arial" w:hAnsi="Arial" w:cs="Arial"/>
          <w:color w:val="0070C0"/>
        </w:rPr>
        <w:t xml:space="preserve">5 and 10 year disease-free survival rates were 63.4% and 50.1%, respectively; the 5 and 10 year disease-specific survival rates were 76.9% and 57.9%, respectively. </w:t>
      </w:r>
    </w:p>
    <w:p w:rsidR="004440CA" w:rsidRPr="004440CA" w:rsidRDefault="0096041F" w:rsidP="004440CA">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312" w:lineRule="auto"/>
        <w:jc w:val="both"/>
        <w:rPr>
          <w:rFonts w:ascii="Arial" w:hAnsi="Arial" w:cs="Arial"/>
          <w:color w:val="0070C0"/>
        </w:rPr>
      </w:pPr>
      <w:r w:rsidRPr="0096041F">
        <w:rPr>
          <w:rFonts w:ascii="Arial" w:hAnsi="Arial" w:cs="Arial"/>
          <w:color w:val="0070C0"/>
        </w:rPr>
        <w:t xml:space="preserve">Primary salivary tumors included also lymphomas [n=8 (2.7%)] and soft tissue tumors [n=5 (1.7%)]. Secondary tumors included metastases of carcinomas [n=7 (2.4%)] and involvement by lymphoma [n=1 (0.3%)]. </w:t>
      </w:r>
    </w:p>
    <w:p w:rsidR="0093094C" w:rsidRPr="00CC28B8" w:rsidRDefault="007740D0" w:rsidP="00BF1E4D">
      <w:pPr>
        <w:autoSpaceDE w:val="0"/>
        <w:autoSpaceDN w:val="0"/>
        <w:adjustRightInd w:val="0"/>
        <w:spacing w:after="0" w:line="360" w:lineRule="auto"/>
        <w:jc w:val="both"/>
        <w:rPr>
          <w:rFonts w:ascii="Arial" w:hAnsi="Arial" w:cs="Arial"/>
        </w:rPr>
      </w:pPr>
      <w:r w:rsidRPr="00CF2B04">
        <w:rPr>
          <w:rFonts w:ascii="Arial" w:hAnsi="Arial" w:cs="Arial"/>
        </w:rPr>
        <w:t xml:space="preserve">Demographic data is </w:t>
      </w:r>
      <w:r w:rsidR="00803E76" w:rsidRPr="00CF2B04">
        <w:rPr>
          <w:rFonts w:ascii="Arial" w:hAnsi="Arial" w:cs="Arial"/>
        </w:rPr>
        <w:t>helpful</w:t>
      </w:r>
      <w:r w:rsidRPr="00CF2B04">
        <w:rPr>
          <w:rFonts w:ascii="Arial" w:hAnsi="Arial" w:cs="Arial"/>
        </w:rPr>
        <w:t xml:space="preserve"> </w:t>
      </w:r>
      <w:r w:rsidR="00E919FA">
        <w:rPr>
          <w:rFonts w:ascii="Arial" w:hAnsi="Arial" w:cs="Arial"/>
        </w:rPr>
        <w:t>for</w:t>
      </w:r>
      <w:r w:rsidR="00E919FA" w:rsidRPr="00CF2B04">
        <w:rPr>
          <w:rFonts w:ascii="Arial" w:hAnsi="Arial" w:cs="Arial"/>
        </w:rPr>
        <w:t xml:space="preserve"> </w:t>
      </w:r>
      <w:r w:rsidRPr="00CF2B04">
        <w:rPr>
          <w:rFonts w:ascii="Arial" w:hAnsi="Arial" w:cs="Arial"/>
        </w:rPr>
        <w:t>understandin</w:t>
      </w:r>
      <w:r w:rsidR="00E80FDC" w:rsidRPr="00CF2B04">
        <w:rPr>
          <w:rFonts w:ascii="Arial" w:hAnsi="Arial" w:cs="Arial"/>
        </w:rPr>
        <w:t>g</w:t>
      </w:r>
      <w:r w:rsidRPr="00CF2B04">
        <w:rPr>
          <w:rFonts w:ascii="Arial" w:hAnsi="Arial" w:cs="Arial"/>
        </w:rPr>
        <w:t xml:space="preserve"> </w:t>
      </w:r>
      <w:r w:rsidR="00803E76">
        <w:rPr>
          <w:rFonts w:ascii="Arial" w:hAnsi="Arial" w:cs="Arial"/>
        </w:rPr>
        <w:t>the</w:t>
      </w:r>
      <w:r w:rsidRPr="00CF2B04">
        <w:rPr>
          <w:rFonts w:ascii="Arial" w:hAnsi="Arial" w:cs="Arial"/>
        </w:rPr>
        <w:t xml:space="preserve"> clinical and pathologic</w:t>
      </w:r>
      <w:r w:rsidR="00E80FDC" w:rsidRPr="00CF2B04">
        <w:rPr>
          <w:rFonts w:ascii="Arial" w:hAnsi="Arial" w:cs="Arial"/>
        </w:rPr>
        <w:t xml:space="preserve">al </w:t>
      </w:r>
      <w:r w:rsidR="005241E4">
        <w:rPr>
          <w:rFonts w:ascii="Arial" w:hAnsi="Arial" w:cs="Arial"/>
        </w:rPr>
        <w:t>features</w:t>
      </w:r>
      <w:r w:rsidR="005241E4" w:rsidRPr="00CF2B04">
        <w:rPr>
          <w:rFonts w:ascii="Arial" w:hAnsi="Arial" w:cs="Arial"/>
        </w:rPr>
        <w:t xml:space="preserve"> </w:t>
      </w:r>
      <w:r w:rsidR="00E80FDC" w:rsidRPr="00CF2B04">
        <w:rPr>
          <w:rFonts w:ascii="Arial" w:hAnsi="Arial" w:cs="Arial"/>
        </w:rPr>
        <w:t xml:space="preserve">of </w:t>
      </w:r>
      <w:r w:rsidR="005241E4" w:rsidRPr="00CC28B8">
        <w:rPr>
          <w:rFonts w:ascii="Arial" w:hAnsi="Arial" w:cs="Arial"/>
        </w:rPr>
        <w:t>salivary gland tumors (SGT)</w:t>
      </w:r>
      <w:r w:rsidRPr="00CC28B8">
        <w:rPr>
          <w:rFonts w:ascii="Arial" w:hAnsi="Arial" w:cs="Arial"/>
        </w:rPr>
        <w:t xml:space="preserve">. </w:t>
      </w:r>
      <w:r w:rsidR="007E4AC5" w:rsidRPr="00CC28B8">
        <w:rPr>
          <w:rFonts w:ascii="Arial" w:hAnsi="Arial" w:cs="Arial"/>
        </w:rPr>
        <w:t xml:space="preserve">Rarity </w:t>
      </w:r>
      <w:r w:rsidR="005241E4" w:rsidRPr="00CC28B8">
        <w:rPr>
          <w:rFonts w:ascii="Arial" w:hAnsi="Arial" w:cs="Arial"/>
        </w:rPr>
        <w:t>of SGT</w:t>
      </w:r>
      <w:r w:rsidRPr="00CC28B8">
        <w:rPr>
          <w:rFonts w:ascii="Arial" w:hAnsi="Arial" w:cs="Arial"/>
        </w:rPr>
        <w:t xml:space="preserve"> and the</w:t>
      </w:r>
      <w:r w:rsidR="005241E4" w:rsidRPr="00CC28B8">
        <w:rPr>
          <w:rFonts w:ascii="Arial" w:hAnsi="Arial" w:cs="Arial"/>
        </w:rPr>
        <w:t>ir</w:t>
      </w:r>
      <w:r w:rsidRPr="00CC28B8">
        <w:rPr>
          <w:rFonts w:ascii="Arial" w:hAnsi="Arial" w:cs="Arial"/>
        </w:rPr>
        <w:t xml:space="preserve"> complexity, </w:t>
      </w:r>
      <w:r w:rsidR="005241E4" w:rsidRPr="00CC28B8">
        <w:rPr>
          <w:rFonts w:ascii="Arial" w:hAnsi="Arial" w:cs="Arial"/>
        </w:rPr>
        <w:t xml:space="preserve">together </w:t>
      </w:r>
      <w:r w:rsidRPr="00CC28B8">
        <w:rPr>
          <w:rFonts w:ascii="Arial" w:hAnsi="Arial" w:cs="Arial"/>
        </w:rPr>
        <w:t xml:space="preserve">with the </w:t>
      </w:r>
      <w:r w:rsidR="005241E4" w:rsidRPr="00CC28B8">
        <w:rPr>
          <w:rFonts w:ascii="Arial" w:hAnsi="Arial" w:cs="Arial"/>
        </w:rPr>
        <w:lastRenderedPageBreak/>
        <w:t xml:space="preserve">occurrence </w:t>
      </w:r>
      <w:r w:rsidRPr="00CC28B8">
        <w:rPr>
          <w:rFonts w:ascii="Arial" w:hAnsi="Arial" w:cs="Arial"/>
        </w:rPr>
        <w:t xml:space="preserve">of </w:t>
      </w:r>
      <w:r w:rsidR="005241E4" w:rsidRPr="00CC28B8">
        <w:rPr>
          <w:rFonts w:ascii="Arial" w:hAnsi="Arial" w:cs="Arial"/>
        </w:rPr>
        <w:t xml:space="preserve">distinct </w:t>
      </w:r>
      <w:r w:rsidRPr="00CC28B8">
        <w:rPr>
          <w:rFonts w:ascii="Arial" w:hAnsi="Arial" w:cs="Arial"/>
        </w:rPr>
        <w:t xml:space="preserve">histological subtypes, </w:t>
      </w:r>
      <w:r w:rsidR="000817D1" w:rsidRPr="00CC28B8">
        <w:rPr>
          <w:rFonts w:ascii="Arial" w:hAnsi="Arial" w:cs="Arial"/>
        </w:rPr>
        <w:t xml:space="preserve">turn their study </w:t>
      </w:r>
      <w:r w:rsidR="004A0AC2" w:rsidRPr="00CC28B8">
        <w:rPr>
          <w:rFonts w:ascii="Arial" w:hAnsi="Arial" w:cs="Arial"/>
        </w:rPr>
        <w:t>a</w:t>
      </w:r>
      <w:r w:rsidR="000817D1" w:rsidRPr="00CC28B8">
        <w:rPr>
          <w:rFonts w:ascii="Arial" w:hAnsi="Arial" w:cs="Arial"/>
        </w:rPr>
        <w:t>n increasing challenging diagnostic and therapeutic area</w:t>
      </w:r>
      <w:r w:rsidRPr="00CC28B8">
        <w:rPr>
          <w:rFonts w:ascii="Arial" w:hAnsi="Arial" w:cs="Arial"/>
        </w:rPr>
        <w:t>.</w:t>
      </w:r>
    </w:p>
    <w:p w:rsidR="007607BE" w:rsidRPr="00CC28B8" w:rsidRDefault="00D70CAB" w:rsidP="00BF1E4D">
      <w:pPr>
        <w:widowControl w:val="0"/>
        <w:autoSpaceDE w:val="0"/>
        <w:autoSpaceDN w:val="0"/>
        <w:adjustRightInd w:val="0"/>
        <w:spacing w:after="0" w:line="360" w:lineRule="auto"/>
        <w:jc w:val="both"/>
        <w:rPr>
          <w:rFonts w:ascii="Times New Roman" w:hAnsi="Times New Roman"/>
          <w:sz w:val="24"/>
          <w:szCs w:val="24"/>
        </w:rPr>
      </w:pPr>
      <w:r w:rsidRPr="00CC28B8">
        <w:rPr>
          <w:rFonts w:ascii="Arial" w:hAnsi="Arial" w:cs="Arial"/>
        </w:rPr>
        <w:t xml:space="preserve">Despite the work has been performed in a large tertiary hospital in the North of Portugal, based on a 11 year time period,  limitations of this study include referral bias of patients, restricted number of these </w:t>
      </w:r>
      <w:r w:rsidR="00CA5C69" w:rsidRPr="00CC28B8">
        <w:rPr>
          <w:rFonts w:ascii="Arial" w:hAnsi="Arial" w:cs="Arial"/>
        </w:rPr>
        <w:t>uncommon</w:t>
      </w:r>
      <w:r w:rsidRPr="00CC28B8">
        <w:rPr>
          <w:rFonts w:ascii="Arial" w:hAnsi="Arial" w:cs="Arial"/>
        </w:rPr>
        <w:t xml:space="preserve"> malignant epithelial tumors, and lack of longer follow-up time, especially concerning SGT with reported less aggressive </w:t>
      </w:r>
      <w:r w:rsidR="00000498" w:rsidRPr="00CC28B8">
        <w:rPr>
          <w:rFonts w:ascii="Arial" w:hAnsi="Arial" w:cs="Arial"/>
        </w:rPr>
        <w:t>behavior</w:t>
      </w:r>
      <w:r w:rsidR="00A87246" w:rsidRPr="00CC28B8">
        <w:rPr>
          <w:rFonts w:ascii="Arial" w:hAnsi="Arial" w:cs="Arial"/>
        </w:rPr>
        <w:t>.</w:t>
      </w:r>
      <w:r w:rsidR="00CA5C69" w:rsidRPr="00CC28B8">
        <w:rPr>
          <w:rFonts w:ascii="Arial" w:hAnsi="Arial" w:cs="Arial"/>
        </w:rPr>
        <w:t xml:space="preserve"> </w:t>
      </w:r>
      <w:r w:rsidR="00A87246" w:rsidRPr="00CC28B8">
        <w:rPr>
          <w:rFonts w:ascii="Arial" w:hAnsi="Arial" w:cs="Arial"/>
        </w:rPr>
        <w:t>Even</w:t>
      </w:r>
      <w:r w:rsidR="000971CC" w:rsidRPr="00CC28B8">
        <w:rPr>
          <w:rFonts w:ascii="Arial" w:hAnsi="Arial" w:cs="Arial"/>
        </w:rPr>
        <w:t xml:space="preserve"> so, t</w:t>
      </w:r>
      <w:r w:rsidR="007607BE" w:rsidRPr="00CC28B8">
        <w:rPr>
          <w:rFonts w:ascii="Arial" w:hAnsi="Arial" w:cs="Arial"/>
        </w:rPr>
        <w:t>he results</w:t>
      </w:r>
      <w:r w:rsidR="000817D1" w:rsidRPr="00CC28B8">
        <w:rPr>
          <w:rFonts w:ascii="Arial" w:hAnsi="Arial" w:cs="Arial"/>
        </w:rPr>
        <w:t xml:space="preserve"> of our study</w:t>
      </w:r>
      <w:r w:rsidR="007607BE" w:rsidRPr="00CC28B8">
        <w:rPr>
          <w:rFonts w:ascii="Arial" w:hAnsi="Arial" w:cs="Arial"/>
        </w:rPr>
        <w:t xml:space="preserve"> are </w:t>
      </w:r>
      <w:r w:rsidR="000817D1" w:rsidRPr="00CC28B8">
        <w:rPr>
          <w:rFonts w:ascii="Arial" w:hAnsi="Arial" w:cs="Arial"/>
        </w:rPr>
        <w:t xml:space="preserve">in line </w:t>
      </w:r>
      <w:r w:rsidR="007607BE" w:rsidRPr="00CC28B8">
        <w:rPr>
          <w:rFonts w:ascii="Arial" w:hAnsi="Arial" w:cs="Arial"/>
        </w:rPr>
        <w:t xml:space="preserve">with those </w:t>
      </w:r>
      <w:r w:rsidR="000817D1" w:rsidRPr="00CC28B8">
        <w:rPr>
          <w:rFonts w:ascii="Arial" w:hAnsi="Arial" w:cs="Arial"/>
        </w:rPr>
        <w:t xml:space="preserve">reported </w:t>
      </w:r>
      <w:r w:rsidR="007607BE" w:rsidRPr="00CC28B8">
        <w:rPr>
          <w:rFonts w:ascii="Arial" w:hAnsi="Arial" w:cs="Arial"/>
        </w:rPr>
        <w:t xml:space="preserve">in other </w:t>
      </w:r>
      <w:r w:rsidR="000817D1" w:rsidRPr="00CC28B8">
        <w:rPr>
          <w:rFonts w:ascii="Arial" w:hAnsi="Arial" w:cs="Arial"/>
        </w:rPr>
        <w:t>European</w:t>
      </w:r>
      <w:r w:rsidR="001A6BB0" w:rsidRPr="00CC28B8">
        <w:rPr>
          <w:rFonts w:ascii="Arial" w:hAnsi="Arial" w:cs="Arial"/>
        </w:rPr>
        <w:t xml:space="preserve"> countries</w:t>
      </w:r>
      <w:r w:rsidR="002F73DD" w:rsidRPr="00CC28B8">
        <w:rPr>
          <w:rFonts w:ascii="Arial" w:hAnsi="Arial" w:cs="Arial"/>
          <w:vertAlign w:val="superscript"/>
        </w:rPr>
        <w:fldChar w:fldCharType="begin" w:fldLock="1"/>
      </w:r>
      <w:r w:rsidR="00967D6E" w:rsidRPr="00CC28B8">
        <w:rPr>
          <w:rFonts w:ascii="Arial" w:hAnsi="Arial" w:cs="Arial"/>
          <w:vertAlign w:val="superscript"/>
        </w:rPr>
        <w:instrText>ADDIN CSL_CITATION { "citationItems" : [ { "id" : "ITEM-1", "itemData" : { "DOI" : "10.1016/j.jcms.2011.05.002", "ISSN" : "1878-4119", "PMID" : "21641811", "abstract" : "INTRODUCTION: The aim of this study was to determine the types, frequency, distribution, and demographic characteristics of salivary gland tumours in a large representative sample.\\n\\nPATIENTS AND METHODS: We retrospectively analysed the medical records of 779 patients with tumours of the salivary glands surgically treated from 1985 to 2009 at a single institution.\\n\\nRESULTS: There were 500 benign and 279 malignant tumours. The average age of patients with benign tumours was 50 years and of malignant salivary gland tumours 56 years. No differences in age and incidence of tumours existed between males and females. The majority of the tumours occurred in the parotid gland (509), followed by the minor salivary glands (212), the submandibular gland (51) and lastly, the sublingual gland (7). Minor salivary gland tumours occurred most frequently on the palate, the pleomorphic adenoma being the most frequent benign tumour type and the adenoid cystic carcinoma being the commonest malignant tumour. Tumours of the sublingual gland were rare, but all were malignant. Malignant tumours were more common in the minor salivary glands and the submandibular gland.\\n\\nCONCLUSION: This large study of salivary gland tumours in Croatia could improve our understanding of the significant differences in the global distribution of salivary gland tumours which have been reported.", "author" : [ { "dropping-particle" : "", "family" : "Luk\u0161i\u0107", "given" : "Ivica", "non-dropping-particle" : "", "parse-names" : false, "suffix" : "" }, { "dropping-particle" : "", "family" : "Virag", "given" : "Mi\u0161o", "non-dropping-particle" : "", "parse-names" : false, "suffix" : "" }, { "dropping-particle" : "", "family" : "Manojlovi\u0107", "given" : "Spomenka", "non-dropping-particle" : "", "parse-names" : false, "suffix" : "" }, { "dropping-particle" : "", "family" : "Macan", "given" : "Darko", "non-dropping-particle" : "", "parse-names" : false, "suffix" : "" } ], "container-title" : "Journal of cranio-maxillo-facial surgery : official publication of the European Association for Cranio-Maxillo-Facial Surgery", "id" : "ITEM-1", "issue" : "3", "issued" : { "date-parts" : [ [ "2012" ] ] }, "page" : "e75-81", "title" : "Salivary gland tumours: 25 years of experience from a single institution in Croatia.", "type" : "article-journal", "volume" : "40" }, "uris" : [ "http://www.mendeley.com/documents/?uuid=2dff120b-4cfa-433c-ae3f-7733bad1201c" ] }, { "id" : "ITEM-2", "itemData" : { "DOI" : "10.1002/path.1711460106", "ISSN" : "0022-3417", "PMID" : "4009321", "abstract" : "To date the British Salivary Gland Tumour Panel has accumulated 2569 salivary gland tumours. Of these, 2410 were primary epithelial salivary gland tumours and these formed the basis of the present study. The diagnosis of individual tumours was based on the World Health Organisation classification. Tumours were analysed according to histological type, site, age and sex. The principal site was the parotid and the combined minor (oropharyngeal) glands formed the second largest group. Pleomorphic adenomas formed the largest group of tumours in most sites, but were particularly common in the parotid. The frequency of malignant tumours increased with age after the third decade and was maximal in the eighth decade. Malignant tumours were more common in the submandibular and the minor glands than in the parotid. In the sublingual gland six out of seven tumours were malignant.", "author" : [ { "dropping-particle" : "", "family" : "Eveson", "given" : "J W", "non-dropping-particle" : "", "parse-names" : false, "suffix" : "" }, { "dropping-particle" : "", "family" : "Cawson", "given" : "R a", "non-dropping-particle" : "", "parse-names" : false, "suffix" : "" } ], "container-title" : "The Journal of pathology", "id" : "ITEM-2", "issue" : "1", "issued" : { "date-parts" : [ [ "1985" ] ] }, "page" : "51-58", "title" : "Salivary gland tumours. A review of 2410 cases with particular reference to histological types, site, age and sex distribution.", "type" : "article-journal", "volume" : "146" }, "uris" : [ "http://www.mendeley.com/documents/?uuid=776b6cf5-876d-457e-b82e-3e018468a40b" ] }, { "id" : "ITEM-3", "itemData" : { "ISSN" : "0026-4970", "PMID" : "16618995", "abstract" : "AIM: Salivary glands tumors constitute a highly heterogeneous group in human oncological pathology. They show different clinical, epidemiological, histopathological and evolutionary characteristics.\\n\\nMETHODS: In this paper we have analysed their epidemiological aspects in 454 patients with salivary glands tumors surgically treated at the Maxillofacial Surgical Unit of the Azienda Ospedaliero-Universitaria ''Ospedali Riuniti Umberto I-G.M. Lancisi-G. Salesi'', Ancona, Italy, from 1990 to 2002, to evaluate the incidence of the different types of neoplasia and their age and sex distribution.\\n\\nRESULTS: Our results show that 63.22% of salivary glands tumors occur in the parotid gland, with a predominance of benign tumours, pleomorphic adenoma being the most prevalent histological type. A higher prevalence was observed in the female sex.\\n\\nCONCLUSIONS: Malignant tumors were more common in the elderly than in young patients and the most common histological types were mucoepidermoid carcinoma and adenoid cystic carcinoma.", "author" : [ { "dropping-particle" : "", "family" : "Ascani", "given" : "G", "non-dropping-particle" : "", "parse-names" : false, "suffix" : "" }, { "dropping-particle" : "", "family" : "Pieramici", "given" : "T", "non-dropping-particle" : "", "parse-names" : false, "suffix" : "" }, { "dropping-particle" : "", "family" : "Messi", "given" : "M", "non-dropping-particle" : "", "parse-names" : false, "suffix" : "" }, { "dropping-particle" : "", "family" : "Lupi", "given" : "E", "non-dropping-particle" : "", "parse-names" : false, "suffix" : "" }, { "dropping-particle" : "", "family" : "Rubini", "given" : "C", "non-dropping-particle" : "", "parse-names" : false, "suffix" : "" }, { "dropping-particle" : "", "family" : "Balercia", "given" : "P", "non-dropping-particle" : "", "parse-names" : false, "suffix" : "" } ], "container-title" : "Minerva stomatologica", "id" : "ITEM-3", "issue" : "4", "issued" : { "date-parts" : [ [ "2006" ] ] }, "page" : "209-14", "title" : "Salivary glands tumours: a retrospective study of 454 patients.", "type" : "article-journal", "volume" : "55" }, "uris" : [ "http://www.mendeley.com/documents/?uuid=2a665822-c213-4ee1-862f-e70d39b14bd3" ] }, { "id" : "ITEM-4", "itemData" : { "DOI" : "10.1016/S0030-6657(07)70451-1", "ISSN" : "0030-6657", "PMID" : "18260221", "abstract" : "INTRODUCTION: Salivary gland neoplasms represent the diverse group of tumours encountered by the head and neck surgeons.\\n\\nMATERIAL AND METHODS: The study is analysis of 531 patients with parotid gland tumours in patients treated in ENT Department during 1986-2006. We analysed surgical treatment and intraoperative tumour stage. The results of histological diagnosis were presented.\\n\\nRESULTS: The frequency of incidence of benign neoplasm was 80%. The most frequent tumour was pleomorphic adenoma--75% and adenolymphoma--16%. Malignant tumours constituted 20% of all gland tumours. Mucoepidermoid (27%) and adenoid cyst (22%) carcinomas were the most common malignant tumour. Tumour stages T3-T4 was in 90%.", "author" : [ { "dropping-particle" : "", "family" : "Gierek", "given" : "Tatiana", "non-dropping-particle" : "", "parse-names" : false, "suffix" : "" }, { "dropping-particle" : "", "family" : "Majzel", "given" : "Krystyna", "non-dropping-particle" : "", "parse-names" : false, "suffix" : "" }, { "dropping-particle" : "", "family" : "Jura-Szo\u0142tys", "given" : "Edyta", "non-dropping-particle" : "", "parse-names" : false, "suffix" : "" }, { "dropping-particle" : "", "family" : "Slaska-Kaspera", "given" : "Aleksandra", "non-dropping-particle" : "", "parse-names" : false, "suffix" : "" }, { "dropping-particle" : "", "family" : "Witkowska", "given" : "Ma\u0142gorzata", "non-dropping-particle" : "", "parse-names" : false, "suffix" : "" }, { "dropping-particle" : "", "family" : "Klimczak-Go\u0142ab", "given" : "Lucyna", "non-dropping-particle" : "", "parse-names" : false, "suffix" : "" } ], "container-title" : "Otolaryngologia polska = The Polish otolaryngology", "id" : "ITEM-4", "issue" : "4", "issued" : { "date-parts" : [ [ "2007" ] ] }, "page" : "399-403", "title" : "[A 20-year retrospective histoclinical analysis of parotid gland tumors in the ENT Department AM in Katowice].", "type" : "article-journal", "volume" : "61" }, "uris" : [ "http://www.mendeley.com/documents/?uuid=5a7c27ee-8271-4183-af5e-fe81ac04fc5f" ] }, { "id" : "ITEM-5", "itemData" : { "DOI" : "10.1016/j.bjoms.2012.10.002", "ISBN" : "0266-4356", "ISSN" : "02664356", "PMID" : "23103239", "abstract" : "To establish a true prevalence of salivary gland tumours in a fixed population in the United Kingdom (UK), we searched the unified computerised pathology records of two teaching hospitals, including two private hospitals, for all salivary gland neoplasms (benign and malignant) over two 10-year periods (January 1988-December 1997, and January 1998-December 2007). Reports included needle biopsy, open biopsy, or excision biopsy. Equivocal results were checked by review of the medical notes. Patients referred from outside the catchment area were excluded. Both series combined showed that all neoplasms confirmed the 10:1:1 rule of distribution, but the benign to malignant ratio did not conform to standard teaching. The data suggest that 70-75 benign, and 8-14 malignant neoplasms present annually/million population, which is consistent with established patterns. However, this points towards a lower incidence of cancer in the major salivary glands than was traditionally thought. \u00a9 2012 The British Association of Oral and Maxillofacial Surgeons.", "author" : [ { "dropping-particle" : "", "family" : "Bradley", "given" : "Patrick J.", "non-dropping-particle" : "", "parse-names" : false, "suffix" : "" }, { "dropping-particle" : "", "family" : "McGurk", "given" : "Mark", "non-dropping-particle" : "", "parse-names" : false, "suffix" : "" } ], "container-title" : "British Journal of Oral and Maxillofacial Surgery", "id" : "ITEM-5", "issue" : "5", "issued" : { "date-parts" : [ [ "2013" ] ] }, "page" : "399-403", "publisher" : "British Association of Oral and Maxillofacial Surgeons", "title" : "Incidence of salivary gland neoplasms in a defined UK population", "type" : "article-journal", "volume" : "51" }, "uris" : [ "http://www.mendeley.com/documents/?uuid=8f4b3300-48b4-4259-a9cb-053232f455c1" ] }, { "id" : "ITEM-6", "itemData" : { "DOI" : "10.1002/bjs.1800791116", "ISBN" : "0007-1323", "ISSN" : "13652168", "PMID" : "1467891", "abstract" : "A total of 150 patients were treated for parotid tumours over a period of 19 years. In 94 per cent superficial or total parotidectomy was performed. Histological diagnosis of the resected specimen revealed pleomorphic adenoma in 92 patients (61 per cent), Whartin's tumour in 30 (20 per cent), various benign neoplasms in 11 (7 per cent) and malignant tumour in 17 (11 per cent). After a mean follow-up of 7.7 years, no recurrence of a benign tumour was seen. Malignant tumours recurred in five patients. Permanent partial facial paralysis was seen in 4 per cent of patients after surgery for benign lesions. Frey's syndrome was observed in 43 per cent of patients, and was not prevented by resection of the auriculotemporal nerve.", "author" : [ { "dropping-particle" : "", "family" : "Debets", "given" : "J. M H", "non-dropping-particle" : "", "parse-names" : false, "suffix" : "" }, { "dropping-particle" : "", "family" : "Munting", "given" : "J. D K", "non-dropping-particle" : "", "parse-names" : false, "suffix" : "" } ], "container-title" : "British Journal of Surgery", "id" : "ITEM-6", "issue" : "11", "issued" : { "date-parts" : [ [ "1992" ] ] }, "page" : "1159-1161", "title" : "Parotidectomy for parotid tumours: 19???year experience from the Netherlands", "type" : "article-journal", "volume" : "79" }, "uris" : [ "http://www.mendeley.com/documents/?uuid=31fa522d-79ef-4207-ad53-eef03ba913ac" ] }, { "id" : "ITEM-7", "itemData" : { "DOI" : "10.1016/S0001-6519(05)78602-7", "ISSN" : "00016519", "author" : [ { "dropping-particle" : "", "family" : "Rodr\u00edguez Param\u00e1s", "given" : "A.", "non-dropping-particle" : "", "parse-names" : false, "suffix" : "" }, { "dropping-particle" : "", "family" : "Lendoiro Otero", "given" : "C.", "non-dropping-particle" : "", "parse-names" : false, "suffix" : "" }, { "dropping-particle" : "", "family" : "Gonz\u00e1lez Garc\u00eda", "given" : "J.A.", "non-dropping-particle" : "", "parse-names" : false, "suffix" : "" }, { "dropping-particle" : "", "family" : "Souviron Encabo", "given" : "R.", "non-dropping-particle" : "", "parse-names" : false, "suffix" : "" }, { "dropping-particle" : "", "family" : "Scola Yurrita", "given" : "B.", "non-dropping-particle" : "", "parse-names" : false, "suffix" : "" } ], "container-title" : "Acta Otorrinolaringol\u00f3gica Espa\u00f1ola", "id" : "ITEM-7", "issue" : "5", "issued" : { "date-parts" : [ [ "2005" ] ] }, "page" : "211-214", "publisher" : "Elsevier", "title" : "Tumores malignos de la gl\u00e1ndula par\u00f3tida", "type" : "article-journal", "volume" : "56" }, "uris" : [ "http://www.mendeley.com/documents/?uuid=c2f7c3b2-3ab5-4a3b-bf07-af4bfb2282cc" ] } ], "mendeley" : { "formattedCitation" : "(1,2,7,10\u201313)", "manualFormatting" : "1,2,7,16\u20131", "plainTextFormattedCitation" : "(1,2,7,10\u201313)", "previouslyFormattedCitation" : "(1,2,7,10\u201313)" }, "properties" : { "noteIndex" : 0 }, "schema" : "https://github.com/citation-style-language/schema/raw/master/csl-citation.json" }</w:instrText>
      </w:r>
      <w:r w:rsidR="002F73DD" w:rsidRPr="00CC28B8">
        <w:rPr>
          <w:rFonts w:ascii="Arial" w:hAnsi="Arial" w:cs="Arial"/>
          <w:vertAlign w:val="superscript"/>
        </w:rPr>
        <w:fldChar w:fldCharType="separate"/>
      </w:r>
      <w:r w:rsidR="00FA374F" w:rsidRPr="00CC28B8">
        <w:rPr>
          <w:rFonts w:ascii="Arial" w:hAnsi="Arial" w:cs="Arial"/>
          <w:noProof/>
          <w:vertAlign w:val="superscript"/>
        </w:rPr>
        <w:t>1,</w:t>
      </w:r>
      <w:r w:rsidR="00734777" w:rsidRPr="00CC28B8">
        <w:rPr>
          <w:rFonts w:ascii="Arial" w:hAnsi="Arial" w:cs="Arial"/>
          <w:noProof/>
          <w:vertAlign w:val="superscript"/>
        </w:rPr>
        <w:t>2</w:t>
      </w:r>
      <w:r w:rsidR="00FA374F" w:rsidRPr="00CC28B8">
        <w:rPr>
          <w:rFonts w:ascii="Arial" w:hAnsi="Arial" w:cs="Arial"/>
          <w:noProof/>
          <w:vertAlign w:val="superscript"/>
        </w:rPr>
        <w:t>,7,16–1</w:t>
      </w:r>
      <w:r w:rsidR="002F73DD" w:rsidRPr="00CC28B8">
        <w:rPr>
          <w:rFonts w:ascii="Arial" w:hAnsi="Arial" w:cs="Arial"/>
          <w:vertAlign w:val="superscript"/>
        </w:rPr>
        <w:fldChar w:fldCharType="end"/>
      </w:r>
      <w:r w:rsidR="00967D6E" w:rsidRPr="00CC28B8">
        <w:rPr>
          <w:rFonts w:ascii="Arial" w:hAnsi="Arial" w:cs="Arial"/>
          <w:vertAlign w:val="superscript"/>
          <w:lang w:eastAsia="pt-PT"/>
        </w:rPr>
        <w:t>8</w:t>
      </w:r>
      <w:r w:rsidR="001A6BB0" w:rsidRPr="00CC28B8">
        <w:rPr>
          <w:rFonts w:ascii="Arial" w:hAnsi="Arial" w:cs="Arial"/>
        </w:rPr>
        <w:t>.</w:t>
      </w:r>
      <w:r w:rsidR="00803E76" w:rsidRPr="00CC28B8">
        <w:rPr>
          <w:rFonts w:ascii="Arial" w:hAnsi="Arial" w:cs="Arial"/>
        </w:rPr>
        <w:t xml:space="preserve"> </w:t>
      </w:r>
      <w:r w:rsidR="000817D1" w:rsidRPr="00CC28B8">
        <w:rPr>
          <w:rFonts w:ascii="Arial" w:hAnsi="Arial" w:cs="Arial"/>
        </w:rPr>
        <w:t>Indeed</w:t>
      </w:r>
      <w:r w:rsidR="00803E76" w:rsidRPr="00CC28B8">
        <w:rPr>
          <w:rFonts w:ascii="Arial" w:hAnsi="Arial" w:cs="Arial"/>
        </w:rPr>
        <w:t xml:space="preserve">, we observed a high </w:t>
      </w:r>
      <w:r w:rsidR="00CA5C69" w:rsidRPr="00CC28B8">
        <w:rPr>
          <w:rFonts w:ascii="Arial" w:hAnsi="Arial" w:cs="Arial"/>
        </w:rPr>
        <w:t xml:space="preserve">frequency </w:t>
      </w:r>
      <w:r w:rsidR="00803E76" w:rsidRPr="00CC28B8">
        <w:rPr>
          <w:rFonts w:ascii="Arial" w:hAnsi="Arial" w:cs="Arial"/>
        </w:rPr>
        <w:t xml:space="preserve">of benign epithelial tumors (adenomas), </w:t>
      </w:r>
      <w:r w:rsidR="000817D1" w:rsidRPr="00CC28B8">
        <w:rPr>
          <w:rFonts w:ascii="Arial" w:hAnsi="Arial" w:cs="Arial"/>
        </w:rPr>
        <w:t>being</w:t>
      </w:r>
      <w:r w:rsidR="00965CFA" w:rsidRPr="00CC28B8">
        <w:rPr>
          <w:rFonts w:ascii="Arial" w:hAnsi="Arial" w:cs="Arial"/>
        </w:rPr>
        <w:t xml:space="preserve"> </w:t>
      </w:r>
      <w:r w:rsidR="000817D1" w:rsidRPr="00CC28B8">
        <w:rPr>
          <w:rFonts w:ascii="Arial" w:hAnsi="Arial" w:cs="Arial"/>
        </w:rPr>
        <w:t>p</w:t>
      </w:r>
      <w:r w:rsidR="00965CFA" w:rsidRPr="00CC28B8">
        <w:rPr>
          <w:rFonts w:ascii="Arial" w:hAnsi="Arial" w:cs="Arial"/>
        </w:rPr>
        <w:t>leomorphic adenoma the most common.</w:t>
      </w:r>
      <w:r w:rsidR="000817D1" w:rsidRPr="00CC28B8">
        <w:rPr>
          <w:rFonts w:ascii="Arial" w:hAnsi="Arial" w:cs="Arial"/>
        </w:rPr>
        <w:t xml:space="preserve"> Notably, we found</w:t>
      </w:r>
      <w:r w:rsidR="00965CFA" w:rsidRPr="00CC28B8">
        <w:rPr>
          <w:rFonts w:ascii="Arial" w:hAnsi="Arial" w:cs="Arial"/>
        </w:rPr>
        <w:t xml:space="preserve"> </w:t>
      </w:r>
      <w:r w:rsidR="001A6BB0" w:rsidRPr="00CC28B8">
        <w:rPr>
          <w:rFonts w:ascii="Arial" w:hAnsi="Arial" w:cs="Arial"/>
        </w:rPr>
        <w:t xml:space="preserve">a high </w:t>
      </w:r>
      <w:r w:rsidR="00CA5C69" w:rsidRPr="00CC28B8">
        <w:rPr>
          <w:rFonts w:ascii="Arial" w:hAnsi="Arial" w:cs="Arial"/>
        </w:rPr>
        <w:t xml:space="preserve">frequency </w:t>
      </w:r>
      <w:r w:rsidR="001A6BB0" w:rsidRPr="00CC28B8">
        <w:rPr>
          <w:rFonts w:ascii="Arial" w:hAnsi="Arial" w:cs="Arial"/>
        </w:rPr>
        <w:t>of Warthin</w:t>
      </w:r>
      <w:r w:rsidR="007607BE" w:rsidRPr="00CC28B8">
        <w:rPr>
          <w:rFonts w:ascii="Arial" w:hAnsi="Arial" w:cs="Arial"/>
        </w:rPr>
        <w:t xml:space="preserve"> tumor</w:t>
      </w:r>
      <w:r w:rsidR="000817D1" w:rsidRPr="00CC28B8">
        <w:rPr>
          <w:rFonts w:ascii="Arial" w:hAnsi="Arial" w:cs="Arial"/>
        </w:rPr>
        <w:t>s</w:t>
      </w:r>
      <w:r w:rsidR="007607BE" w:rsidRPr="00CC28B8">
        <w:rPr>
          <w:rFonts w:ascii="Arial" w:hAnsi="Arial" w:cs="Arial"/>
        </w:rPr>
        <w:t xml:space="preserve"> in the male gender, which </w:t>
      </w:r>
      <w:r w:rsidR="000817D1" w:rsidRPr="00CC28B8">
        <w:rPr>
          <w:rFonts w:ascii="Arial" w:hAnsi="Arial" w:cs="Arial"/>
        </w:rPr>
        <w:t xml:space="preserve">may </w:t>
      </w:r>
      <w:r w:rsidR="007607BE" w:rsidRPr="00CC28B8">
        <w:rPr>
          <w:rFonts w:ascii="Arial" w:hAnsi="Arial" w:cs="Arial"/>
        </w:rPr>
        <w:t xml:space="preserve">probably </w:t>
      </w:r>
      <w:r w:rsidR="001D5B28" w:rsidRPr="00CC28B8">
        <w:rPr>
          <w:rFonts w:ascii="Arial" w:hAnsi="Arial" w:cs="Arial"/>
        </w:rPr>
        <w:t xml:space="preserve">be </w:t>
      </w:r>
      <w:r w:rsidR="007607BE" w:rsidRPr="00CC28B8">
        <w:rPr>
          <w:rFonts w:ascii="Arial" w:hAnsi="Arial" w:cs="Arial"/>
        </w:rPr>
        <w:t>relate</w:t>
      </w:r>
      <w:r w:rsidR="001D5B28" w:rsidRPr="00CC28B8">
        <w:rPr>
          <w:rFonts w:ascii="Arial" w:hAnsi="Arial" w:cs="Arial"/>
        </w:rPr>
        <w:t>d</w:t>
      </w:r>
      <w:r w:rsidR="007607BE" w:rsidRPr="00CC28B8">
        <w:rPr>
          <w:rFonts w:ascii="Arial" w:hAnsi="Arial" w:cs="Arial"/>
        </w:rPr>
        <w:t xml:space="preserve"> to smoking</w:t>
      </w:r>
      <w:r w:rsidR="000817D1" w:rsidRPr="00CC28B8">
        <w:rPr>
          <w:rFonts w:ascii="Arial" w:hAnsi="Arial" w:cs="Arial"/>
        </w:rPr>
        <w:t xml:space="preserve"> habits still</w:t>
      </w:r>
      <w:r w:rsidR="001D5B28" w:rsidRPr="00CC28B8">
        <w:rPr>
          <w:rFonts w:ascii="Arial" w:hAnsi="Arial" w:cs="Arial"/>
        </w:rPr>
        <w:t xml:space="preserve"> be</w:t>
      </w:r>
      <w:r w:rsidR="000817D1" w:rsidRPr="00CC28B8">
        <w:rPr>
          <w:rFonts w:ascii="Arial" w:hAnsi="Arial" w:cs="Arial"/>
        </w:rPr>
        <w:t xml:space="preserve"> more common</w:t>
      </w:r>
      <w:r w:rsidR="007607BE" w:rsidRPr="00CC28B8">
        <w:rPr>
          <w:rFonts w:ascii="Arial" w:hAnsi="Arial" w:cs="Arial"/>
        </w:rPr>
        <w:t xml:space="preserve"> </w:t>
      </w:r>
      <w:r w:rsidR="001A56A6" w:rsidRPr="00CC28B8">
        <w:rPr>
          <w:rFonts w:ascii="Arial" w:hAnsi="Arial" w:cs="Arial"/>
        </w:rPr>
        <w:t>in men</w:t>
      </w:r>
      <w:r w:rsidR="001A6BB0" w:rsidRPr="00CC28B8">
        <w:rPr>
          <w:rFonts w:ascii="Arial" w:hAnsi="Arial" w:cs="Arial"/>
        </w:rPr>
        <w:t xml:space="preserve"> in the past</w:t>
      </w:r>
      <w:r w:rsidR="002F73DD" w:rsidRPr="00CC28B8">
        <w:rPr>
          <w:rFonts w:ascii="Arial" w:hAnsi="Arial" w:cs="Arial"/>
          <w:vertAlign w:val="superscript"/>
        </w:rPr>
        <w:fldChar w:fldCharType="begin" w:fldLock="1"/>
      </w:r>
      <w:r w:rsidR="00967D6E" w:rsidRPr="00CC28B8">
        <w:rPr>
          <w:rFonts w:ascii="Arial" w:hAnsi="Arial" w:cs="Arial"/>
          <w:vertAlign w:val="superscript"/>
        </w:rPr>
        <w:instrText>ADDIN CSL_CITATION { "citationItems" : [ { "id" : "ITEM-1", "itemData" : { "DOI" : "10.1002/cncr.23393", "ISBN" : "0008-543X", "ISSN" : "0008543X", "PMID" : "18361448", "abstract" : "Because existing data regarding the relation between smoking and salivary gland tumors are sparse, tobacco is currently not classified as a salivary gland carcinogen. The objective of the current study was to assess the association between smoking and benign and malignant parotid gland tumors (PGTs) in a nationwide study.", "author" : [ { "dropping-particle" : "", "family" : "Sadetzki", "given" : "Siegal", "non-dropping-particle" : "", "parse-names" : false, "suffix" : "" }, { "dropping-particle" : "", "family" : "Oberman", "given" : "Bernice", "non-dropping-particle" : "", "parse-names" : false, "suffix" : "" }, { "dropping-particle" : "", "family" : "Mandelzweig", "given" : "Lori", "non-dropping-particle" : "", "parse-names" : false, "suffix" : "" }, { "dropping-particle" : "", "family" : "Chetrit", "given" : "Angela", "non-dropping-particle" : "", "parse-names" : false, "suffix" : "" }, { "dropping-particle" : "", "family" : "Ben-Tal", "given" : "Tehila", "non-dropping-particle" : "", "parse-names" : false, "suffix" : "" }, { "dropping-particle" : "", "family" : "Jarus-Hakak", "given" : "Avital", "non-dropping-particle" : "", "parse-names" : false, "suffix" : "" }, { "dropping-particle" : "", "family" : "Duvdevani", "given" : "Shay", "non-dropping-particle" : "", "parse-names" : false, "suffix" : "" }, { "dropping-particle" : "", "family" : "Cardis", "given" : "Elisabeth", "non-dropping-particle" : "", "parse-names" : false, "suffix" : "" }, { "dropping-particle" : "", "family" : "Wolf", "given" : "Michael", "non-dropping-particle" : "", "parse-names" : false, "suffix" : "" } ], "container-title" : "Cancer", "id" : "ITEM-1", "issue" : "9", "issued" : { "date-parts" : [ [ "2008" ] ] }, "page" : "1974-1982", "title" : "Smoking and risk of parotid gland tumors: A nationwide case-control study", "type" : "article-journal", "volume" : "112" }, "uris" : [ "http://www.mendeley.com/documents/?uuid=bbf4f1f1-9c3d-4f76-a17c-458520cdd516" ] } ], "mendeley" : { "formattedCitation" : "(14)", "manualFormatting" : "1", "plainTextFormattedCitation" : "(14)", "previouslyFormattedCitation" : "(14)" }, "properties" : { "noteIndex" : 0 }, "schema" : "https://github.com/citation-style-language/schema/raw/master/csl-citation.json" }</w:instrText>
      </w:r>
      <w:r w:rsidR="002F73DD" w:rsidRPr="00CC28B8">
        <w:rPr>
          <w:rFonts w:ascii="Arial" w:hAnsi="Arial" w:cs="Arial"/>
          <w:vertAlign w:val="superscript"/>
        </w:rPr>
        <w:fldChar w:fldCharType="separate"/>
      </w:r>
      <w:r w:rsidR="004E4656" w:rsidRPr="00CC28B8">
        <w:rPr>
          <w:rFonts w:ascii="Arial" w:hAnsi="Arial" w:cs="Arial"/>
          <w:noProof/>
          <w:vertAlign w:val="superscript"/>
        </w:rPr>
        <w:t>1</w:t>
      </w:r>
      <w:r w:rsidR="002F73DD" w:rsidRPr="00CC28B8">
        <w:rPr>
          <w:rFonts w:ascii="Arial" w:hAnsi="Arial" w:cs="Arial"/>
          <w:vertAlign w:val="superscript"/>
        </w:rPr>
        <w:fldChar w:fldCharType="end"/>
      </w:r>
      <w:r w:rsidR="00967D6E" w:rsidRPr="00CC28B8">
        <w:rPr>
          <w:rFonts w:ascii="Arial" w:hAnsi="Arial" w:cs="Arial"/>
          <w:vertAlign w:val="superscript"/>
          <w:lang w:eastAsia="pt-PT"/>
        </w:rPr>
        <w:t>9</w:t>
      </w:r>
      <w:r w:rsidR="007607BE" w:rsidRPr="00CC28B8">
        <w:rPr>
          <w:rFonts w:ascii="Arial" w:hAnsi="Arial" w:cs="Arial"/>
        </w:rPr>
        <w:t xml:space="preserve">. The </w:t>
      </w:r>
      <w:r w:rsidR="00CF2B04" w:rsidRPr="00CC28B8">
        <w:rPr>
          <w:rFonts w:ascii="Arial" w:hAnsi="Arial" w:cs="Arial"/>
        </w:rPr>
        <w:t>proportion</w:t>
      </w:r>
      <w:r w:rsidR="007607BE" w:rsidRPr="00CC28B8">
        <w:rPr>
          <w:rFonts w:ascii="Arial" w:hAnsi="Arial" w:cs="Arial"/>
        </w:rPr>
        <w:t xml:space="preserve"> of </w:t>
      </w:r>
      <w:r w:rsidR="0093094C" w:rsidRPr="00CC28B8">
        <w:rPr>
          <w:rFonts w:ascii="Arial" w:hAnsi="Arial" w:cs="Arial"/>
        </w:rPr>
        <w:t xml:space="preserve">primary </w:t>
      </w:r>
      <w:r w:rsidR="007607BE" w:rsidRPr="00CC28B8">
        <w:rPr>
          <w:rFonts w:ascii="Arial" w:hAnsi="Arial" w:cs="Arial"/>
        </w:rPr>
        <w:t>malignant tumors</w:t>
      </w:r>
      <w:r w:rsidR="00CA5C69" w:rsidRPr="00CC28B8">
        <w:rPr>
          <w:rFonts w:ascii="Arial" w:hAnsi="Arial" w:cs="Arial"/>
        </w:rPr>
        <w:t xml:space="preserve"> </w:t>
      </w:r>
      <w:r w:rsidR="00CF2B04" w:rsidRPr="00CC28B8">
        <w:rPr>
          <w:rFonts w:ascii="Arial" w:hAnsi="Arial" w:cs="Arial"/>
        </w:rPr>
        <w:t xml:space="preserve">is slightly lower than </w:t>
      </w:r>
      <w:r w:rsidR="000817D1" w:rsidRPr="00CC28B8">
        <w:rPr>
          <w:rFonts w:ascii="Arial" w:hAnsi="Arial" w:cs="Arial"/>
        </w:rPr>
        <w:t>reported by others</w:t>
      </w:r>
      <w:r w:rsidR="002F73DD" w:rsidRPr="00CC28B8">
        <w:rPr>
          <w:rFonts w:ascii="Arial" w:hAnsi="Arial" w:cs="Arial"/>
          <w:vertAlign w:val="superscript"/>
        </w:rPr>
        <w:fldChar w:fldCharType="begin" w:fldLock="1"/>
      </w:r>
      <w:r w:rsidR="00967D6E" w:rsidRPr="00CC28B8">
        <w:rPr>
          <w:rFonts w:ascii="Arial" w:hAnsi="Arial" w:cs="Arial"/>
          <w:vertAlign w:val="superscript"/>
        </w:rPr>
        <w:instrText>ADDIN CSL_CITATION { "citationItems" : [ { "id" : "ITEM-1", "itemData" : { "DOI" : "10.1016/j.jcms.2011.05.002", "ISSN" : "1878-4119", "PMID" : "21641811", "abstract" : "INTRODUCTION: The aim of this study was to determine the types, frequency, distribution, and demographic characteristics of salivary gland tumours in a large representative sample.\\n\\nPATIENTS AND METHODS: We retrospectively analysed the medical records of 779 patients with tumours of the salivary glands surgically treated from 1985 to 2009 at a single institution.\\n\\nRESULTS: There were 500 benign and 279 malignant tumours. The average age of patients with benign tumours was 50 years and of malignant salivary gland tumours 56 years. No differences in age and incidence of tumours existed between males and females. The majority of the tumours occurred in the parotid gland (509), followed by the minor salivary glands (212), the submandibular gland (51) and lastly, the sublingual gland (7). Minor salivary gland tumours occurred most frequently on the palate, the pleomorphic adenoma being the most frequent benign tumour type and the adenoid cystic carcinoma being the commonest malignant tumour. Tumours of the sublingual gland were rare, but all were malignant. Malignant tumours were more common in the minor salivary glands and the submandibular gland.\\n\\nCONCLUSION: This large study of salivary gland tumours in Croatia could improve our understanding of the significant differences in the global distribution of salivary gland tumours which have been reported.", "author" : [ { "dropping-particle" : "", "family" : "Luk\u0161i\u0107", "given" : "Ivica", "non-dropping-particle" : "", "parse-names" : false, "suffix" : "" }, { "dropping-particle" : "", "family" : "Virag", "given" : "Mi\u0161o", "non-dropping-particle" : "", "parse-names" : false, "suffix" : "" }, { "dropping-particle" : "", "family" : "Manojlovi\u0107", "given" : "Spomenka", "non-dropping-particle" : "", "parse-names" : false, "suffix" : "" }, { "dropping-particle" : "", "family" : "Macan", "given" : "Darko", "non-dropping-particle" : "", "parse-names" : false, "suffix" : "" } ], "container-title" : "Journal of cranio-maxillo-facial surgery : official publication of the European Association for Cranio-Maxillo-Facial Surgery", "id" : "ITEM-1", "issue" : "3", "issued" : { "date-parts" : [ [ "2012" ] ] }, "page" : "e75-81", "title" : "Salivary gland tumours: 25 years of experience from a single institution in Croatia.", "type" : "article-journal", "volume" : "40" }, "uris" : [ "http://www.mendeley.com/documents/?uuid=2dff120b-4cfa-433c-ae3f-7733bad1201c" ] }, { "id" : "ITEM-2", "itemData" : { "DOI" : "10.1002/path.1711460106", "ISSN" : "0022-3417", "PMID" : "4009321", "abstract" : "To date the British Salivary Gland Tumour Panel has accumulated 2569 salivary gland tumours. Of these, 2410 were primary epithelial salivary gland tumours and these formed the basis of the present study. The diagnosis of individual tumours was based on the World Health Organisation classification. Tumours were analysed according to histological type, site, age and sex. The principal site was the parotid and the combined minor (oropharyngeal) glands formed the second largest group. Pleomorphic adenomas formed the largest group of tumours in most sites, but were particularly common in the parotid. The frequency of malignant tumours increased with age after the third decade and was maximal in the eighth decade. Malignant tumours were more common in the submandibular and the minor glands than in the parotid. In the sublingual gland six out of seven tumours were malignant.", "author" : [ { "dropping-particle" : "", "family" : "Eveson", "given" : "J W", "non-dropping-particle" : "", "parse-names" : false, "suffix" : "" }, { "dropping-particle" : "", "family" : "Cawson", "given" : "R a", "non-dropping-particle" : "", "parse-names" : false, "suffix" : "" } ], "container-title" : "The Journal of pathology", "id" : "ITEM-2", "issue" : "1", "issued" : { "date-parts" : [ [ "1985" ] ] }, "page" : "51-58", "title" : "Salivary gland tumours. A review of 2410 cases with particular reference to histological types, site, age and sex distribution.", "type" : "article-journal", "volume" : "146" }, "uris" : [ "http://www.mendeley.com/documents/?uuid=776b6cf5-876d-457e-b82e-3e018468a40b" ] } ], "mendeley" : { "formattedCitation" : "(1,2)", "manualFormatting" : "1,2", "plainTextFormattedCitation" : "(1,2)", "previouslyFormattedCitation" : "(1,2)" }, "properties" : { "noteIndex" : 0 }, "schema" : "https://github.com/citation-style-language/schema/raw/master/csl-citation.json" }</w:instrText>
      </w:r>
      <w:r w:rsidR="002F73DD" w:rsidRPr="00CC28B8">
        <w:rPr>
          <w:rFonts w:ascii="Arial" w:hAnsi="Arial" w:cs="Arial"/>
          <w:vertAlign w:val="superscript"/>
        </w:rPr>
        <w:fldChar w:fldCharType="separate"/>
      </w:r>
      <w:r w:rsidR="00B6080B" w:rsidRPr="00CC28B8">
        <w:rPr>
          <w:rFonts w:ascii="Arial" w:hAnsi="Arial" w:cs="Arial"/>
          <w:noProof/>
          <w:vertAlign w:val="superscript"/>
        </w:rPr>
        <w:t>1</w:t>
      </w:r>
      <w:r w:rsidR="00967D6E" w:rsidRPr="00CC28B8">
        <w:rPr>
          <w:rFonts w:ascii="Arial" w:hAnsi="Arial" w:cs="Arial"/>
          <w:noProof/>
          <w:vertAlign w:val="superscript"/>
        </w:rPr>
        <w:t>,2</w:t>
      </w:r>
      <w:r w:rsidR="002F73DD" w:rsidRPr="00CC28B8">
        <w:rPr>
          <w:rFonts w:ascii="Arial" w:hAnsi="Arial" w:cs="Arial"/>
          <w:vertAlign w:val="superscript"/>
        </w:rPr>
        <w:fldChar w:fldCharType="end"/>
      </w:r>
      <w:r w:rsidR="00CF2B04" w:rsidRPr="00CC28B8">
        <w:rPr>
          <w:rFonts w:ascii="Arial" w:hAnsi="Arial" w:cs="Arial"/>
        </w:rPr>
        <w:t xml:space="preserve">, which </w:t>
      </w:r>
      <w:r w:rsidR="000817D1" w:rsidRPr="00CC28B8">
        <w:rPr>
          <w:rFonts w:ascii="Arial" w:hAnsi="Arial" w:cs="Arial"/>
        </w:rPr>
        <w:t xml:space="preserve">might </w:t>
      </w:r>
      <w:r w:rsidR="00CF2B04" w:rsidRPr="00CC28B8">
        <w:rPr>
          <w:rFonts w:ascii="Arial" w:hAnsi="Arial" w:cs="Arial"/>
        </w:rPr>
        <w:t>be</w:t>
      </w:r>
      <w:r w:rsidR="00CF2B04" w:rsidRPr="00D50719">
        <w:rPr>
          <w:rFonts w:ascii="Arial" w:hAnsi="Arial" w:cs="Arial"/>
          <w:color w:val="212121"/>
        </w:rPr>
        <w:t xml:space="preserve"> related with </w:t>
      </w:r>
      <w:r w:rsidR="002F4371" w:rsidRPr="00D50719">
        <w:rPr>
          <w:rFonts w:ascii="Arial" w:hAnsi="Arial" w:cs="Arial"/>
          <w:color w:val="212121"/>
        </w:rPr>
        <w:t>refer</w:t>
      </w:r>
      <w:r w:rsidR="002F4371">
        <w:rPr>
          <w:rFonts w:ascii="Arial" w:hAnsi="Arial" w:cs="Arial"/>
          <w:color w:val="212121"/>
        </w:rPr>
        <w:t>ral</w:t>
      </w:r>
      <w:r w:rsidR="002F4371" w:rsidRPr="00D50719">
        <w:rPr>
          <w:rFonts w:ascii="Arial" w:hAnsi="Arial" w:cs="Arial"/>
          <w:color w:val="212121"/>
        </w:rPr>
        <w:t xml:space="preserve"> </w:t>
      </w:r>
      <w:r w:rsidR="00CF2B04" w:rsidRPr="00D50719">
        <w:rPr>
          <w:rFonts w:ascii="Arial" w:hAnsi="Arial" w:cs="Arial"/>
          <w:color w:val="212121"/>
        </w:rPr>
        <w:t>bias</w:t>
      </w:r>
      <w:r w:rsidR="000817D1">
        <w:rPr>
          <w:rFonts w:ascii="Arial" w:hAnsi="Arial" w:cs="Arial"/>
          <w:color w:val="212121"/>
        </w:rPr>
        <w:t xml:space="preserve"> of our series</w:t>
      </w:r>
      <w:r w:rsidR="00CF2B04" w:rsidRPr="00D50719">
        <w:rPr>
          <w:rFonts w:ascii="Arial" w:hAnsi="Arial" w:cs="Arial"/>
          <w:color w:val="212121"/>
        </w:rPr>
        <w:t xml:space="preserve">. </w:t>
      </w:r>
      <w:r w:rsidR="00BC1C0B">
        <w:rPr>
          <w:rFonts w:ascii="Arial" w:hAnsi="Arial" w:cs="Arial"/>
          <w:color w:val="212121"/>
        </w:rPr>
        <w:t>Nevertheless, t</w:t>
      </w:r>
      <w:r w:rsidR="00BC1C0B" w:rsidRPr="00D50719">
        <w:rPr>
          <w:rFonts w:ascii="Arial" w:hAnsi="Arial" w:cs="Arial"/>
          <w:color w:val="212121"/>
        </w:rPr>
        <w:t>he</w:t>
      </w:r>
      <w:r w:rsidR="00BC1C0B" w:rsidRPr="00CF2B04">
        <w:rPr>
          <w:rFonts w:ascii="Arial" w:hAnsi="Arial" w:cs="Arial"/>
          <w:color w:val="212121"/>
        </w:rPr>
        <w:t xml:space="preserve"> </w:t>
      </w:r>
      <w:r w:rsidR="007607BE" w:rsidRPr="00CF2B04">
        <w:rPr>
          <w:rFonts w:ascii="Arial" w:hAnsi="Arial" w:cs="Arial"/>
          <w:color w:val="212121"/>
        </w:rPr>
        <w:t xml:space="preserve">most frequent subtypes </w:t>
      </w:r>
      <w:r w:rsidR="00BC1C0B">
        <w:rPr>
          <w:rFonts w:ascii="Arial" w:hAnsi="Arial" w:cs="Arial"/>
          <w:color w:val="212121"/>
        </w:rPr>
        <w:t>correspond</w:t>
      </w:r>
      <w:r w:rsidR="00BC1C0B" w:rsidRPr="00CF2B04">
        <w:rPr>
          <w:rFonts w:ascii="Arial" w:hAnsi="Arial" w:cs="Arial"/>
          <w:color w:val="212121"/>
        </w:rPr>
        <w:t xml:space="preserve"> </w:t>
      </w:r>
      <w:r w:rsidR="007607BE" w:rsidRPr="00CC28B8">
        <w:rPr>
          <w:rFonts w:ascii="Arial" w:hAnsi="Arial" w:cs="Arial"/>
        </w:rPr>
        <w:t xml:space="preserve">with those </w:t>
      </w:r>
      <w:r w:rsidR="00BC1C0B" w:rsidRPr="00CC28B8">
        <w:rPr>
          <w:rFonts w:ascii="Arial" w:hAnsi="Arial" w:cs="Arial"/>
        </w:rPr>
        <w:t xml:space="preserve">reported </w:t>
      </w:r>
      <w:r w:rsidR="00CF2B04" w:rsidRPr="00CC28B8">
        <w:rPr>
          <w:rFonts w:ascii="Arial" w:hAnsi="Arial" w:cs="Arial"/>
        </w:rPr>
        <w:t>i</w:t>
      </w:r>
      <w:r w:rsidR="00B6080B" w:rsidRPr="00CC28B8">
        <w:rPr>
          <w:rFonts w:ascii="Arial" w:hAnsi="Arial" w:cs="Arial"/>
        </w:rPr>
        <w:t>n</w:t>
      </w:r>
      <w:r w:rsidR="00CF2B04" w:rsidRPr="00CC28B8">
        <w:rPr>
          <w:rFonts w:ascii="Arial" w:hAnsi="Arial" w:cs="Arial"/>
        </w:rPr>
        <w:t xml:space="preserve"> other studies</w:t>
      </w:r>
      <w:r w:rsidR="007607BE" w:rsidRPr="00CC28B8">
        <w:rPr>
          <w:rFonts w:ascii="Arial" w:hAnsi="Arial" w:cs="Arial"/>
        </w:rPr>
        <w:t xml:space="preserve">. The </w:t>
      </w:r>
      <w:r w:rsidR="004964B0" w:rsidRPr="00CC28B8">
        <w:rPr>
          <w:rFonts w:ascii="Arial" w:hAnsi="Arial" w:cs="Arial"/>
        </w:rPr>
        <w:t>disease</w:t>
      </w:r>
      <w:r w:rsidR="0044684B" w:rsidRPr="00CC28B8">
        <w:rPr>
          <w:rFonts w:ascii="Arial" w:hAnsi="Arial" w:cs="Arial"/>
        </w:rPr>
        <w:t xml:space="preserve">-specific </w:t>
      </w:r>
      <w:r w:rsidR="004964B0" w:rsidRPr="00CC28B8">
        <w:rPr>
          <w:rFonts w:ascii="Arial" w:hAnsi="Arial" w:cs="Arial"/>
        </w:rPr>
        <w:t>survival</w:t>
      </w:r>
      <w:bookmarkStart w:id="0" w:name="_GoBack"/>
      <w:bookmarkEnd w:id="0"/>
      <w:r w:rsidR="007607BE" w:rsidRPr="00CC28B8">
        <w:rPr>
          <w:rFonts w:ascii="Arial" w:hAnsi="Arial" w:cs="Arial"/>
        </w:rPr>
        <w:t xml:space="preserve"> rate </w:t>
      </w:r>
      <w:r w:rsidR="004A0AC2" w:rsidRPr="00CC28B8">
        <w:rPr>
          <w:rFonts w:ascii="Arial" w:hAnsi="Arial" w:cs="Arial"/>
        </w:rPr>
        <w:t>appears</w:t>
      </w:r>
      <w:r w:rsidR="0093094C" w:rsidRPr="00CC28B8">
        <w:rPr>
          <w:rFonts w:ascii="Arial" w:hAnsi="Arial" w:cs="Arial"/>
        </w:rPr>
        <w:t xml:space="preserve"> to be </w:t>
      </w:r>
      <w:r w:rsidR="0044684B" w:rsidRPr="00CC28B8">
        <w:rPr>
          <w:rFonts w:ascii="Arial" w:hAnsi="Arial" w:cs="Arial"/>
        </w:rPr>
        <w:t>similar to the previously reported</w:t>
      </w:r>
      <w:r w:rsidR="002F4371" w:rsidRPr="00CC28B8">
        <w:rPr>
          <w:rFonts w:ascii="Arial" w:hAnsi="Arial" w:cs="Arial"/>
        </w:rPr>
        <w:t xml:space="preserve"> in other E</w:t>
      </w:r>
      <w:r w:rsidR="0044684B" w:rsidRPr="00CC28B8">
        <w:rPr>
          <w:rFonts w:ascii="Arial" w:hAnsi="Arial" w:cs="Arial"/>
        </w:rPr>
        <w:t xml:space="preserve">uropean </w:t>
      </w:r>
      <w:r w:rsidR="00050FB0" w:rsidRPr="00CC28B8">
        <w:rPr>
          <w:rFonts w:ascii="Arial" w:hAnsi="Arial" w:cs="Arial"/>
        </w:rPr>
        <w:t>studies</w:t>
      </w:r>
      <w:r w:rsidR="002F73DD" w:rsidRPr="00CC28B8">
        <w:rPr>
          <w:rFonts w:ascii="Arial" w:hAnsi="Arial" w:cs="Arial"/>
          <w:vertAlign w:val="superscript"/>
        </w:rPr>
        <w:fldChar w:fldCharType="begin" w:fldLock="1"/>
      </w:r>
      <w:r w:rsidR="00967D6E" w:rsidRPr="00CC28B8">
        <w:rPr>
          <w:rFonts w:ascii="Arial" w:hAnsi="Arial" w:cs="Arial"/>
          <w:vertAlign w:val="superscript"/>
        </w:rPr>
        <w:instrText>ADDIN CSL_CITATION { "citationItems" : [ { "id" : "ITEM-1", "itemData" : { "DOI" : "10.1016/j.oraloncology.2011.09.005", "ISBN" : "1368-8375", "ISSN" : "13688375", "PMID" : "21968090", "abstract" : "To describe outcome and prognostic factors in a national Danish series of patients treated for salivary gland carcinoma. From three Danish nation-wide registries and supplementary patient records, 871 patients diagnosed with primary major or minor salivary gland carcinoma in the period from 1990 to 2005 were identified. A total of 796 (91%) histological specimens were revised according to the WHO 2005 classification. The median follow-up time was 78 months. Three hundred and thirty-four patients (38%) experienced recurrence. Crude survival, disease-specific survival and recurrence-free survival after 5 and 10 years were 66%, 76%, 64% and 51%, 69%, 58%, respectively. In multivariate analysis age, latency, stage, microscopic margins, vascular invasion and histological grade were all independent prognostic factors with regards to crude and disease-specific survival. Stage, microscopic margins, vascular invasion and histological grade were independent prognostic factors for recurrence-free survival. Age over 61 years, latency under 8 months, stage 3 + 4 disease, involved or close microscopic margins, vascular invasion and high histological grade are all independent prognostic factors with a negative impact on survival in salivary gland carcinoma patients. This knowledge can be helpful in guiding clinicians in daily work and choice of treatment across the large variety of salivary gland carcinoma subtypes. ?? 2011 Elsevier Ltd. All rights reserved.", "author" : [ { "dropping-particle" : "", "family" : "Bj\u00f8rndal", "given" : "Kristine", "non-dropping-particle" : "", "parse-names" : false, "suffix" : "" }, { "dropping-particle" : "", "family" : "Krogdahl", "given" : "Annelise", "non-dropping-particle" : "", "parse-names" : false, "suffix" : "" }, { "dropping-particle" : "", "family" : "Therkildsen", "given" : "Marianne Hamilton", "non-dropping-particle" : "", "parse-names" : false, "suffix" : "" }, { "dropping-particle" : "", "family" : "Overgaard", "given" : "Jens", "non-dropping-particle" : "", "parse-names" : false, "suffix" : "" }, { "dropping-particle" : "", "family" : "Johansen", "given" : "J\u00f8rgen", "non-dropping-particle" : "", "parse-names" : false, "suffix" : "" }, { "dropping-particle" : "", "family" : "Kristensen", "given" : "Claus A.", "non-dropping-particle" : "", "parse-names" : false, "suffix" : "" }, { "dropping-particle" : "", "family" : "Hom\u00f8e", "given" : "Preben", "non-dropping-particle" : "", "parse-names" : false, "suffix" : "" }, { "dropping-particle" : "", "family" : "S\u00f8rensen", "given" : "Christian Hjort", "non-dropping-particle" : "", "parse-names" : false, "suffix" : "" }, { "dropping-particle" : "", "family" : "Andersen", "given" : "Elo", "non-dropping-particle" : "", "parse-names" : false, "suffix" : "" }, { "dropping-particle" : "", "family" : "Bundgaard", "given" : "Troels", "non-dropping-particle" : "", "parse-names" : false, "suffix" : "" }, { "dropping-particle" : "", "family" : "Primdahl", "given" : "Hanne", "non-dropping-particle" : "", "parse-names" : false, "suffix" : "" }, { "dropping-particle" : "", "family" : "Lambertsen", "given" : "Karin", "non-dropping-particle" : "", "parse-names" : false, "suffix" : "" }, { "dropping-particle" : "", "family" : "Andersen", "given" : "Lisbeth Juhler", "non-dropping-particle" : "", "parse-names" : false, "suffix" : "" }, { "dropping-particle" : "", "family" : "Godballe", "given" : "Christian", "non-dropping-particle" : "", "parse-names" : false, "suffix" : "" } ], "container-title" : "Oral Oncology", "id" : "ITEM-1", "issue" : "2", "issued" : { "date-parts" : [ [ "2012" ] ] }, "page" : "179-185", "title" : "Salivary gland carcinoma in Denmark 1990-2005: Outcome and prognostic factors: Results of the Danish Head and Neck Cancer Group (DAHANCA)", "type" : "article-journal", "volume" : "48" }, "uris" : [ "http://www.mendeley.com/documents/?uuid=c9301b77-4180-4d02-b9af-a70a46d02edd" ] }, { "id" : "ITEM-2", "itemData" : { "DOI" : "10.1016/S1368-8375(02)00007-6", "ISBN" : "13688375 (ISSN)", "ISSN" : "13688375", "abstract" : "Salivary gland carcinomas demonstrate a wide diversity of histopathological types and biological behavior. The aim of this study was to analyze relative survival of patients with major salivary gland carcinomas with special reference to histopathology, gender and age. All new carcinomas of the major salivary glands reported to the National Swedish Cancer Registry 1960-1995 were searched for and the vital status of the cases was updated by record linkage to the Swedish Population Registry through December 31 1996. The study comprised 2465 patients with carcinoma of the parotid or submandibular glands. Relative survival differed markedly according to histopathological typing (P&lt;0.001). For parotid tumors, acinic cell carcinomas had the best prognosis with a 10-year relative survival of 88%. The corresponding figures for mucoepidermoid carcinomas, adenoidcystic carcinomas and carcinoma ex pleomorphic adenoma were 80, 74 and 73%. Adenocarcinoma NOS and undifferentiated carcinoma had worse prognosis, with 10-year relative survival of 55 and 44%. Patients with submandibular gland cancer had similar relative survival to those with parotid cancers, besides those with mucoepidermoid cancer and adenocarcinoma NOS, who carried worse prognosis. Age and gender had an impact on relative survival for patients with mucoepidermoid carcinoma, adenocarcinoma and undifferentiated cancer of the parotid. \u00a9 2002 Elsevier Science Ltd. All rights reserved.", "author" : [ { "dropping-particle" : "", "family" : "Wahlberg", "given" : "P.", "non-dropping-particle" : "", "parse-names" : false, "suffix" : "" }, { "dropping-particle" : "", "family" : "Anderson", "given" : "H.", "non-dropping-particle" : "", "parse-names" : false, "suffix" : "" }, { "dropping-particle" : "", "family" : "Bi\u00f6rklund", "given" : "A.", "non-dropping-particle" : "", "parse-names" : false, "suffix" : "" }, { "dropping-particle" : "", "family" : "M\u00f6ller", "given" : "T.", "non-dropping-particle" : "", "parse-names" : false, "suffix" : "" }, { "dropping-particle" : "", "family" : "Perfekt", "given" : "R.", "non-dropping-particle" : "", "parse-names" : false, "suffix" : "" } ], "container-title" : "Oral Oncology", "id" : "ITEM-2", "issue" : "7", "issued" : { "date-parts" : [ [ "2002" ] ] }, "page" : "706-713", "title" : "Carcinoma of the parotid and submandibular glands - A study of survival in 2465 patients", "type" : "article-journal", "volume" : "38" }, "uris" : [ "http://www.mendeley.com/documents/?uuid=7f567b8b-0061-4df6-a11d-c19c9da25a74" ] } ], "mendeley" : { "formattedCitation" : "(15,16)", "manualFormatting" : "20,21", "plainTextFormattedCitation" : "(15,16)", "previouslyFormattedCitation" : "(15,16)" }, "properties" : { "noteIndex" : 0 }, "schema" : "https://github.com/citation-style-language/schema/raw/master/csl-citation.json" }</w:instrText>
      </w:r>
      <w:r w:rsidR="002F73DD" w:rsidRPr="00CC28B8">
        <w:rPr>
          <w:rFonts w:ascii="Arial" w:hAnsi="Arial" w:cs="Arial"/>
          <w:vertAlign w:val="superscript"/>
        </w:rPr>
        <w:fldChar w:fldCharType="separate"/>
      </w:r>
      <w:r w:rsidR="00967D6E" w:rsidRPr="00CC28B8">
        <w:rPr>
          <w:rFonts w:ascii="Arial" w:hAnsi="Arial" w:cs="Arial"/>
          <w:noProof/>
          <w:vertAlign w:val="superscript"/>
        </w:rPr>
        <w:t>20,21</w:t>
      </w:r>
      <w:r w:rsidR="002F73DD" w:rsidRPr="00CC28B8">
        <w:rPr>
          <w:rFonts w:ascii="Arial" w:hAnsi="Arial" w:cs="Arial"/>
          <w:vertAlign w:val="superscript"/>
        </w:rPr>
        <w:fldChar w:fldCharType="end"/>
      </w:r>
      <w:r w:rsidR="0093094C" w:rsidRPr="00CC28B8">
        <w:rPr>
          <w:rFonts w:ascii="Arial" w:hAnsi="Arial" w:cs="Arial"/>
        </w:rPr>
        <w:t xml:space="preserve">, and </w:t>
      </w:r>
      <w:r w:rsidR="00BC1C0B" w:rsidRPr="00CC28B8">
        <w:rPr>
          <w:rFonts w:ascii="Arial" w:hAnsi="Arial" w:cs="Arial"/>
        </w:rPr>
        <w:t>seems to be</w:t>
      </w:r>
      <w:r w:rsidR="004A0AC2" w:rsidRPr="00CC28B8">
        <w:rPr>
          <w:rFonts w:ascii="Arial" w:hAnsi="Arial" w:cs="Arial"/>
        </w:rPr>
        <w:t xml:space="preserve"> influenced by the histological subtype, grade and</w:t>
      </w:r>
      <w:r w:rsidR="00BC1C0B" w:rsidRPr="00CC28B8">
        <w:rPr>
          <w:rFonts w:ascii="Arial" w:hAnsi="Arial" w:cs="Arial"/>
        </w:rPr>
        <w:t xml:space="preserve"> tumor</w:t>
      </w:r>
      <w:r w:rsidR="004A0AC2" w:rsidRPr="00CC28B8">
        <w:rPr>
          <w:rFonts w:ascii="Arial" w:hAnsi="Arial" w:cs="Arial"/>
        </w:rPr>
        <w:t xml:space="preserve"> </w:t>
      </w:r>
      <w:r w:rsidR="007607BE" w:rsidRPr="00CC28B8">
        <w:rPr>
          <w:rFonts w:ascii="Arial" w:hAnsi="Arial" w:cs="Arial"/>
        </w:rPr>
        <w:t>stage at</w:t>
      </w:r>
      <w:r w:rsidR="0093094C" w:rsidRPr="00CC28B8">
        <w:rPr>
          <w:rFonts w:ascii="Arial" w:hAnsi="Arial" w:cs="Arial"/>
        </w:rPr>
        <w:t xml:space="preserve"> </w:t>
      </w:r>
      <w:r w:rsidR="007607BE" w:rsidRPr="00CC28B8">
        <w:rPr>
          <w:rFonts w:ascii="Arial" w:hAnsi="Arial" w:cs="Arial"/>
        </w:rPr>
        <w:t>diagnosis</w:t>
      </w:r>
      <w:r w:rsidR="00BC1C0B" w:rsidRPr="00CC28B8">
        <w:rPr>
          <w:rFonts w:ascii="Arial" w:hAnsi="Arial" w:cs="Arial"/>
        </w:rPr>
        <w:t xml:space="preserve"> of patients</w:t>
      </w:r>
      <w:r w:rsidR="007607BE" w:rsidRPr="00CC28B8">
        <w:rPr>
          <w:rFonts w:ascii="Arial" w:hAnsi="Arial" w:cs="Arial"/>
        </w:rPr>
        <w:t>.</w:t>
      </w:r>
      <w:r w:rsidR="00B957E1" w:rsidRPr="00CC28B8">
        <w:rPr>
          <w:rFonts w:ascii="Arial" w:hAnsi="Arial" w:cs="Arial"/>
        </w:rPr>
        <w:t xml:space="preserve"> </w:t>
      </w:r>
      <w:r w:rsidR="009C4F69" w:rsidRPr="00CC28B8">
        <w:rPr>
          <w:rFonts w:ascii="Arial" w:hAnsi="Arial" w:cs="Arial"/>
        </w:rPr>
        <w:t>Indeed, the presence of 53.</w:t>
      </w:r>
      <w:r w:rsidRPr="00CC28B8">
        <w:rPr>
          <w:rFonts w:ascii="Arial" w:hAnsi="Arial" w:cs="Arial"/>
        </w:rPr>
        <w:t>4 % of low-risk and l</w:t>
      </w:r>
      <w:r w:rsidR="009C4F69" w:rsidRPr="00CC28B8">
        <w:rPr>
          <w:rFonts w:ascii="Arial" w:hAnsi="Arial" w:cs="Arial"/>
        </w:rPr>
        <w:t>ow stage malignant tumors are</w:t>
      </w:r>
      <w:r w:rsidRPr="00CC28B8">
        <w:rPr>
          <w:rFonts w:ascii="Arial" w:hAnsi="Arial" w:cs="Arial"/>
        </w:rPr>
        <w:t xml:space="preserve"> in line with the </w:t>
      </w:r>
      <w:r w:rsidR="009C4F69" w:rsidRPr="00CC28B8">
        <w:rPr>
          <w:rFonts w:ascii="Arial" w:hAnsi="Arial" w:cs="Arial"/>
        </w:rPr>
        <w:t xml:space="preserve">calculated </w:t>
      </w:r>
      <w:r w:rsidRPr="00CC28B8">
        <w:rPr>
          <w:rFonts w:ascii="Arial" w:hAnsi="Arial" w:cs="Arial"/>
        </w:rPr>
        <w:t xml:space="preserve">disease-specific and overall survival curves above the median </w:t>
      </w:r>
      <w:r w:rsidR="009C4F69" w:rsidRPr="00CC28B8">
        <w:rPr>
          <w:rFonts w:ascii="Arial" w:hAnsi="Arial" w:cs="Arial"/>
        </w:rPr>
        <w:t>observed</w:t>
      </w:r>
      <w:r w:rsidRPr="00CC28B8">
        <w:rPr>
          <w:rFonts w:ascii="Arial" w:hAnsi="Arial" w:cs="Arial"/>
        </w:rPr>
        <w:t xml:space="preserve"> in the patients of </w:t>
      </w:r>
      <w:r w:rsidR="00CA5C69" w:rsidRPr="00CC28B8">
        <w:rPr>
          <w:rFonts w:ascii="Arial" w:hAnsi="Arial" w:cs="Arial"/>
        </w:rPr>
        <w:t xml:space="preserve">our </w:t>
      </w:r>
      <w:r w:rsidRPr="00CC28B8">
        <w:rPr>
          <w:rFonts w:ascii="Arial" w:hAnsi="Arial" w:cs="Arial"/>
        </w:rPr>
        <w:t>study</w:t>
      </w:r>
      <w:r w:rsidR="00C35BEB" w:rsidRPr="00CC28B8">
        <w:rPr>
          <w:rFonts w:ascii="Arial" w:hAnsi="Arial" w:cs="Arial"/>
        </w:rPr>
        <w:t>.</w:t>
      </w:r>
    </w:p>
    <w:p w:rsidR="0093094C" w:rsidRDefault="00BC1C0B" w:rsidP="00BF1E4D">
      <w:pPr>
        <w:pStyle w:val="HTMLPreformatted"/>
        <w:shd w:val="clear" w:color="auto" w:fill="FFFFFF"/>
        <w:spacing w:line="360" w:lineRule="auto"/>
        <w:jc w:val="both"/>
        <w:rPr>
          <w:rFonts w:ascii="Arial" w:hAnsi="Arial" w:cs="Arial"/>
          <w:color w:val="212121"/>
          <w:sz w:val="22"/>
          <w:szCs w:val="22"/>
        </w:rPr>
      </w:pPr>
      <w:r w:rsidRPr="00CC28B8">
        <w:rPr>
          <w:rFonts w:ascii="Arial" w:hAnsi="Arial" w:cs="Arial"/>
          <w:sz w:val="22"/>
          <w:szCs w:val="22"/>
        </w:rPr>
        <w:t xml:space="preserve">Interestingly, concerning </w:t>
      </w:r>
      <w:r w:rsidR="0093094C" w:rsidRPr="00CC28B8">
        <w:rPr>
          <w:rFonts w:ascii="Arial" w:hAnsi="Arial" w:cs="Arial"/>
          <w:sz w:val="22"/>
          <w:szCs w:val="22"/>
        </w:rPr>
        <w:t xml:space="preserve">secondary tumors, </w:t>
      </w:r>
      <w:r w:rsidRPr="00CC28B8">
        <w:rPr>
          <w:rFonts w:ascii="Arial" w:hAnsi="Arial" w:cs="Arial"/>
          <w:sz w:val="22"/>
          <w:szCs w:val="22"/>
        </w:rPr>
        <w:t>we notice</w:t>
      </w:r>
      <w:r w:rsidR="0093094C" w:rsidRPr="00CC28B8">
        <w:rPr>
          <w:rFonts w:ascii="Arial" w:hAnsi="Arial" w:cs="Arial"/>
          <w:sz w:val="22"/>
          <w:szCs w:val="22"/>
        </w:rPr>
        <w:t xml:space="preserve"> the lack of melanoma metastasis</w:t>
      </w:r>
      <w:r w:rsidRPr="00CC28B8">
        <w:rPr>
          <w:rFonts w:ascii="Arial" w:hAnsi="Arial" w:cs="Arial"/>
          <w:sz w:val="22"/>
          <w:szCs w:val="22"/>
        </w:rPr>
        <w:t xml:space="preserve"> in our series</w:t>
      </w:r>
      <w:r w:rsidR="0093094C" w:rsidRPr="00CC28B8">
        <w:rPr>
          <w:rFonts w:ascii="Arial" w:hAnsi="Arial" w:cs="Arial"/>
          <w:sz w:val="22"/>
          <w:szCs w:val="22"/>
        </w:rPr>
        <w:t xml:space="preserve">, </w:t>
      </w:r>
      <w:r w:rsidRPr="00CC28B8">
        <w:rPr>
          <w:rFonts w:ascii="Arial" w:hAnsi="Arial" w:cs="Arial"/>
          <w:sz w:val="22"/>
          <w:szCs w:val="22"/>
        </w:rPr>
        <w:t>which is probably</w:t>
      </w:r>
      <w:r w:rsidR="0093094C" w:rsidRPr="00CC28B8">
        <w:rPr>
          <w:rFonts w:ascii="Arial" w:hAnsi="Arial" w:cs="Arial"/>
          <w:sz w:val="22"/>
          <w:szCs w:val="22"/>
        </w:rPr>
        <w:t xml:space="preserve"> related</w:t>
      </w:r>
      <w:r w:rsidR="0093094C" w:rsidRPr="00D50719">
        <w:rPr>
          <w:rFonts w:ascii="Arial" w:hAnsi="Arial" w:cs="Arial"/>
          <w:color w:val="212121"/>
          <w:sz w:val="22"/>
          <w:szCs w:val="22"/>
        </w:rPr>
        <w:t xml:space="preserve"> to the fact that </w:t>
      </w:r>
      <w:r>
        <w:rPr>
          <w:rFonts w:ascii="Arial" w:hAnsi="Arial" w:cs="Arial"/>
          <w:color w:val="212121"/>
          <w:sz w:val="22"/>
          <w:szCs w:val="22"/>
        </w:rPr>
        <w:t>our</w:t>
      </w:r>
      <w:r w:rsidRPr="00D50719">
        <w:rPr>
          <w:rFonts w:ascii="Arial" w:hAnsi="Arial" w:cs="Arial"/>
          <w:color w:val="212121"/>
          <w:sz w:val="22"/>
          <w:szCs w:val="22"/>
        </w:rPr>
        <w:t xml:space="preserve"> </w:t>
      </w:r>
      <w:r w:rsidR="0093094C" w:rsidRPr="00D50719">
        <w:rPr>
          <w:rFonts w:ascii="Arial" w:hAnsi="Arial" w:cs="Arial"/>
          <w:color w:val="212121"/>
          <w:sz w:val="22"/>
          <w:szCs w:val="22"/>
        </w:rPr>
        <w:t>hospital is not a reference</w:t>
      </w:r>
      <w:r>
        <w:rPr>
          <w:rFonts w:ascii="Arial" w:hAnsi="Arial" w:cs="Arial"/>
          <w:color w:val="212121"/>
          <w:sz w:val="22"/>
          <w:szCs w:val="22"/>
        </w:rPr>
        <w:t xml:space="preserve"> center for the</w:t>
      </w:r>
      <w:r w:rsidR="0093094C" w:rsidRPr="00D50719">
        <w:rPr>
          <w:rFonts w:ascii="Arial" w:hAnsi="Arial" w:cs="Arial"/>
          <w:color w:val="212121"/>
          <w:sz w:val="22"/>
          <w:szCs w:val="22"/>
        </w:rPr>
        <w:t xml:space="preserve"> </w:t>
      </w:r>
      <w:r>
        <w:rPr>
          <w:rFonts w:ascii="Arial" w:hAnsi="Arial" w:cs="Arial"/>
          <w:color w:val="212121"/>
          <w:sz w:val="22"/>
          <w:szCs w:val="22"/>
        </w:rPr>
        <w:t>management of patients with advanced melanomas</w:t>
      </w:r>
      <w:r w:rsidR="0093094C" w:rsidRPr="00D50719">
        <w:rPr>
          <w:rFonts w:ascii="Arial" w:hAnsi="Arial" w:cs="Arial"/>
          <w:color w:val="212121"/>
          <w:sz w:val="22"/>
          <w:szCs w:val="22"/>
        </w:rPr>
        <w:t>.</w:t>
      </w:r>
    </w:p>
    <w:p w:rsidR="00965CFA" w:rsidRDefault="00767145" w:rsidP="00BF1E4D">
      <w:pPr>
        <w:pStyle w:val="HTMLPreformatted"/>
        <w:shd w:val="clear" w:color="auto" w:fill="FFFFFF"/>
        <w:spacing w:line="360" w:lineRule="auto"/>
        <w:jc w:val="both"/>
        <w:rPr>
          <w:rFonts w:ascii="Arial" w:hAnsi="Arial" w:cs="Arial"/>
          <w:sz w:val="22"/>
          <w:szCs w:val="22"/>
        </w:rPr>
      </w:pPr>
      <w:r>
        <w:rPr>
          <w:rFonts w:ascii="Arial" w:hAnsi="Arial" w:cs="Arial"/>
          <w:color w:val="212121"/>
          <w:sz w:val="22"/>
          <w:szCs w:val="22"/>
        </w:rPr>
        <w:t>There are few published Portuguese series</w:t>
      </w:r>
      <w:r w:rsidRPr="00965CFA">
        <w:rPr>
          <w:rFonts w:ascii="Arial" w:hAnsi="Arial" w:cs="Arial"/>
          <w:color w:val="212121"/>
          <w:sz w:val="22"/>
          <w:szCs w:val="22"/>
        </w:rPr>
        <w:t xml:space="preserve"> </w:t>
      </w:r>
      <w:r>
        <w:rPr>
          <w:rFonts w:ascii="Arial" w:hAnsi="Arial" w:cs="Arial"/>
          <w:sz w:val="22"/>
          <w:szCs w:val="22"/>
        </w:rPr>
        <w:t>assessing</w:t>
      </w:r>
      <w:r w:rsidR="00965CFA" w:rsidRPr="00965CFA">
        <w:rPr>
          <w:rFonts w:ascii="Arial" w:hAnsi="Arial" w:cs="Arial"/>
          <w:sz w:val="22"/>
          <w:szCs w:val="22"/>
        </w:rPr>
        <w:t xml:space="preserve"> malignant oral cancers</w:t>
      </w:r>
      <w:r w:rsidR="00967D6E">
        <w:rPr>
          <w:rFonts w:ascii="Arial" w:hAnsi="Arial" w:cs="Arial"/>
          <w:sz w:val="22"/>
          <w:szCs w:val="22"/>
          <w:vertAlign w:val="superscript"/>
        </w:rPr>
        <w:t>8</w:t>
      </w:r>
      <w:r w:rsidR="00965CFA" w:rsidRPr="00965CFA">
        <w:rPr>
          <w:rFonts w:ascii="Arial" w:hAnsi="Arial" w:cs="Arial"/>
          <w:sz w:val="22"/>
          <w:szCs w:val="22"/>
        </w:rPr>
        <w:t>,</w:t>
      </w:r>
      <w:r w:rsidR="004E4656">
        <w:rPr>
          <w:rFonts w:ascii="Arial" w:hAnsi="Arial" w:cs="Arial"/>
          <w:sz w:val="22"/>
          <w:szCs w:val="22"/>
        </w:rPr>
        <w:t xml:space="preserve"> e</w:t>
      </w:r>
      <w:r w:rsidR="004E4656" w:rsidRPr="00713852">
        <w:rPr>
          <w:rFonts w:ascii="Arial" w:hAnsi="Arial" w:cs="Arial"/>
          <w:sz w:val="22"/>
          <w:szCs w:val="22"/>
        </w:rPr>
        <w:t xml:space="preserve">pithelial </w:t>
      </w:r>
      <w:r w:rsidR="00691696">
        <w:rPr>
          <w:rFonts w:ascii="Arial" w:hAnsi="Arial" w:cs="Arial"/>
          <w:sz w:val="22"/>
          <w:szCs w:val="22"/>
        </w:rPr>
        <w:t>SGT</w:t>
      </w:r>
      <w:r w:rsidR="004E4656" w:rsidRPr="00713852">
        <w:rPr>
          <w:rFonts w:ascii="Arial" w:hAnsi="Arial" w:cs="Arial"/>
          <w:sz w:val="22"/>
          <w:szCs w:val="22"/>
        </w:rPr>
        <w:t xml:space="preserve"> of children and adolescents</w:t>
      </w:r>
      <w:r w:rsidR="00967D6E" w:rsidRPr="00967D6E">
        <w:rPr>
          <w:rFonts w:ascii="Arial" w:hAnsi="Arial" w:cs="Arial"/>
          <w:sz w:val="22"/>
          <w:szCs w:val="22"/>
          <w:vertAlign w:val="superscript"/>
        </w:rPr>
        <w:t>9</w:t>
      </w:r>
      <w:r w:rsidR="004E4656">
        <w:rPr>
          <w:rFonts w:ascii="Arial" w:hAnsi="Arial" w:cs="Arial"/>
          <w:sz w:val="22"/>
          <w:szCs w:val="22"/>
        </w:rPr>
        <w:t>,</w:t>
      </w:r>
      <w:r w:rsidR="00967D6E">
        <w:rPr>
          <w:rFonts w:ascii="Arial" w:hAnsi="Arial" w:cs="Arial"/>
          <w:sz w:val="22"/>
          <w:szCs w:val="22"/>
        </w:rPr>
        <w:t xml:space="preserve"> tumo</w:t>
      </w:r>
      <w:r w:rsidR="00965CFA" w:rsidRPr="00965CFA">
        <w:rPr>
          <w:rFonts w:ascii="Arial" w:hAnsi="Arial" w:cs="Arial"/>
          <w:sz w:val="22"/>
          <w:szCs w:val="22"/>
        </w:rPr>
        <w:t xml:space="preserve">rs in </w:t>
      </w:r>
      <w:r>
        <w:rPr>
          <w:rFonts w:ascii="Arial" w:hAnsi="Arial" w:cs="Arial"/>
          <w:sz w:val="22"/>
          <w:szCs w:val="22"/>
        </w:rPr>
        <w:t xml:space="preserve">the </w:t>
      </w:r>
      <w:r w:rsidR="00965CFA" w:rsidRPr="00965CFA">
        <w:rPr>
          <w:rFonts w:ascii="Arial" w:hAnsi="Arial" w:cs="Arial"/>
          <w:sz w:val="22"/>
          <w:szCs w:val="22"/>
        </w:rPr>
        <w:t>parotid gland</w:t>
      </w:r>
      <w:r w:rsidR="00967D6E" w:rsidRPr="00967D6E">
        <w:rPr>
          <w:rFonts w:ascii="Arial" w:hAnsi="Arial" w:cs="Arial"/>
          <w:sz w:val="22"/>
          <w:szCs w:val="22"/>
          <w:vertAlign w:val="superscript"/>
        </w:rPr>
        <w:t>10</w:t>
      </w:r>
      <w:r w:rsidR="00965CFA" w:rsidRPr="00965CFA">
        <w:rPr>
          <w:rFonts w:ascii="Arial" w:hAnsi="Arial" w:cs="Arial"/>
          <w:sz w:val="22"/>
          <w:szCs w:val="22"/>
        </w:rPr>
        <w:t xml:space="preserve"> and prognostic factors in malignant SGT</w:t>
      </w:r>
      <w:r w:rsidR="002F73DD" w:rsidRPr="00967D6E">
        <w:rPr>
          <w:rFonts w:ascii="Arial" w:hAnsi="Arial" w:cs="Arial"/>
          <w:sz w:val="22"/>
          <w:szCs w:val="22"/>
          <w:vertAlign w:val="superscript"/>
        </w:rPr>
        <w:fldChar w:fldCharType="begin" w:fldLock="1"/>
      </w:r>
      <w:r w:rsidR="00967D6E" w:rsidRPr="00967D6E">
        <w:rPr>
          <w:rFonts w:ascii="Arial" w:hAnsi="Arial" w:cs="Arial"/>
          <w:sz w:val="22"/>
          <w:szCs w:val="22"/>
          <w:vertAlign w:val="superscript"/>
        </w:rPr>
        <w:instrText>ADDIN CSL_CITATION { "citationItems" : [ { "id" : "ITEM-1", "itemData" : { "DOI" : "10.1016/j.rpemd.2012.05.008", "ISSN" : "16462890", "abstract" : "Objectives: To study the clinic-pathological characteristics of malignant neoplasms of the salivary glands (MNSG) and determine their importance in disease progression. Material and methods: We conducted a descriptive study of 136 patients with MNSG diagnosed between 1992 and 2002 in the Instituto Portugu??s de Oncologia do Porto. Through of the review of the clinical records we studied several clinical and pathological variables. The overall and disease-free survival were analyzed by Kaplan-Meier method and log-rank test. For multivariate analysis we used Cox regression method. Results: Of 136 cases of MNSG, 75 (55.1%) were male and 61 (44.9%) were female, (median age of 57.5 years). The most frequent histological type was adenoid cystic carcinoma (n=34), followed by mucoepidermoid carcinoma (n=29). Regarding location, 89 (65.4%) neoplasms affected major salivary glands and 47 (34.6%) minor salivary glands. The overall and disease-free survivals at 60 months were 71%. The variables independently associated with overall survival were the stage (p&lt;0.0001) and malignancy grade (p=0.03). The presence of local invasion (p&lt;0.0001) and the malignancy grade (p=0.04) were associated with worse disease-free survival in multivariate analysis. Conclusion: MNSG are a heterogeneous group most represented by adenoid cystic carcinoma and mucoepidermoid carcinomas. Stage and the malignancy grade remain as key prognostic factors to take into account comparing with the majority of clinical and pathological variables, contributing to the stratification of patients for treatment and prognosis. ?? 2012 Sociedade Portuguesa de Estomatologia e Medicina Dent??ria.", "author" : [ { "dropping-particle" : "", "family" : "Monteiro", "given" : "Lu\u00eds Silva", "non-dropping-particle" : "", "parse-names" : false, "suffix" : "" }, { "dropping-particle" : "", "family" : "Bento", "given" : "Maria Jos\u00e9", "non-dropping-particle" : "", "parse-names" : false, "suffix" : "" }, { "dropping-particle" : "", "family" : "Antunes", "given" : "Lu\u00eds", "non-dropping-particle" : "", "parse-names" : false, "suffix" : "" }, { "dropping-particle" : "", "family" : "Lopes", "given" : "Carlos", "non-dropping-particle" : "", "parse-names" : false, "suffix" : "" } ], "container-title" : "Revista Portuguesa de Estomatologia, Medicina Dentaria e Cirurgia Maxilofacial", "id" : "ITEM-1", "issue" : "4", "issued" : { "date-parts" : [ [ "2012" ] ] }, "page" : "199-205", "title" : "Fatores de progn??stico em neoplasias malignas de gl??ndulas salivares", "type" : "article-journal", "volume" : "53" }, "uris" : [ "http://www.mendeley.com/documents/?uuid=2eb8ff2e-a04b-45c0-8a14-aa68e8abed57" ] } ], "mendeley" : { "formattedCitation" : "(17)", "manualFormatting" : "1", "plainTextFormattedCitation" : "(17)", "previouslyFormattedCitation" : "(20)" }, "properties" : { "noteIndex" : 0 }, "schema" : "https://github.com/citation-style-language/schema/raw/master/csl-citation.json" }</w:instrText>
      </w:r>
      <w:r w:rsidR="002F73DD" w:rsidRPr="00967D6E">
        <w:rPr>
          <w:rFonts w:ascii="Arial" w:hAnsi="Arial" w:cs="Arial"/>
          <w:sz w:val="22"/>
          <w:szCs w:val="22"/>
          <w:vertAlign w:val="superscript"/>
        </w:rPr>
        <w:fldChar w:fldCharType="separate"/>
      </w:r>
      <w:r w:rsidR="004E4656" w:rsidRPr="00967D6E">
        <w:rPr>
          <w:rFonts w:ascii="Arial" w:hAnsi="Arial" w:cs="Arial"/>
          <w:noProof/>
          <w:sz w:val="22"/>
          <w:szCs w:val="22"/>
          <w:vertAlign w:val="superscript"/>
        </w:rPr>
        <w:t>1</w:t>
      </w:r>
      <w:r w:rsidR="002F73DD" w:rsidRPr="00967D6E">
        <w:rPr>
          <w:rFonts w:ascii="Arial" w:hAnsi="Arial" w:cs="Arial"/>
          <w:sz w:val="22"/>
          <w:szCs w:val="22"/>
          <w:vertAlign w:val="superscript"/>
        </w:rPr>
        <w:fldChar w:fldCharType="end"/>
      </w:r>
      <w:r w:rsidR="00967D6E" w:rsidRPr="00967D6E">
        <w:rPr>
          <w:rFonts w:ascii="Arial" w:hAnsi="Arial" w:cs="Arial"/>
          <w:sz w:val="22"/>
          <w:szCs w:val="22"/>
          <w:vertAlign w:val="superscript"/>
        </w:rPr>
        <w:t>1</w:t>
      </w:r>
      <w:r w:rsidR="00965CFA" w:rsidRPr="00965CFA">
        <w:rPr>
          <w:rFonts w:ascii="Arial" w:hAnsi="Arial" w:cs="Arial"/>
          <w:sz w:val="22"/>
          <w:szCs w:val="22"/>
        </w:rPr>
        <w:t>.</w:t>
      </w:r>
    </w:p>
    <w:p w:rsidR="0044684B" w:rsidRPr="00F57EAD" w:rsidRDefault="00B93E1F" w:rsidP="00BF1E4D">
      <w:pPr>
        <w:pStyle w:val="HTMLPreformatted"/>
        <w:shd w:val="clear" w:color="auto" w:fill="FFFFFF"/>
        <w:spacing w:line="360" w:lineRule="auto"/>
        <w:jc w:val="both"/>
        <w:rPr>
          <w:rFonts w:ascii="Arial" w:hAnsi="Arial" w:cs="Arial"/>
          <w:sz w:val="22"/>
          <w:szCs w:val="22"/>
        </w:rPr>
      </w:pPr>
      <w:r>
        <w:rPr>
          <w:rFonts w:ascii="Arial" w:hAnsi="Arial" w:cs="Arial"/>
          <w:sz w:val="22"/>
          <w:szCs w:val="22"/>
        </w:rPr>
        <w:t xml:space="preserve">We cannot compare our results with those reported by </w:t>
      </w:r>
      <w:r w:rsidR="0044684B">
        <w:rPr>
          <w:rFonts w:ascii="Arial" w:hAnsi="Arial" w:cs="Arial"/>
          <w:sz w:val="22"/>
          <w:szCs w:val="22"/>
        </w:rPr>
        <w:t xml:space="preserve">Tavares C. </w:t>
      </w:r>
      <w:r w:rsidR="0044684B" w:rsidRPr="00CA5C69">
        <w:rPr>
          <w:rFonts w:ascii="Arial" w:hAnsi="Arial" w:cs="Arial"/>
          <w:i/>
          <w:sz w:val="22"/>
          <w:szCs w:val="22"/>
        </w:rPr>
        <w:t>et al</w:t>
      </w:r>
      <w:r w:rsidR="00CA5C69" w:rsidRPr="00CA5C69">
        <w:rPr>
          <w:rFonts w:ascii="Arial" w:hAnsi="Arial" w:cs="Arial"/>
          <w:sz w:val="22"/>
          <w:szCs w:val="22"/>
        </w:rPr>
        <w:t xml:space="preserve"> </w:t>
      </w:r>
      <w:r w:rsidR="00967D6E" w:rsidRPr="00967D6E">
        <w:rPr>
          <w:rFonts w:ascii="Arial" w:hAnsi="Arial" w:cs="Arial"/>
          <w:sz w:val="22"/>
          <w:szCs w:val="22"/>
          <w:vertAlign w:val="superscript"/>
        </w:rPr>
        <w:t>8</w:t>
      </w:r>
      <w:r w:rsidR="00967D6E">
        <w:rPr>
          <w:rFonts w:ascii="Arial" w:hAnsi="Arial" w:cs="Arial"/>
          <w:sz w:val="22"/>
          <w:szCs w:val="22"/>
        </w:rPr>
        <w:t xml:space="preserve"> </w:t>
      </w:r>
      <w:r w:rsidR="002F73DD">
        <w:rPr>
          <w:rFonts w:ascii="Arial" w:hAnsi="Arial" w:cs="Arial"/>
          <w:sz w:val="22"/>
          <w:szCs w:val="22"/>
        </w:rPr>
        <w:fldChar w:fldCharType="begin" w:fldLock="1"/>
      </w:r>
      <w:r w:rsidR="004E4656">
        <w:rPr>
          <w:rFonts w:ascii="Arial" w:hAnsi="Arial" w:cs="Arial"/>
          <w:sz w:val="22"/>
          <w:szCs w:val="22"/>
        </w:rPr>
        <w:instrText xml:space="preserve">ADDIN Mendeley Bibliography CSL_BIBLIOGRAPHY </w:instrText>
      </w:r>
      <w:r w:rsidR="002F73DD">
        <w:rPr>
          <w:rFonts w:ascii="Arial" w:hAnsi="Arial" w:cs="Arial"/>
          <w:sz w:val="22"/>
          <w:szCs w:val="22"/>
        </w:rPr>
        <w:fldChar w:fldCharType="end"/>
      </w:r>
      <w:r w:rsidR="00967D6E">
        <w:rPr>
          <w:rFonts w:ascii="Arial" w:hAnsi="Arial" w:cs="Arial"/>
          <w:sz w:val="22"/>
          <w:szCs w:val="22"/>
        </w:rPr>
        <w:t>because</w:t>
      </w:r>
      <w:r w:rsidR="0044684B">
        <w:rPr>
          <w:rFonts w:ascii="Arial" w:hAnsi="Arial" w:cs="Arial"/>
          <w:sz w:val="22"/>
          <w:szCs w:val="22"/>
        </w:rPr>
        <w:t xml:space="preserve"> </w:t>
      </w:r>
      <w:r w:rsidR="00CA5C69" w:rsidRPr="00CA5C69">
        <w:rPr>
          <w:rFonts w:ascii="Arial" w:hAnsi="Arial" w:cs="Arial"/>
          <w:sz w:val="22"/>
          <w:szCs w:val="22"/>
        </w:rPr>
        <w:t xml:space="preserve">the </w:t>
      </w:r>
      <w:proofErr w:type="spellStart"/>
      <w:r w:rsidR="0044684B">
        <w:rPr>
          <w:rFonts w:ascii="Arial" w:hAnsi="Arial" w:cs="Arial"/>
          <w:sz w:val="22"/>
          <w:szCs w:val="22"/>
        </w:rPr>
        <w:t>histotypes</w:t>
      </w:r>
      <w:proofErr w:type="spellEnd"/>
      <w:r>
        <w:rPr>
          <w:rFonts w:ascii="Arial" w:hAnsi="Arial" w:cs="Arial"/>
          <w:sz w:val="22"/>
          <w:szCs w:val="22"/>
        </w:rPr>
        <w:t xml:space="preserve"> of malignant</w:t>
      </w:r>
      <w:r w:rsidR="0044684B">
        <w:rPr>
          <w:rFonts w:ascii="Arial" w:hAnsi="Arial" w:cs="Arial"/>
          <w:sz w:val="22"/>
          <w:szCs w:val="22"/>
        </w:rPr>
        <w:t xml:space="preserve"> </w:t>
      </w:r>
      <w:r>
        <w:rPr>
          <w:rFonts w:ascii="Arial" w:hAnsi="Arial" w:cs="Arial"/>
          <w:sz w:val="22"/>
          <w:szCs w:val="22"/>
        </w:rPr>
        <w:t>SGT are</w:t>
      </w:r>
      <w:r w:rsidR="00AF3E22">
        <w:rPr>
          <w:rFonts w:ascii="Arial" w:hAnsi="Arial" w:cs="Arial"/>
          <w:sz w:val="22"/>
          <w:szCs w:val="22"/>
        </w:rPr>
        <w:t xml:space="preserve"> not</w:t>
      </w:r>
      <w:r>
        <w:rPr>
          <w:rFonts w:ascii="Arial" w:hAnsi="Arial" w:cs="Arial"/>
          <w:sz w:val="22"/>
          <w:szCs w:val="22"/>
        </w:rPr>
        <w:t xml:space="preserve"> </w:t>
      </w:r>
      <w:r w:rsidR="00AF3E22">
        <w:rPr>
          <w:rFonts w:ascii="Arial" w:hAnsi="Arial" w:cs="Arial"/>
          <w:sz w:val="22"/>
          <w:szCs w:val="22"/>
        </w:rPr>
        <w:t>clearly stated</w:t>
      </w:r>
      <w:r w:rsidR="00A87246" w:rsidRPr="00A87246">
        <w:rPr>
          <w:rFonts w:ascii="Arial" w:hAnsi="Arial" w:cs="Arial"/>
          <w:sz w:val="22"/>
          <w:szCs w:val="22"/>
        </w:rPr>
        <w:t>.</w:t>
      </w:r>
      <w:r>
        <w:rPr>
          <w:rFonts w:ascii="Arial" w:hAnsi="Arial" w:cs="Arial"/>
          <w:sz w:val="22"/>
          <w:szCs w:val="22"/>
        </w:rPr>
        <w:t xml:space="preserve"> </w:t>
      </w:r>
      <w:r w:rsidR="00F611EC" w:rsidRPr="00F611EC">
        <w:rPr>
          <w:rFonts w:ascii="Arial" w:hAnsi="Arial" w:cs="Arial"/>
          <w:sz w:val="22"/>
          <w:szCs w:val="22"/>
        </w:rPr>
        <w:t>A</w:t>
      </w:r>
      <w:r w:rsidR="00F611EC">
        <w:rPr>
          <w:rFonts w:ascii="Arial" w:hAnsi="Arial" w:cs="Arial"/>
          <w:sz w:val="22"/>
          <w:szCs w:val="22"/>
        </w:rPr>
        <w:t xml:space="preserve">ctually </w:t>
      </w:r>
      <w:r>
        <w:rPr>
          <w:rFonts w:ascii="Arial" w:hAnsi="Arial" w:cs="Arial"/>
          <w:sz w:val="22"/>
          <w:szCs w:val="22"/>
        </w:rPr>
        <w:t>in their report there is only</w:t>
      </w:r>
      <w:r w:rsidR="00AF3E22">
        <w:rPr>
          <w:rFonts w:ascii="Arial" w:hAnsi="Arial" w:cs="Arial"/>
          <w:sz w:val="22"/>
          <w:szCs w:val="22"/>
        </w:rPr>
        <w:t xml:space="preserve"> </w:t>
      </w:r>
      <w:r w:rsidR="00F611EC" w:rsidRPr="00F57EAD">
        <w:rPr>
          <w:rFonts w:ascii="Arial" w:hAnsi="Arial" w:cs="Arial"/>
          <w:sz w:val="22"/>
          <w:szCs w:val="22"/>
        </w:rPr>
        <w:t xml:space="preserve">evidence </w:t>
      </w:r>
      <w:r w:rsidR="00AF3E22" w:rsidRPr="00F57EAD">
        <w:rPr>
          <w:rFonts w:ascii="Arial" w:hAnsi="Arial" w:cs="Arial"/>
          <w:sz w:val="22"/>
          <w:szCs w:val="22"/>
        </w:rPr>
        <w:t xml:space="preserve">of mucoepidermoid and </w:t>
      </w:r>
      <w:proofErr w:type="spellStart"/>
      <w:r w:rsidR="00AF3E22" w:rsidRPr="00F57EAD">
        <w:rPr>
          <w:rFonts w:ascii="Arial" w:hAnsi="Arial" w:cs="Arial"/>
          <w:sz w:val="22"/>
          <w:szCs w:val="22"/>
        </w:rPr>
        <w:t>adenocarcinoma</w:t>
      </w:r>
      <w:proofErr w:type="spellEnd"/>
      <w:r w:rsidR="00AF3E22" w:rsidRPr="00F57EAD">
        <w:rPr>
          <w:rFonts w:ascii="Arial" w:hAnsi="Arial" w:cs="Arial"/>
          <w:sz w:val="22"/>
          <w:szCs w:val="22"/>
        </w:rPr>
        <w:t xml:space="preserve"> (without further specification)</w:t>
      </w:r>
      <w:r w:rsidR="00050FB0" w:rsidRPr="00F57EAD">
        <w:rPr>
          <w:rFonts w:ascii="Arial" w:hAnsi="Arial" w:cs="Arial"/>
          <w:sz w:val="22"/>
          <w:szCs w:val="22"/>
        </w:rPr>
        <w:t xml:space="preserve"> </w:t>
      </w:r>
      <w:proofErr w:type="spellStart"/>
      <w:r w:rsidR="00050FB0" w:rsidRPr="00F57EAD">
        <w:rPr>
          <w:rFonts w:ascii="Arial" w:hAnsi="Arial" w:cs="Arial"/>
          <w:sz w:val="22"/>
          <w:szCs w:val="22"/>
        </w:rPr>
        <w:t>histotypes</w:t>
      </w:r>
      <w:proofErr w:type="spellEnd"/>
      <w:r w:rsidR="0044684B" w:rsidRPr="00F57EAD">
        <w:rPr>
          <w:rFonts w:ascii="Arial" w:hAnsi="Arial" w:cs="Arial"/>
          <w:sz w:val="22"/>
          <w:szCs w:val="22"/>
        </w:rPr>
        <w:t>.</w:t>
      </w:r>
    </w:p>
    <w:p w:rsidR="0044684B" w:rsidRPr="00713852" w:rsidRDefault="00C35BEB" w:rsidP="00BF1E4D">
      <w:pPr>
        <w:widowControl w:val="0"/>
        <w:autoSpaceDE w:val="0"/>
        <w:autoSpaceDN w:val="0"/>
        <w:adjustRightInd w:val="0"/>
        <w:spacing w:after="0" w:line="360" w:lineRule="auto"/>
        <w:jc w:val="both"/>
        <w:rPr>
          <w:rFonts w:ascii="Arial" w:hAnsi="Arial" w:cs="Arial"/>
        </w:rPr>
      </w:pPr>
      <w:r w:rsidRPr="00F57EAD">
        <w:rPr>
          <w:rFonts w:ascii="Arial" w:hAnsi="Arial" w:cs="Arial"/>
        </w:rPr>
        <w:t xml:space="preserve">Fonseca I. </w:t>
      </w:r>
      <w:r w:rsidRPr="00F57EAD">
        <w:rPr>
          <w:rFonts w:ascii="Arial" w:hAnsi="Arial" w:cs="Arial"/>
          <w:i/>
        </w:rPr>
        <w:t>et a</w:t>
      </w:r>
      <w:r w:rsidR="00000498" w:rsidRPr="00F57EAD">
        <w:rPr>
          <w:rFonts w:ascii="Arial" w:hAnsi="Arial" w:cs="Arial"/>
          <w:i/>
        </w:rPr>
        <w:t xml:space="preserve">l </w:t>
      </w:r>
      <w:r w:rsidRPr="00F57EAD">
        <w:rPr>
          <w:rFonts w:ascii="Arial" w:hAnsi="Arial" w:cs="Arial"/>
          <w:vertAlign w:val="superscript"/>
        </w:rPr>
        <w:t>9</w:t>
      </w:r>
      <w:r w:rsidRPr="00F57EAD">
        <w:rPr>
          <w:rFonts w:ascii="Arial" w:hAnsi="Arial" w:cs="Arial"/>
        </w:rPr>
        <w:t xml:space="preserve"> reported a study (1991) on pediatric epithelial SGT in a Portuguese Oncology Institute</w:t>
      </w:r>
      <w:r w:rsidRPr="00CF1263">
        <w:rPr>
          <w:rFonts w:ascii="Arial" w:hAnsi="Arial" w:cs="Arial"/>
        </w:rPr>
        <w:t xml:space="preserve"> </w:t>
      </w:r>
      <w:r>
        <w:rPr>
          <w:rFonts w:ascii="Arial" w:hAnsi="Arial" w:cs="Arial"/>
        </w:rPr>
        <w:t>(S</w:t>
      </w:r>
      <w:r w:rsidRPr="00CA57E9">
        <w:rPr>
          <w:rFonts w:ascii="Arial" w:hAnsi="Arial" w:cs="Arial"/>
        </w:rPr>
        <w:t>outh</w:t>
      </w:r>
      <w:r>
        <w:rPr>
          <w:rFonts w:ascii="Arial" w:hAnsi="Arial" w:cs="Arial"/>
        </w:rPr>
        <w:t xml:space="preserve"> of</w:t>
      </w:r>
      <w:r w:rsidRPr="00CA57E9">
        <w:rPr>
          <w:rFonts w:ascii="Arial" w:hAnsi="Arial" w:cs="Arial"/>
        </w:rPr>
        <w:t xml:space="preserve"> Portugal</w:t>
      </w:r>
      <w:r>
        <w:rPr>
          <w:rFonts w:ascii="Arial" w:hAnsi="Arial" w:cs="Arial"/>
        </w:rPr>
        <w:t xml:space="preserve">). </w:t>
      </w:r>
      <w:r w:rsidR="00713852">
        <w:rPr>
          <w:rFonts w:ascii="Arial" w:hAnsi="Arial" w:cs="Arial"/>
        </w:rPr>
        <w:t>Our results are limited</w:t>
      </w:r>
      <w:r w:rsidR="004D03F7">
        <w:rPr>
          <w:rFonts w:ascii="Arial" w:hAnsi="Arial" w:cs="Arial"/>
        </w:rPr>
        <w:t xml:space="preserve"> </w:t>
      </w:r>
      <w:r w:rsidR="00713852">
        <w:rPr>
          <w:rFonts w:ascii="Arial" w:hAnsi="Arial" w:cs="Arial"/>
        </w:rPr>
        <w:t xml:space="preserve">in this </w:t>
      </w:r>
      <w:r w:rsidR="004E4656">
        <w:rPr>
          <w:rFonts w:ascii="Arial" w:hAnsi="Arial" w:cs="Arial"/>
        </w:rPr>
        <w:t xml:space="preserve">age group, </w:t>
      </w:r>
      <w:r w:rsidR="004D03F7">
        <w:rPr>
          <w:rFonts w:ascii="Arial" w:hAnsi="Arial" w:cs="Arial"/>
        </w:rPr>
        <w:t xml:space="preserve">but indicate a </w:t>
      </w:r>
      <w:r w:rsidR="004E4656">
        <w:rPr>
          <w:rFonts w:ascii="Arial" w:hAnsi="Arial" w:cs="Arial"/>
        </w:rPr>
        <w:t>similar</w:t>
      </w:r>
      <w:r w:rsidR="00AF3E22">
        <w:rPr>
          <w:rFonts w:ascii="Arial" w:hAnsi="Arial" w:cs="Arial"/>
        </w:rPr>
        <w:t>ity in the</w:t>
      </w:r>
      <w:r w:rsidR="004E4656">
        <w:rPr>
          <w:rFonts w:ascii="Arial" w:hAnsi="Arial" w:cs="Arial"/>
        </w:rPr>
        <w:t xml:space="preserve"> proportion (3.2%)</w:t>
      </w:r>
      <w:r w:rsidR="004D03F7">
        <w:rPr>
          <w:rFonts w:ascii="Arial" w:hAnsi="Arial" w:cs="Arial"/>
        </w:rPr>
        <w:t xml:space="preserve"> and of</w:t>
      </w:r>
      <w:r w:rsidR="00774C17">
        <w:rPr>
          <w:rFonts w:ascii="Arial" w:hAnsi="Arial" w:cs="Arial"/>
        </w:rPr>
        <w:t xml:space="preserve"> the</w:t>
      </w:r>
      <w:r w:rsidR="004D03F7">
        <w:rPr>
          <w:rFonts w:ascii="Arial" w:hAnsi="Arial" w:cs="Arial"/>
        </w:rPr>
        <w:t xml:space="preserve"> </w:t>
      </w:r>
      <w:r w:rsidR="002F4371">
        <w:rPr>
          <w:rFonts w:ascii="Arial" w:hAnsi="Arial" w:cs="Arial"/>
        </w:rPr>
        <w:t xml:space="preserve">most common </w:t>
      </w:r>
      <w:proofErr w:type="spellStart"/>
      <w:r w:rsidR="002F4371">
        <w:rPr>
          <w:rFonts w:ascii="Arial" w:hAnsi="Arial" w:cs="Arial"/>
        </w:rPr>
        <w:t>histotypes</w:t>
      </w:r>
      <w:proofErr w:type="spellEnd"/>
      <w:r w:rsidR="002F4371">
        <w:rPr>
          <w:rFonts w:ascii="Arial" w:hAnsi="Arial" w:cs="Arial"/>
        </w:rPr>
        <w:t xml:space="preserve"> </w:t>
      </w:r>
      <w:r w:rsidR="004D03F7">
        <w:rPr>
          <w:rFonts w:ascii="Arial" w:hAnsi="Arial" w:cs="Arial"/>
        </w:rPr>
        <w:t>(e.g.</w:t>
      </w:r>
      <w:r w:rsidR="004E4656">
        <w:rPr>
          <w:rFonts w:ascii="Arial" w:hAnsi="Arial" w:cs="Arial"/>
        </w:rPr>
        <w:t xml:space="preserve"> pleomorphic adenoma and mucoepidermoid carcinoma</w:t>
      </w:r>
      <w:r w:rsidR="004D03F7">
        <w:rPr>
          <w:rFonts w:ascii="Arial" w:hAnsi="Arial" w:cs="Arial"/>
        </w:rPr>
        <w:t>)</w:t>
      </w:r>
      <w:r w:rsidR="00774C17" w:rsidRPr="00774C17">
        <w:t xml:space="preserve"> </w:t>
      </w:r>
      <w:r w:rsidR="00774C17">
        <w:rPr>
          <w:rFonts w:ascii="Arial" w:hAnsi="Arial" w:cs="Arial"/>
        </w:rPr>
        <w:t>in pediatric epithelial SGT of both studies</w:t>
      </w:r>
      <w:r w:rsidR="004E4656">
        <w:rPr>
          <w:rFonts w:ascii="Arial" w:hAnsi="Arial" w:cs="Arial"/>
        </w:rPr>
        <w:t xml:space="preserve">. </w:t>
      </w:r>
    </w:p>
    <w:p w:rsidR="00B704F4" w:rsidRPr="006312C7" w:rsidRDefault="00965CFA" w:rsidP="00BF1E4D">
      <w:pPr>
        <w:widowControl w:val="0"/>
        <w:autoSpaceDE w:val="0"/>
        <w:autoSpaceDN w:val="0"/>
        <w:adjustRightInd w:val="0"/>
        <w:spacing w:after="0" w:line="360" w:lineRule="auto"/>
        <w:jc w:val="both"/>
        <w:rPr>
          <w:rFonts w:ascii="Times New Roman" w:hAnsi="Times New Roman"/>
          <w:sz w:val="24"/>
          <w:szCs w:val="24"/>
        </w:rPr>
      </w:pPr>
      <w:r>
        <w:rPr>
          <w:rFonts w:ascii="Arial" w:hAnsi="Arial" w:cs="Arial"/>
        </w:rPr>
        <w:t xml:space="preserve">Oliveira F. </w:t>
      </w:r>
      <w:r w:rsidRPr="00000498">
        <w:rPr>
          <w:rFonts w:ascii="Arial" w:hAnsi="Arial" w:cs="Arial"/>
          <w:i/>
        </w:rPr>
        <w:t>et al</w:t>
      </w:r>
      <w:r w:rsidR="00000498">
        <w:rPr>
          <w:rFonts w:ascii="Arial" w:hAnsi="Arial" w:cs="Arial"/>
        </w:rPr>
        <w:t xml:space="preserve"> </w:t>
      </w:r>
      <w:r w:rsidR="008C3D72">
        <w:rPr>
          <w:rFonts w:ascii="Arial" w:hAnsi="Arial" w:cs="Arial"/>
          <w:vertAlign w:val="superscript"/>
        </w:rPr>
        <w:t>10</w:t>
      </w:r>
      <w:r w:rsidR="006312C7">
        <w:rPr>
          <w:rFonts w:ascii="Times New Roman" w:hAnsi="Times New Roman"/>
          <w:sz w:val="24"/>
          <w:szCs w:val="24"/>
        </w:rPr>
        <w:t xml:space="preserve"> </w:t>
      </w:r>
      <w:r w:rsidR="008B34B7">
        <w:rPr>
          <w:rFonts w:ascii="Arial" w:hAnsi="Arial" w:cs="Arial"/>
        </w:rPr>
        <w:t xml:space="preserve">reported </w:t>
      </w:r>
      <w:r>
        <w:rPr>
          <w:rFonts w:ascii="Arial" w:hAnsi="Arial" w:cs="Arial"/>
        </w:rPr>
        <w:t>a study</w:t>
      </w:r>
      <w:r w:rsidR="008B34B7">
        <w:rPr>
          <w:rFonts w:ascii="Arial" w:hAnsi="Arial" w:cs="Arial"/>
        </w:rPr>
        <w:t xml:space="preserve"> (2013)</w:t>
      </w:r>
      <w:r>
        <w:rPr>
          <w:rFonts w:ascii="Arial" w:hAnsi="Arial" w:cs="Arial"/>
        </w:rPr>
        <w:t xml:space="preserve"> of parotid tumors</w:t>
      </w:r>
      <w:r w:rsidR="008B34B7">
        <w:rPr>
          <w:rFonts w:ascii="Arial" w:hAnsi="Arial" w:cs="Arial"/>
        </w:rPr>
        <w:t xml:space="preserve"> (n=153)</w:t>
      </w:r>
      <w:r w:rsidR="00731AEB">
        <w:rPr>
          <w:rFonts w:ascii="Arial" w:hAnsi="Arial" w:cs="Arial"/>
        </w:rPr>
        <w:t xml:space="preserve"> diagnosed in</w:t>
      </w:r>
      <w:r w:rsidR="007B3180">
        <w:rPr>
          <w:rFonts w:ascii="Arial" w:hAnsi="Arial" w:cs="Arial"/>
        </w:rPr>
        <w:t xml:space="preserve"> a Portuguese</w:t>
      </w:r>
      <w:r w:rsidR="00731AEB">
        <w:rPr>
          <w:rFonts w:ascii="Arial" w:hAnsi="Arial" w:cs="Arial"/>
        </w:rPr>
        <w:t xml:space="preserve"> Oncology Institute</w:t>
      </w:r>
      <w:r w:rsidR="004D377A">
        <w:rPr>
          <w:rFonts w:ascii="Arial" w:hAnsi="Arial" w:cs="Arial"/>
        </w:rPr>
        <w:t xml:space="preserve"> (South of Portugal)</w:t>
      </w:r>
      <w:r w:rsidRPr="00D339BC">
        <w:rPr>
          <w:rFonts w:ascii="Arial" w:hAnsi="Arial" w:cs="Arial"/>
        </w:rPr>
        <w:t xml:space="preserve">. </w:t>
      </w:r>
      <w:r w:rsidR="00AF3E22">
        <w:rPr>
          <w:rFonts w:ascii="Arial" w:hAnsi="Arial" w:cs="Arial"/>
        </w:rPr>
        <w:t>In</w:t>
      </w:r>
      <w:r w:rsidR="008B34B7" w:rsidRPr="00D339BC">
        <w:rPr>
          <w:rFonts w:ascii="Arial" w:hAnsi="Arial" w:cs="Arial"/>
        </w:rPr>
        <w:t xml:space="preserve"> </w:t>
      </w:r>
      <w:r w:rsidR="008B34B7">
        <w:rPr>
          <w:rFonts w:ascii="Arial" w:hAnsi="Arial" w:cs="Arial"/>
        </w:rPr>
        <w:t>our study (n=242)</w:t>
      </w:r>
      <w:r w:rsidR="005115EB" w:rsidRPr="00D339BC">
        <w:rPr>
          <w:rFonts w:ascii="Arial" w:hAnsi="Arial" w:cs="Arial"/>
        </w:rPr>
        <w:t xml:space="preserve"> we </w:t>
      </w:r>
      <w:r w:rsidR="00F611EC">
        <w:rPr>
          <w:rFonts w:ascii="Arial" w:hAnsi="Arial" w:cs="Arial"/>
        </w:rPr>
        <w:t>found</w:t>
      </w:r>
      <w:r w:rsidR="00F611EC" w:rsidRPr="00D339BC">
        <w:rPr>
          <w:rFonts w:ascii="Arial" w:hAnsi="Arial" w:cs="Arial"/>
        </w:rPr>
        <w:t xml:space="preserve"> </w:t>
      </w:r>
      <w:r w:rsidR="005115EB" w:rsidRPr="00D339BC">
        <w:rPr>
          <w:rFonts w:ascii="Arial" w:hAnsi="Arial" w:cs="Arial"/>
        </w:rPr>
        <w:t>a higher frequency</w:t>
      </w:r>
      <w:r w:rsidRPr="00D339BC">
        <w:rPr>
          <w:rFonts w:ascii="Arial" w:hAnsi="Arial" w:cs="Arial"/>
        </w:rPr>
        <w:t xml:space="preserve"> of benign tumors </w:t>
      </w:r>
      <w:r w:rsidR="00AF3E22">
        <w:rPr>
          <w:rFonts w:ascii="Arial" w:hAnsi="Arial" w:cs="Arial"/>
        </w:rPr>
        <w:t>in</w:t>
      </w:r>
      <w:r w:rsidR="00AF3E22" w:rsidRPr="00D339BC">
        <w:rPr>
          <w:rFonts w:ascii="Arial" w:hAnsi="Arial" w:cs="Arial"/>
        </w:rPr>
        <w:t xml:space="preserve"> </w:t>
      </w:r>
      <w:r w:rsidRPr="00D339BC">
        <w:rPr>
          <w:rFonts w:ascii="Arial" w:hAnsi="Arial" w:cs="Arial"/>
        </w:rPr>
        <w:t>the parotid</w:t>
      </w:r>
      <w:r w:rsidR="00767145">
        <w:rPr>
          <w:rFonts w:ascii="Arial" w:hAnsi="Arial" w:cs="Arial"/>
        </w:rPr>
        <w:t xml:space="preserve"> </w:t>
      </w:r>
      <w:r w:rsidRPr="00D339BC">
        <w:rPr>
          <w:rFonts w:ascii="Arial" w:hAnsi="Arial" w:cs="Arial"/>
        </w:rPr>
        <w:t>(82</w:t>
      </w:r>
      <w:r w:rsidR="00767145">
        <w:rPr>
          <w:rFonts w:ascii="Arial" w:hAnsi="Arial" w:cs="Arial"/>
        </w:rPr>
        <w:t>.</w:t>
      </w:r>
      <w:r w:rsidRPr="00D339BC">
        <w:rPr>
          <w:rFonts w:ascii="Arial" w:hAnsi="Arial" w:cs="Arial"/>
        </w:rPr>
        <w:t xml:space="preserve">5% </w:t>
      </w:r>
      <w:proofErr w:type="spellStart"/>
      <w:r w:rsidRPr="00731AEB">
        <w:rPr>
          <w:rFonts w:ascii="Arial" w:hAnsi="Arial" w:cs="Arial"/>
        </w:rPr>
        <w:t>vs</w:t>
      </w:r>
      <w:proofErr w:type="spellEnd"/>
      <w:r w:rsidRPr="00D339BC">
        <w:rPr>
          <w:rFonts w:ascii="Arial" w:hAnsi="Arial" w:cs="Arial"/>
        </w:rPr>
        <w:t xml:space="preserve"> 72</w:t>
      </w:r>
      <w:r w:rsidR="00767145">
        <w:rPr>
          <w:rFonts w:ascii="Arial" w:hAnsi="Arial" w:cs="Arial"/>
        </w:rPr>
        <w:t>.</w:t>
      </w:r>
      <w:r w:rsidR="00731AEB">
        <w:rPr>
          <w:rFonts w:ascii="Arial" w:hAnsi="Arial" w:cs="Arial"/>
        </w:rPr>
        <w:t>4</w:t>
      </w:r>
      <w:r w:rsidRPr="00D339BC">
        <w:rPr>
          <w:rFonts w:ascii="Arial" w:hAnsi="Arial" w:cs="Arial"/>
        </w:rPr>
        <w:t>%</w:t>
      </w:r>
      <w:r w:rsidR="00050FB0">
        <w:rPr>
          <w:rFonts w:ascii="Arial" w:hAnsi="Arial" w:cs="Arial"/>
        </w:rPr>
        <w:t>, respectively</w:t>
      </w:r>
      <w:r w:rsidRPr="00D339BC">
        <w:rPr>
          <w:rFonts w:ascii="Arial" w:hAnsi="Arial" w:cs="Arial"/>
        </w:rPr>
        <w:t>)</w:t>
      </w:r>
      <w:r w:rsidR="005115EB" w:rsidRPr="00D339BC">
        <w:rPr>
          <w:rFonts w:ascii="Arial" w:hAnsi="Arial" w:cs="Arial"/>
        </w:rPr>
        <w:t xml:space="preserve">. </w:t>
      </w:r>
      <w:r w:rsidR="00731AEB">
        <w:rPr>
          <w:rFonts w:ascii="Arial" w:hAnsi="Arial" w:cs="Arial"/>
          <w:color w:val="212121"/>
          <w:shd w:val="clear" w:color="auto" w:fill="FFFFFF"/>
        </w:rPr>
        <w:lastRenderedPageBreak/>
        <w:t>Noteworthy</w:t>
      </w:r>
      <w:r w:rsidR="008B34B7">
        <w:rPr>
          <w:rFonts w:ascii="Arial" w:hAnsi="Arial" w:cs="Arial"/>
          <w:color w:val="212121"/>
          <w:shd w:val="clear" w:color="auto" w:fill="FFFFFF"/>
        </w:rPr>
        <w:t>,</w:t>
      </w:r>
      <w:r w:rsidR="00731AEB">
        <w:rPr>
          <w:rFonts w:ascii="Arial" w:hAnsi="Arial" w:cs="Arial"/>
          <w:color w:val="212121"/>
          <w:shd w:val="clear" w:color="auto" w:fill="FFFFFF"/>
        </w:rPr>
        <w:t xml:space="preserve"> </w:t>
      </w:r>
      <w:r w:rsidR="008B34B7">
        <w:rPr>
          <w:rFonts w:ascii="Arial" w:hAnsi="Arial" w:cs="Arial"/>
          <w:color w:val="212121"/>
          <w:shd w:val="clear" w:color="auto" w:fill="FFFFFF"/>
        </w:rPr>
        <w:t>we found</w:t>
      </w:r>
      <w:r w:rsidR="00B704F4" w:rsidRPr="00D339BC">
        <w:rPr>
          <w:rFonts w:ascii="Arial" w:hAnsi="Arial" w:cs="Arial"/>
          <w:color w:val="212121"/>
          <w:shd w:val="clear" w:color="auto" w:fill="FFFFFF"/>
        </w:rPr>
        <w:t xml:space="preserve"> differences in the </w:t>
      </w:r>
      <w:r w:rsidR="00774C17">
        <w:rPr>
          <w:rFonts w:ascii="Arial" w:hAnsi="Arial" w:cs="Arial"/>
          <w:color w:val="212121"/>
          <w:shd w:val="clear" w:color="auto" w:fill="FFFFFF"/>
        </w:rPr>
        <w:t>frequency</w:t>
      </w:r>
      <w:r w:rsidR="00774C17" w:rsidRPr="00D339BC">
        <w:rPr>
          <w:rFonts w:ascii="Arial" w:hAnsi="Arial" w:cs="Arial"/>
          <w:color w:val="212121"/>
          <w:shd w:val="clear" w:color="auto" w:fill="FFFFFF"/>
        </w:rPr>
        <w:t xml:space="preserve"> </w:t>
      </w:r>
      <w:r w:rsidR="00B704F4" w:rsidRPr="00D339BC">
        <w:rPr>
          <w:rFonts w:ascii="Arial" w:hAnsi="Arial" w:cs="Arial"/>
          <w:color w:val="212121"/>
          <w:shd w:val="clear" w:color="auto" w:fill="FFFFFF"/>
        </w:rPr>
        <w:t xml:space="preserve">of malignant </w:t>
      </w:r>
      <w:proofErr w:type="spellStart"/>
      <w:r w:rsidR="00AF3E22">
        <w:rPr>
          <w:rFonts w:ascii="Arial" w:hAnsi="Arial" w:cs="Arial"/>
          <w:color w:val="212121"/>
          <w:shd w:val="clear" w:color="auto" w:fill="FFFFFF"/>
        </w:rPr>
        <w:t>histotypes</w:t>
      </w:r>
      <w:proofErr w:type="spellEnd"/>
      <w:r w:rsidR="00DC18E0">
        <w:rPr>
          <w:rFonts w:ascii="Arial" w:hAnsi="Arial" w:cs="Arial"/>
          <w:color w:val="212121"/>
          <w:shd w:val="clear" w:color="auto" w:fill="FFFFFF"/>
        </w:rPr>
        <w:t>, even considering that our series comprises slight</w:t>
      </w:r>
      <w:r w:rsidR="001536C7">
        <w:rPr>
          <w:rFonts w:ascii="Arial" w:hAnsi="Arial" w:cs="Arial"/>
          <w:color w:val="212121"/>
          <w:shd w:val="clear" w:color="auto" w:fill="FFFFFF"/>
        </w:rPr>
        <w:t xml:space="preserve"> a</w:t>
      </w:r>
      <w:r w:rsidR="00DC18E0">
        <w:rPr>
          <w:rFonts w:ascii="Arial" w:hAnsi="Arial" w:cs="Arial"/>
          <w:color w:val="212121"/>
          <w:shd w:val="clear" w:color="auto" w:fill="FFFFFF"/>
        </w:rPr>
        <w:t xml:space="preserve"> l</w:t>
      </w:r>
      <w:r w:rsidR="001536C7">
        <w:rPr>
          <w:rFonts w:ascii="Arial" w:hAnsi="Arial" w:cs="Arial"/>
          <w:color w:val="212121"/>
          <w:shd w:val="clear" w:color="auto" w:fill="FFFFFF"/>
        </w:rPr>
        <w:t>ower</w:t>
      </w:r>
      <w:r w:rsidR="00F611EC">
        <w:rPr>
          <w:rFonts w:ascii="Arial" w:hAnsi="Arial" w:cs="Arial"/>
          <w:color w:val="212121"/>
          <w:shd w:val="clear" w:color="auto" w:fill="FFFFFF"/>
        </w:rPr>
        <w:t xml:space="preserve"> number of</w:t>
      </w:r>
      <w:r w:rsidR="00DC18E0">
        <w:rPr>
          <w:rFonts w:ascii="Arial" w:hAnsi="Arial" w:cs="Arial"/>
          <w:color w:val="212121"/>
          <w:shd w:val="clear" w:color="auto" w:fill="FFFFFF"/>
        </w:rPr>
        <w:t xml:space="preserve"> cases</w:t>
      </w:r>
      <w:r w:rsidR="00B704F4" w:rsidRPr="00D339BC">
        <w:rPr>
          <w:rFonts w:ascii="Arial" w:hAnsi="Arial" w:cs="Arial"/>
          <w:color w:val="212121"/>
          <w:shd w:val="clear" w:color="auto" w:fill="FFFFFF"/>
        </w:rPr>
        <w:t xml:space="preserve">: mucoepidermoid carcinoma </w:t>
      </w:r>
      <w:r w:rsidR="00731AEB">
        <w:rPr>
          <w:rFonts w:ascii="Arial" w:hAnsi="Arial" w:cs="Arial"/>
          <w:color w:val="212121"/>
          <w:shd w:val="clear" w:color="auto" w:fill="FFFFFF"/>
        </w:rPr>
        <w:t>being</w:t>
      </w:r>
      <w:r w:rsidR="00731AEB" w:rsidRPr="00D339BC">
        <w:rPr>
          <w:rFonts w:ascii="Arial" w:hAnsi="Arial" w:cs="Arial"/>
          <w:color w:val="212121"/>
          <w:shd w:val="clear" w:color="auto" w:fill="FFFFFF"/>
        </w:rPr>
        <w:t xml:space="preserve"> </w:t>
      </w:r>
      <w:r w:rsidR="00B704F4" w:rsidRPr="00D339BC">
        <w:rPr>
          <w:rFonts w:ascii="Arial" w:hAnsi="Arial" w:cs="Arial"/>
          <w:color w:val="212121"/>
          <w:shd w:val="clear" w:color="auto" w:fill="FFFFFF"/>
        </w:rPr>
        <w:t xml:space="preserve">more frequent in </w:t>
      </w:r>
      <w:r w:rsidR="003F3340">
        <w:rPr>
          <w:rFonts w:ascii="Arial" w:hAnsi="Arial" w:cs="Arial"/>
          <w:color w:val="212121"/>
          <w:shd w:val="clear" w:color="auto" w:fill="FFFFFF"/>
        </w:rPr>
        <w:t>our</w:t>
      </w:r>
      <w:r w:rsidR="00B704F4" w:rsidRPr="00D339BC">
        <w:rPr>
          <w:rFonts w:ascii="Arial" w:hAnsi="Arial" w:cs="Arial"/>
          <w:color w:val="212121"/>
          <w:shd w:val="clear" w:color="auto" w:fill="FFFFFF"/>
        </w:rPr>
        <w:t xml:space="preserve"> study (26.2% </w:t>
      </w:r>
      <w:proofErr w:type="spellStart"/>
      <w:r w:rsidR="00B704F4" w:rsidRPr="00D339BC">
        <w:rPr>
          <w:rFonts w:ascii="Arial" w:hAnsi="Arial" w:cs="Arial"/>
          <w:color w:val="212121"/>
          <w:shd w:val="clear" w:color="auto" w:fill="FFFFFF"/>
        </w:rPr>
        <w:t>vs</w:t>
      </w:r>
      <w:proofErr w:type="spellEnd"/>
      <w:r w:rsidR="00B704F4" w:rsidRPr="00D339BC">
        <w:rPr>
          <w:rFonts w:ascii="Arial" w:hAnsi="Arial" w:cs="Arial"/>
          <w:color w:val="212121"/>
          <w:shd w:val="clear" w:color="auto" w:fill="FFFFFF"/>
        </w:rPr>
        <w:t xml:space="preserve"> 18.92%</w:t>
      </w:r>
      <w:r w:rsidR="00AF3E22">
        <w:rPr>
          <w:rFonts w:ascii="Arial" w:hAnsi="Arial" w:cs="Arial"/>
          <w:color w:val="212121"/>
          <w:shd w:val="clear" w:color="auto" w:fill="FFFFFF"/>
        </w:rPr>
        <w:t>, respectively</w:t>
      </w:r>
      <w:r w:rsidR="00B704F4" w:rsidRPr="00D339BC">
        <w:rPr>
          <w:rFonts w:ascii="Arial" w:hAnsi="Arial" w:cs="Arial"/>
          <w:color w:val="212121"/>
          <w:shd w:val="clear" w:color="auto" w:fill="FFFFFF"/>
        </w:rPr>
        <w:t>)</w:t>
      </w:r>
      <w:r w:rsidR="00731AEB">
        <w:rPr>
          <w:rFonts w:ascii="Arial" w:hAnsi="Arial" w:cs="Arial"/>
          <w:color w:val="212121"/>
          <w:shd w:val="clear" w:color="auto" w:fill="FFFFFF"/>
        </w:rPr>
        <w:t>,</w:t>
      </w:r>
      <w:r w:rsidR="00B704F4" w:rsidRPr="00D339BC">
        <w:rPr>
          <w:rFonts w:ascii="Arial" w:hAnsi="Arial" w:cs="Arial"/>
          <w:color w:val="212121"/>
          <w:shd w:val="clear" w:color="auto" w:fill="FFFFFF"/>
        </w:rPr>
        <w:t xml:space="preserve"> </w:t>
      </w:r>
      <w:r w:rsidR="00CA5C69">
        <w:rPr>
          <w:rFonts w:ascii="Arial" w:hAnsi="Arial" w:cs="Arial"/>
          <w:color w:val="212121"/>
          <w:shd w:val="clear" w:color="auto" w:fill="FFFFFF"/>
        </w:rPr>
        <w:t xml:space="preserve">and </w:t>
      </w:r>
      <w:r w:rsidR="00B704F4" w:rsidRPr="00D339BC">
        <w:rPr>
          <w:rFonts w:ascii="Arial" w:hAnsi="Arial" w:cs="Arial"/>
          <w:color w:val="212121"/>
          <w:shd w:val="clear" w:color="auto" w:fill="FFFFFF"/>
        </w:rPr>
        <w:t>myoepithelial carcinoma</w:t>
      </w:r>
      <w:r w:rsidR="00731AEB">
        <w:rPr>
          <w:rFonts w:ascii="Arial" w:hAnsi="Arial" w:cs="Arial"/>
          <w:color w:val="212121"/>
          <w:shd w:val="clear" w:color="auto" w:fill="FFFFFF"/>
        </w:rPr>
        <w:t xml:space="preserve"> as well as</w:t>
      </w:r>
      <w:r w:rsidR="00731AEB" w:rsidRPr="00731AEB">
        <w:t xml:space="preserve"> </w:t>
      </w:r>
      <w:r w:rsidR="00731AEB" w:rsidRPr="00731AEB">
        <w:rPr>
          <w:rFonts w:ascii="Arial" w:hAnsi="Arial" w:cs="Arial"/>
          <w:color w:val="212121"/>
          <w:shd w:val="clear" w:color="auto" w:fill="FFFFFF"/>
        </w:rPr>
        <w:t>carcinoma ex-pleomorphic adenoma</w:t>
      </w:r>
      <w:r w:rsidR="00731AEB">
        <w:rPr>
          <w:rFonts w:ascii="Arial" w:hAnsi="Arial" w:cs="Arial"/>
          <w:color w:val="212121"/>
          <w:shd w:val="clear" w:color="auto" w:fill="FFFFFF"/>
        </w:rPr>
        <w:t xml:space="preserve"> being less frequent </w:t>
      </w:r>
      <w:r w:rsidR="00B704F4" w:rsidRPr="00D339BC">
        <w:rPr>
          <w:rFonts w:ascii="Arial" w:hAnsi="Arial" w:cs="Arial"/>
          <w:color w:val="212121"/>
          <w:shd w:val="clear" w:color="auto" w:fill="FFFFFF"/>
        </w:rPr>
        <w:t>(4.7% vs. 16</w:t>
      </w:r>
      <w:r w:rsidR="008B34B7">
        <w:rPr>
          <w:rFonts w:ascii="Arial" w:hAnsi="Arial" w:cs="Arial"/>
          <w:color w:val="212121"/>
          <w:shd w:val="clear" w:color="auto" w:fill="FFFFFF"/>
        </w:rPr>
        <w:t>.</w:t>
      </w:r>
      <w:r w:rsidR="00B704F4" w:rsidRPr="00D339BC">
        <w:rPr>
          <w:rFonts w:ascii="Arial" w:hAnsi="Arial" w:cs="Arial"/>
          <w:color w:val="212121"/>
          <w:shd w:val="clear" w:color="auto" w:fill="FFFFFF"/>
        </w:rPr>
        <w:t>2%</w:t>
      </w:r>
      <w:r w:rsidR="00227756">
        <w:rPr>
          <w:rFonts w:ascii="Arial" w:hAnsi="Arial" w:cs="Arial"/>
          <w:color w:val="212121"/>
          <w:shd w:val="clear" w:color="auto" w:fill="FFFFFF"/>
        </w:rPr>
        <w:t>; and</w:t>
      </w:r>
      <w:r w:rsidR="008B34B7">
        <w:rPr>
          <w:rFonts w:ascii="Arial" w:hAnsi="Arial" w:cs="Arial"/>
          <w:color w:val="212121"/>
          <w:shd w:val="clear" w:color="auto" w:fill="FFFFFF"/>
        </w:rPr>
        <w:t xml:space="preserve"> 4.7% </w:t>
      </w:r>
      <w:proofErr w:type="spellStart"/>
      <w:r w:rsidR="008B34B7">
        <w:rPr>
          <w:rFonts w:ascii="Arial" w:hAnsi="Arial" w:cs="Arial"/>
          <w:color w:val="212121"/>
          <w:shd w:val="clear" w:color="auto" w:fill="FFFFFF"/>
        </w:rPr>
        <w:t>vs</w:t>
      </w:r>
      <w:proofErr w:type="spellEnd"/>
      <w:r w:rsidR="008B34B7">
        <w:rPr>
          <w:rFonts w:ascii="Arial" w:hAnsi="Arial" w:cs="Arial"/>
          <w:color w:val="212121"/>
          <w:shd w:val="clear" w:color="auto" w:fill="FFFFFF"/>
        </w:rPr>
        <w:t xml:space="preserve"> 13.5</w:t>
      </w:r>
      <w:r w:rsidR="008B34B7" w:rsidRPr="008B34B7">
        <w:rPr>
          <w:rFonts w:ascii="Arial" w:hAnsi="Arial" w:cs="Arial"/>
          <w:color w:val="212121"/>
          <w:shd w:val="clear" w:color="auto" w:fill="FFFFFF"/>
        </w:rPr>
        <w:t>%</w:t>
      </w:r>
      <w:r w:rsidR="0080699B">
        <w:rPr>
          <w:rFonts w:ascii="Arial" w:hAnsi="Arial" w:cs="Arial"/>
          <w:color w:val="212121"/>
          <w:shd w:val="clear" w:color="auto" w:fill="FFFFFF"/>
        </w:rPr>
        <w:t>,</w:t>
      </w:r>
      <w:r w:rsidR="008B34B7">
        <w:rPr>
          <w:rFonts w:ascii="Arial" w:hAnsi="Arial" w:cs="Arial"/>
          <w:color w:val="212121"/>
          <w:shd w:val="clear" w:color="auto" w:fill="FFFFFF"/>
        </w:rPr>
        <w:t xml:space="preserve"> respectively</w:t>
      </w:r>
      <w:r w:rsidR="00B704F4" w:rsidRPr="00D339BC">
        <w:rPr>
          <w:rFonts w:ascii="Arial" w:hAnsi="Arial" w:cs="Arial"/>
          <w:color w:val="212121"/>
          <w:shd w:val="clear" w:color="auto" w:fill="FFFFFF"/>
        </w:rPr>
        <w:t>)</w:t>
      </w:r>
      <w:r w:rsidR="00DC18E0">
        <w:rPr>
          <w:rFonts w:ascii="Arial" w:hAnsi="Arial" w:cs="Arial"/>
          <w:color w:val="212121"/>
          <w:shd w:val="clear" w:color="auto" w:fill="FFFFFF"/>
        </w:rPr>
        <w:t>. We</w:t>
      </w:r>
      <w:r w:rsidR="00B704F4" w:rsidRPr="00D339BC">
        <w:rPr>
          <w:rFonts w:ascii="Arial" w:hAnsi="Arial" w:cs="Arial"/>
          <w:color w:val="212121"/>
          <w:shd w:val="clear" w:color="auto" w:fill="FFFFFF"/>
        </w:rPr>
        <w:t xml:space="preserve"> also</w:t>
      </w:r>
      <w:r w:rsidR="00DC18E0">
        <w:rPr>
          <w:rFonts w:ascii="Arial" w:hAnsi="Arial" w:cs="Arial"/>
          <w:color w:val="212121"/>
          <w:shd w:val="clear" w:color="auto" w:fill="FFFFFF"/>
        </w:rPr>
        <w:t xml:space="preserve"> observed</w:t>
      </w:r>
      <w:r w:rsidR="00B704F4" w:rsidRPr="00D339BC">
        <w:rPr>
          <w:rFonts w:ascii="Arial" w:hAnsi="Arial" w:cs="Arial"/>
          <w:color w:val="212121"/>
          <w:shd w:val="clear" w:color="auto" w:fill="FFFFFF"/>
        </w:rPr>
        <w:t xml:space="preserve"> a lower rate of relapse (28.1% </w:t>
      </w:r>
      <w:proofErr w:type="spellStart"/>
      <w:r w:rsidR="00B704F4" w:rsidRPr="00D339BC">
        <w:rPr>
          <w:rFonts w:ascii="Arial" w:hAnsi="Arial" w:cs="Arial"/>
          <w:color w:val="212121"/>
          <w:shd w:val="clear" w:color="auto" w:fill="FFFFFF"/>
        </w:rPr>
        <w:t>vs</w:t>
      </w:r>
      <w:proofErr w:type="spellEnd"/>
      <w:r w:rsidR="00B704F4" w:rsidRPr="00D339BC">
        <w:rPr>
          <w:rFonts w:ascii="Arial" w:hAnsi="Arial" w:cs="Arial"/>
          <w:color w:val="212121"/>
          <w:shd w:val="clear" w:color="auto" w:fill="FFFFFF"/>
        </w:rPr>
        <w:t xml:space="preserve"> 40.5%</w:t>
      </w:r>
      <w:r w:rsidR="00691696">
        <w:rPr>
          <w:rFonts w:ascii="Arial" w:hAnsi="Arial" w:cs="Arial"/>
          <w:color w:val="212121"/>
          <w:shd w:val="clear" w:color="auto" w:fill="FFFFFF"/>
        </w:rPr>
        <w:t>, respectively</w:t>
      </w:r>
      <w:r w:rsidR="00B704F4" w:rsidRPr="00D339BC">
        <w:rPr>
          <w:rFonts w:ascii="Arial" w:hAnsi="Arial" w:cs="Arial"/>
          <w:color w:val="212121"/>
          <w:shd w:val="clear" w:color="auto" w:fill="FFFFFF"/>
        </w:rPr>
        <w:t>). These differences may</w:t>
      </w:r>
      <w:r w:rsidR="00F47251">
        <w:rPr>
          <w:rFonts w:ascii="Arial" w:hAnsi="Arial" w:cs="Arial"/>
          <w:color w:val="212121"/>
          <w:shd w:val="clear" w:color="auto" w:fill="FFFFFF"/>
        </w:rPr>
        <w:t>, at least</w:t>
      </w:r>
      <w:r w:rsidR="00B704F4" w:rsidRPr="00D339BC">
        <w:rPr>
          <w:rFonts w:ascii="Arial" w:hAnsi="Arial" w:cs="Arial"/>
          <w:color w:val="212121"/>
          <w:shd w:val="clear" w:color="auto" w:fill="FFFFFF"/>
        </w:rPr>
        <w:t xml:space="preserve"> in part</w:t>
      </w:r>
      <w:r w:rsidR="00F47251">
        <w:rPr>
          <w:rFonts w:ascii="Arial" w:hAnsi="Arial" w:cs="Arial"/>
          <w:color w:val="212121"/>
          <w:shd w:val="clear" w:color="auto" w:fill="FFFFFF"/>
        </w:rPr>
        <w:t>,</w:t>
      </w:r>
      <w:r w:rsidR="00B704F4" w:rsidRPr="00D339BC">
        <w:rPr>
          <w:rFonts w:ascii="Arial" w:hAnsi="Arial" w:cs="Arial"/>
          <w:color w:val="212121"/>
          <w:shd w:val="clear" w:color="auto" w:fill="FFFFFF"/>
        </w:rPr>
        <w:t xml:space="preserve"> </w:t>
      </w:r>
      <w:r w:rsidR="00F47251">
        <w:rPr>
          <w:rFonts w:ascii="Arial" w:hAnsi="Arial" w:cs="Arial"/>
          <w:color w:val="212121"/>
          <w:shd w:val="clear" w:color="auto" w:fill="FFFFFF"/>
        </w:rPr>
        <w:t>indicate</w:t>
      </w:r>
      <w:r w:rsidR="00DC18E0">
        <w:rPr>
          <w:rFonts w:ascii="Arial" w:hAnsi="Arial" w:cs="Arial"/>
          <w:color w:val="212121"/>
          <w:shd w:val="clear" w:color="auto" w:fill="FFFFFF"/>
        </w:rPr>
        <w:t xml:space="preserve"> </w:t>
      </w:r>
      <w:r w:rsidR="00F47251">
        <w:rPr>
          <w:rFonts w:ascii="Arial" w:hAnsi="Arial" w:cs="Arial"/>
          <w:color w:val="212121"/>
          <w:shd w:val="clear" w:color="auto" w:fill="FFFFFF"/>
        </w:rPr>
        <w:t xml:space="preserve">diverse </w:t>
      </w:r>
      <w:r w:rsidR="00DC18E0">
        <w:rPr>
          <w:rFonts w:ascii="Arial" w:hAnsi="Arial" w:cs="Arial"/>
          <w:color w:val="212121"/>
          <w:shd w:val="clear" w:color="auto" w:fill="FFFFFF"/>
        </w:rPr>
        <w:t xml:space="preserve">diagnostic inclusion criteria </w:t>
      </w:r>
      <w:r w:rsidR="00B704F4" w:rsidRPr="00D339BC">
        <w:rPr>
          <w:rFonts w:ascii="Arial" w:hAnsi="Arial" w:cs="Arial"/>
          <w:color w:val="212121"/>
          <w:shd w:val="clear" w:color="auto" w:fill="FFFFFF"/>
        </w:rPr>
        <w:t>a</w:t>
      </w:r>
      <w:r w:rsidR="007B3180">
        <w:rPr>
          <w:rFonts w:ascii="Arial" w:hAnsi="Arial" w:cs="Arial"/>
          <w:color w:val="212121"/>
          <w:shd w:val="clear" w:color="auto" w:fill="FFFFFF"/>
        </w:rPr>
        <w:t>nd</w:t>
      </w:r>
      <w:r w:rsidR="00B704F4" w:rsidRPr="00D339BC">
        <w:rPr>
          <w:rFonts w:ascii="Arial" w:hAnsi="Arial" w:cs="Arial"/>
          <w:color w:val="212121"/>
          <w:shd w:val="clear" w:color="auto" w:fill="FFFFFF"/>
        </w:rPr>
        <w:t xml:space="preserve"> </w:t>
      </w:r>
      <w:r w:rsidR="00691696" w:rsidRPr="00D339BC">
        <w:rPr>
          <w:rFonts w:ascii="Arial" w:hAnsi="Arial" w:cs="Arial"/>
          <w:color w:val="212121"/>
          <w:shd w:val="clear" w:color="auto" w:fill="FFFFFF"/>
        </w:rPr>
        <w:t>refer</w:t>
      </w:r>
      <w:r w:rsidR="00691696">
        <w:rPr>
          <w:rFonts w:ascii="Arial" w:hAnsi="Arial" w:cs="Arial"/>
          <w:color w:val="212121"/>
          <w:shd w:val="clear" w:color="auto" w:fill="FFFFFF"/>
        </w:rPr>
        <w:t>ral</w:t>
      </w:r>
      <w:r w:rsidR="00691696" w:rsidRPr="00D339BC">
        <w:rPr>
          <w:rFonts w:ascii="Arial" w:hAnsi="Arial" w:cs="Arial"/>
          <w:color w:val="212121"/>
          <w:shd w:val="clear" w:color="auto" w:fill="FFFFFF"/>
        </w:rPr>
        <w:t xml:space="preserve"> </w:t>
      </w:r>
      <w:r w:rsidR="00B704F4" w:rsidRPr="00D339BC">
        <w:rPr>
          <w:rFonts w:ascii="Arial" w:hAnsi="Arial" w:cs="Arial"/>
          <w:color w:val="212121"/>
          <w:shd w:val="clear" w:color="auto" w:fill="FFFFFF"/>
        </w:rPr>
        <w:t>bias</w:t>
      </w:r>
      <w:r w:rsidR="00F47251" w:rsidRPr="00F47251">
        <w:t xml:space="preserve"> </w:t>
      </w:r>
      <w:r w:rsidR="00F47251" w:rsidRPr="00F47251">
        <w:rPr>
          <w:rFonts w:ascii="Arial" w:hAnsi="Arial" w:cs="Arial"/>
          <w:color w:val="212121"/>
          <w:shd w:val="clear" w:color="auto" w:fill="FFFFFF"/>
        </w:rPr>
        <w:t xml:space="preserve">in both </w:t>
      </w:r>
      <w:r w:rsidR="00CA5C69">
        <w:rPr>
          <w:rFonts w:ascii="Arial" w:hAnsi="Arial" w:cs="Arial"/>
          <w:color w:val="212121"/>
          <w:shd w:val="clear" w:color="auto" w:fill="FFFFFF"/>
        </w:rPr>
        <w:t>studies</w:t>
      </w:r>
      <w:r w:rsidR="00B704F4" w:rsidRPr="00D339BC">
        <w:rPr>
          <w:rFonts w:ascii="Arial" w:hAnsi="Arial" w:cs="Arial"/>
          <w:color w:val="212121"/>
          <w:shd w:val="clear" w:color="auto" w:fill="FFFFFF"/>
        </w:rPr>
        <w:t>.</w:t>
      </w:r>
      <w:r w:rsidR="0080699B">
        <w:rPr>
          <w:rFonts w:ascii="Arial" w:hAnsi="Arial" w:cs="Arial"/>
          <w:color w:val="212121"/>
          <w:shd w:val="clear" w:color="auto" w:fill="FFFFFF"/>
        </w:rPr>
        <w:t xml:space="preserve"> </w:t>
      </w:r>
      <w:r w:rsidR="00691696">
        <w:rPr>
          <w:rFonts w:ascii="Arial" w:hAnsi="Arial" w:cs="Arial"/>
          <w:color w:val="212121"/>
          <w:shd w:val="clear" w:color="auto" w:fill="FFFFFF"/>
        </w:rPr>
        <w:t xml:space="preserve">Regrettably, </w:t>
      </w:r>
      <w:r w:rsidR="0080699B">
        <w:rPr>
          <w:rFonts w:ascii="Arial" w:hAnsi="Arial" w:cs="Arial"/>
          <w:color w:val="212121"/>
          <w:shd w:val="clear" w:color="auto" w:fill="FFFFFF"/>
        </w:rPr>
        <w:t xml:space="preserve">the report </w:t>
      </w:r>
      <w:r w:rsidR="00AD063F">
        <w:rPr>
          <w:rFonts w:ascii="Arial" w:hAnsi="Arial" w:cs="Arial"/>
          <w:color w:val="212121"/>
          <w:shd w:val="clear" w:color="auto" w:fill="FFFFFF"/>
        </w:rPr>
        <w:t xml:space="preserve">by </w:t>
      </w:r>
      <w:r w:rsidR="0080699B">
        <w:rPr>
          <w:rFonts w:ascii="Arial" w:hAnsi="Arial" w:cs="Arial"/>
          <w:color w:val="212121"/>
          <w:shd w:val="clear" w:color="auto" w:fill="FFFFFF"/>
        </w:rPr>
        <w:t xml:space="preserve">Oliveira F. </w:t>
      </w:r>
      <w:r w:rsidR="0080699B" w:rsidRPr="00CA5C69">
        <w:rPr>
          <w:rFonts w:ascii="Arial" w:hAnsi="Arial" w:cs="Arial"/>
          <w:i/>
          <w:color w:val="212121"/>
          <w:shd w:val="clear" w:color="auto" w:fill="FFFFFF"/>
        </w:rPr>
        <w:t>e</w:t>
      </w:r>
      <w:r w:rsidR="00AD063F" w:rsidRPr="00CA5C69">
        <w:rPr>
          <w:rFonts w:ascii="Arial" w:hAnsi="Arial" w:cs="Arial"/>
          <w:i/>
          <w:color w:val="212121"/>
          <w:shd w:val="clear" w:color="auto" w:fill="FFFFFF"/>
        </w:rPr>
        <w:t>t al</w:t>
      </w:r>
      <w:r w:rsidR="00AD063F">
        <w:rPr>
          <w:rFonts w:ascii="Arial" w:hAnsi="Arial" w:cs="Arial"/>
          <w:color w:val="212121"/>
          <w:shd w:val="clear" w:color="auto" w:fill="FFFFFF"/>
        </w:rPr>
        <w:t xml:space="preserve"> does not provide staging and survival data to compare with our results.</w:t>
      </w:r>
      <w:r w:rsidR="00B704F4" w:rsidRPr="00D339BC">
        <w:rPr>
          <w:rFonts w:ascii="Arial" w:hAnsi="Arial" w:cs="Arial"/>
          <w:color w:val="212121"/>
          <w:shd w:val="clear" w:color="auto" w:fill="FFFFFF"/>
        </w:rPr>
        <w:t xml:space="preserve"> </w:t>
      </w:r>
    </w:p>
    <w:p w:rsidR="00B704F4" w:rsidRDefault="00B704F4" w:rsidP="00BF1E4D">
      <w:pPr>
        <w:widowControl w:val="0"/>
        <w:autoSpaceDE w:val="0"/>
        <w:autoSpaceDN w:val="0"/>
        <w:adjustRightInd w:val="0"/>
        <w:spacing w:after="0" w:line="360" w:lineRule="auto"/>
        <w:jc w:val="both"/>
        <w:rPr>
          <w:rFonts w:ascii="Arial" w:hAnsi="Arial" w:cs="Arial"/>
          <w:color w:val="212121"/>
        </w:rPr>
      </w:pPr>
      <w:proofErr w:type="spellStart"/>
      <w:r w:rsidRPr="00967D6E">
        <w:rPr>
          <w:rFonts w:ascii="Arial" w:hAnsi="Arial" w:cs="Arial"/>
          <w:color w:val="212121"/>
          <w:shd w:val="clear" w:color="auto" w:fill="FFFFFF"/>
        </w:rPr>
        <w:t>Monteiro</w:t>
      </w:r>
      <w:proofErr w:type="spellEnd"/>
      <w:r w:rsidRPr="00967D6E">
        <w:rPr>
          <w:rFonts w:ascii="Arial" w:hAnsi="Arial" w:cs="Arial"/>
          <w:color w:val="212121"/>
          <w:shd w:val="clear" w:color="auto" w:fill="FFFFFF"/>
        </w:rPr>
        <w:t xml:space="preserve"> LS </w:t>
      </w:r>
      <w:r w:rsidRPr="00000498">
        <w:rPr>
          <w:rFonts w:ascii="Arial" w:hAnsi="Arial" w:cs="Arial"/>
          <w:i/>
          <w:color w:val="212121"/>
          <w:shd w:val="clear" w:color="auto" w:fill="FFFFFF"/>
        </w:rPr>
        <w:t>et al</w:t>
      </w:r>
      <w:r w:rsidR="00000498">
        <w:rPr>
          <w:rFonts w:ascii="Arial" w:hAnsi="Arial" w:cs="Arial"/>
          <w:color w:val="212121"/>
          <w:shd w:val="clear" w:color="auto" w:fill="FFFFFF"/>
        </w:rPr>
        <w:t xml:space="preserve"> </w:t>
      </w:r>
      <w:r w:rsidR="00967D6E">
        <w:rPr>
          <w:rFonts w:ascii="Arial" w:hAnsi="Arial" w:cs="Arial"/>
          <w:color w:val="212121"/>
          <w:shd w:val="clear" w:color="auto" w:fill="FFFFFF"/>
          <w:vertAlign w:val="superscript"/>
        </w:rPr>
        <w:t>11</w:t>
      </w:r>
      <w:r w:rsidR="006312C7" w:rsidRPr="00967D6E">
        <w:rPr>
          <w:rFonts w:ascii="Arial" w:hAnsi="Arial" w:cs="Arial"/>
          <w:color w:val="212121"/>
          <w:shd w:val="clear" w:color="auto" w:fill="FFFFFF"/>
        </w:rPr>
        <w:t xml:space="preserve"> </w:t>
      </w:r>
      <w:r w:rsidR="0080699B" w:rsidRPr="00967D6E">
        <w:rPr>
          <w:rFonts w:ascii="Arial" w:hAnsi="Arial" w:cs="Arial"/>
          <w:color w:val="212121"/>
          <w:shd w:val="clear" w:color="auto" w:fill="FFFFFF"/>
        </w:rPr>
        <w:t xml:space="preserve">reported </w:t>
      </w:r>
      <w:r w:rsidRPr="00967D6E">
        <w:rPr>
          <w:rFonts w:ascii="Arial" w:hAnsi="Arial" w:cs="Arial"/>
          <w:color w:val="212121"/>
          <w:shd w:val="clear" w:color="auto" w:fill="FFFFFF"/>
        </w:rPr>
        <w:t xml:space="preserve">a study on the prognostic factors in primary malignant </w:t>
      </w:r>
      <w:r w:rsidR="00691696" w:rsidRPr="00967D6E">
        <w:rPr>
          <w:rFonts w:ascii="Arial" w:hAnsi="Arial" w:cs="Arial"/>
          <w:color w:val="212121"/>
          <w:shd w:val="clear" w:color="auto" w:fill="FFFFFF"/>
        </w:rPr>
        <w:t>SGT</w:t>
      </w:r>
      <w:r w:rsidR="007B3180" w:rsidRPr="00967D6E">
        <w:rPr>
          <w:rFonts w:ascii="Arial" w:hAnsi="Arial" w:cs="Arial"/>
          <w:color w:val="212121"/>
          <w:shd w:val="clear" w:color="auto" w:fill="FFFFFF"/>
        </w:rPr>
        <w:t xml:space="preserve"> (n=136, from 1992 to 2002) from another Portuguese Oncology Institute</w:t>
      </w:r>
      <w:r w:rsidR="004D377A" w:rsidRPr="00967D6E">
        <w:rPr>
          <w:rFonts w:ascii="Arial" w:hAnsi="Arial" w:cs="Arial"/>
          <w:color w:val="212121"/>
          <w:shd w:val="clear" w:color="auto" w:fill="FFFFFF"/>
        </w:rPr>
        <w:t xml:space="preserve"> (</w:t>
      </w:r>
      <w:r w:rsidR="00100964" w:rsidRPr="00967D6E">
        <w:rPr>
          <w:rFonts w:ascii="Arial" w:hAnsi="Arial" w:cs="Arial"/>
          <w:color w:val="212121"/>
          <w:shd w:val="clear" w:color="auto" w:fill="FFFFFF"/>
        </w:rPr>
        <w:t>N</w:t>
      </w:r>
      <w:r w:rsidR="004D377A" w:rsidRPr="00967D6E">
        <w:rPr>
          <w:rFonts w:ascii="Arial" w:hAnsi="Arial" w:cs="Arial"/>
          <w:color w:val="212121"/>
          <w:shd w:val="clear" w:color="auto" w:fill="FFFFFF"/>
        </w:rPr>
        <w:t>orth of Portugal)</w:t>
      </w:r>
      <w:r w:rsidRPr="00967D6E">
        <w:rPr>
          <w:rFonts w:ascii="Arial" w:hAnsi="Arial" w:cs="Arial"/>
          <w:color w:val="212121"/>
          <w:shd w:val="clear" w:color="auto" w:fill="FFFFFF"/>
        </w:rPr>
        <w:t>.</w:t>
      </w:r>
      <w:r w:rsidRPr="00967D6E">
        <w:rPr>
          <w:rFonts w:ascii="Arial" w:hAnsi="Arial" w:cs="Arial"/>
        </w:rPr>
        <w:t xml:space="preserve"> </w:t>
      </w:r>
      <w:r w:rsidR="00F611EC">
        <w:rPr>
          <w:rFonts w:ascii="Arial" w:hAnsi="Arial" w:cs="Arial"/>
        </w:rPr>
        <w:t>Noteworthy</w:t>
      </w:r>
      <w:r w:rsidR="00C35BEB">
        <w:rPr>
          <w:rFonts w:ascii="Arial" w:hAnsi="Arial" w:cs="Arial"/>
        </w:rPr>
        <w:t>, compared to our study,</w:t>
      </w:r>
      <w:r w:rsidR="00C35BEB" w:rsidRPr="00D339BC">
        <w:rPr>
          <w:rFonts w:ascii="Arial" w:hAnsi="Arial" w:cs="Arial"/>
        </w:rPr>
        <w:t xml:space="preserve"> we </w:t>
      </w:r>
      <w:r w:rsidR="00C35BEB">
        <w:rPr>
          <w:rFonts w:ascii="Arial" w:hAnsi="Arial" w:cs="Arial"/>
        </w:rPr>
        <w:t>identified</w:t>
      </w:r>
      <w:r w:rsidR="00C35BEB" w:rsidRPr="00D339BC">
        <w:rPr>
          <w:rFonts w:ascii="Arial" w:hAnsi="Arial" w:cs="Arial"/>
        </w:rPr>
        <w:t xml:space="preserve"> a higher proportion of </w:t>
      </w:r>
      <w:r w:rsidR="00C35BEB">
        <w:rPr>
          <w:rFonts w:ascii="Arial" w:hAnsi="Arial" w:cs="Arial"/>
        </w:rPr>
        <w:t xml:space="preserve">primary malignant </w:t>
      </w:r>
      <w:r w:rsidR="00C35BEB" w:rsidRPr="00D339BC">
        <w:rPr>
          <w:rFonts w:ascii="Arial" w:hAnsi="Arial" w:cs="Arial"/>
        </w:rPr>
        <w:t xml:space="preserve">tumors in </w:t>
      </w:r>
      <w:r w:rsidR="00C35BEB" w:rsidRPr="00050FB0">
        <w:rPr>
          <w:rFonts w:ascii="Arial" w:hAnsi="Arial" w:cs="Arial"/>
          <w:i/>
        </w:rPr>
        <w:t>major</w:t>
      </w:r>
      <w:r w:rsidR="00C35BEB" w:rsidRPr="00D339BC">
        <w:rPr>
          <w:rFonts w:ascii="Arial" w:hAnsi="Arial" w:cs="Arial"/>
        </w:rPr>
        <w:t xml:space="preserve"> salivary glands (79</w:t>
      </w:r>
      <w:r w:rsidR="00C35BEB">
        <w:rPr>
          <w:rFonts w:ascii="Arial" w:hAnsi="Arial" w:cs="Arial"/>
        </w:rPr>
        <w:t>.</w:t>
      </w:r>
      <w:r w:rsidR="00C35BEB" w:rsidRPr="00D339BC">
        <w:rPr>
          <w:rFonts w:ascii="Arial" w:hAnsi="Arial" w:cs="Arial"/>
        </w:rPr>
        <w:t xml:space="preserve">1 % </w:t>
      </w:r>
      <w:proofErr w:type="spellStart"/>
      <w:r w:rsidR="00C35BEB" w:rsidRPr="00D339BC">
        <w:rPr>
          <w:rFonts w:ascii="Arial" w:hAnsi="Arial" w:cs="Arial"/>
        </w:rPr>
        <w:t>vs</w:t>
      </w:r>
      <w:proofErr w:type="spellEnd"/>
      <w:r w:rsidR="00C35BEB" w:rsidRPr="00D339BC">
        <w:rPr>
          <w:rFonts w:ascii="Arial" w:hAnsi="Arial" w:cs="Arial"/>
        </w:rPr>
        <w:t xml:space="preserve"> 65</w:t>
      </w:r>
      <w:r w:rsidR="00C35BEB">
        <w:rPr>
          <w:rFonts w:ascii="Arial" w:hAnsi="Arial" w:cs="Arial"/>
        </w:rPr>
        <w:t>.</w:t>
      </w:r>
      <w:r w:rsidR="00C35BEB" w:rsidRPr="00D339BC">
        <w:rPr>
          <w:rFonts w:ascii="Arial" w:hAnsi="Arial" w:cs="Arial"/>
        </w:rPr>
        <w:t>4 %</w:t>
      </w:r>
      <w:r w:rsidR="00C35BEB">
        <w:rPr>
          <w:rFonts w:ascii="Arial" w:hAnsi="Arial" w:cs="Arial"/>
        </w:rPr>
        <w:t>, respectively) and of muco</w:t>
      </w:r>
      <w:r w:rsidR="00C35BEB" w:rsidRPr="00D339BC">
        <w:rPr>
          <w:rFonts w:ascii="Arial" w:hAnsi="Arial" w:cs="Arial"/>
        </w:rPr>
        <w:t xml:space="preserve">epidermoid </w:t>
      </w:r>
      <w:r w:rsidR="00C35BEB">
        <w:rPr>
          <w:rFonts w:ascii="Arial" w:hAnsi="Arial" w:cs="Arial"/>
        </w:rPr>
        <w:t xml:space="preserve">carcinoma (37.2% </w:t>
      </w:r>
      <w:proofErr w:type="spellStart"/>
      <w:r w:rsidR="00C35BEB">
        <w:rPr>
          <w:rFonts w:ascii="Arial" w:hAnsi="Arial" w:cs="Arial"/>
        </w:rPr>
        <w:t>vs</w:t>
      </w:r>
      <w:proofErr w:type="spellEnd"/>
      <w:r w:rsidR="00C35BEB">
        <w:rPr>
          <w:rFonts w:ascii="Arial" w:hAnsi="Arial" w:cs="Arial"/>
        </w:rPr>
        <w:t xml:space="preserve"> </w:t>
      </w:r>
      <w:r w:rsidR="00C35BEB" w:rsidRPr="0080699B">
        <w:rPr>
          <w:rFonts w:ascii="Arial" w:hAnsi="Arial" w:cs="Arial"/>
        </w:rPr>
        <w:t>21.3%</w:t>
      </w:r>
      <w:r w:rsidR="00C35BEB">
        <w:rPr>
          <w:rFonts w:ascii="Arial" w:hAnsi="Arial" w:cs="Arial"/>
        </w:rPr>
        <w:t xml:space="preserve">, respectively), similar proportion of </w:t>
      </w:r>
      <w:r w:rsidR="00C35BEB" w:rsidRPr="00D339BC">
        <w:rPr>
          <w:rFonts w:ascii="Arial" w:hAnsi="Arial" w:cs="Arial"/>
        </w:rPr>
        <w:t>acinic cell carcinoma</w:t>
      </w:r>
      <w:r w:rsidR="00C35BEB">
        <w:rPr>
          <w:rFonts w:ascii="Arial" w:hAnsi="Arial" w:cs="Arial"/>
        </w:rPr>
        <w:t xml:space="preserve"> (11.6% </w:t>
      </w:r>
      <w:proofErr w:type="spellStart"/>
      <w:r w:rsidR="00C35BEB">
        <w:rPr>
          <w:rFonts w:ascii="Arial" w:hAnsi="Arial" w:cs="Arial"/>
        </w:rPr>
        <w:t>vs</w:t>
      </w:r>
      <w:proofErr w:type="spellEnd"/>
      <w:r w:rsidR="00C35BEB">
        <w:rPr>
          <w:rFonts w:ascii="Arial" w:hAnsi="Arial" w:cs="Arial"/>
        </w:rPr>
        <w:t xml:space="preserve"> 8.1%, respectively)</w:t>
      </w:r>
      <w:r w:rsidR="00F611EC">
        <w:rPr>
          <w:rFonts w:ascii="Arial" w:hAnsi="Arial" w:cs="Arial"/>
        </w:rPr>
        <w:t>,</w:t>
      </w:r>
      <w:r w:rsidR="00C35BEB">
        <w:rPr>
          <w:rFonts w:ascii="Arial" w:hAnsi="Arial" w:cs="Arial"/>
        </w:rPr>
        <w:t xml:space="preserve"> and </w:t>
      </w:r>
      <w:r w:rsidR="00C35BEB" w:rsidRPr="00D339BC">
        <w:rPr>
          <w:rFonts w:ascii="Arial" w:hAnsi="Arial" w:cs="Arial"/>
        </w:rPr>
        <w:t>lower frequency of adenoid cystic carcinoma</w:t>
      </w:r>
      <w:r w:rsidR="00C35BEB">
        <w:rPr>
          <w:rFonts w:ascii="Arial" w:hAnsi="Arial" w:cs="Arial"/>
        </w:rPr>
        <w:t xml:space="preserve"> (14.0% </w:t>
      </w:r>
      <w:proofErr w:type="spellStart"/>
      <w:r w:rsidR="00C35BEB">
        <w:rPr>
          <w:rFonts w:ascii="Arial" w:hAnsi="Arial" w:cs="Arial"/>
        </w:rPr>
        <w:t>vs</w:t>
      </w:r>
      <w:proofErr w:type="spellEnd"/>
      <w:r w:rsidR="00C35BEB">
        <w:rPr>
          <w:rFonts w:ascii="Arial" w:hAnsi="Arial" w:cs="Arial"/>
        </w:rPr>
        <w:t xml:space="preserve"> 25.0%, respectively)</w:t>
      </w:r>
      <w:r w:rsidR="00C35BEB" w:rsidRPr="00D339BC">
        <w:rPr>
          <w:rFonts w:ascii="Arial" w:hAnsi="Arial" w:cs="Arial"/>
        </w:rPr>
        <w:t xml:space="preserve">. </w:t>
      </w:r>
      <w:r w:rsidRPr="00D339BC">
        <w:rPr>
          <w:rFonts w:ascii="Arial" w:hAnsi="Arial" w:cs="Arial"/>
        </w:rPr>
        <w:t>Notably</w:t>
      </w:r>
      <w:r w:rsidR="00AD063F">
        <w:rPr>
          <w:rFonts w:ascii="Arial" w:hAnsi="Arial" w:cs="Arial"/>
        </w:rPr>
        <w:t>,</w:t>
      </w:r>
      <w:r w:rsidRPr="00D339BC">
        <w:rPr>
          <w:rFonts w:ascii="Arial" w:hAnsi="Arial" w:cs="Arial"/>
        </w:rPr>
        <w:t xml:space="preserve"> we observed </w:t>
      </w:r>
      <w:r w:rsidRPr="00C15720">
        <w:rPr>
          <w:rFonts w:ascii="Arial" w:hAnsi="Arial" w:cs="Arial"/>
          <w:color w:val="212121"/>
        </w:rPr>
        <w:t>lower proportion of tumors diagnosed in stage IV (14</w:t>
      </w:r>
      <w:r w:rsidR="00AD063F">
        <w:rPr>
          <w:rFonts w:ascii="Arial" w:hAnsi="Arial" w:cs="Arial"/>
          <w:color w:val="212121"/>
        </w:rPr>
        <w:t>%</w:t>
      </w:r>
      <w:r w:rsidRPr="00C15720">
        <w:rPr>
          <w:rFonts w:ascii="Arial" w:hAnsi="Arial" w:cs="Arial"/>
          <w:color w:val="212121"/>
        </w:rPr>
        <w:t xml:space="preserve"> </w:t>
      </w:r>
      <w:proofErr w:type="spellStart"/>
      <w:r w:rsidRPr="00C15720">
        <w:rPr>
          <w:rFonts w:ascii="Arial" w:hAnsi="Arial" w:cs="Arial"/>
          <w:color w:val="212121"/>
        </w:rPr>
        <w:t>vs</w:t>
      </w:r>
      <w:proofErr w:type="spellEnd"/>
      <w:r w:rsidRPr="00C15720">
        <w:rPr>
          <w:rFonts w:ascii="Arial" w:hAnsi="Arial" w:cs="Arial"/>
          <w:color w:val="212121"/>
        </w:rPr>
        <w:t xml:space="preserve"> 39%</w:t>
      </w:r>
      <w:r w:rsidR="00100964">
        <w:rPr>
          <w:rFonts w:ascii="Arial" w:hAnsi="Arial" w:cs="Arial"/>
          <w:color w:val="212121"/>
        </w:rPr>
        <w:t>, respectively</w:t>
      </w:r>
      <w:r w:rsidR="00DF1342">
        <w:rPr>
          <w:rFonts w:ascii="Arial" w:hAnsi="Arial" w:cs="Arial"/>
          <w:color w:val="212121"/>
        </w:rPr>
        <w:t>),</w:t>
      </w:r>
      <w:r w:rsidRPr="00C15720">
        <w:rPr>
          <w:rFonts w:ascii="Arial" w:hAnsi="Arial" w:cs="Arial"/>
          <w:color w:val="212121"/>
        </w:rPr>
        <w:t xml:space="preserve"> which</w:t>
      </w:r>
      <w:r w:rsidR="00F47251">
        <w:rPr>
          <w:rFonts w:ascii="Arial" w:hAnsi="Arial" w:cs="Arial"/>
          <w:color w:val="212121"/>
        </w:rPr>
        <w:t xml:space="preserve"> might</w:t>
      </w:r>
      <w:r w:rsidRPr="00C15720">
        <w:rPr>
          <w:rFonts w:ascii="Arial" w:hAnsi="Arial" w:cs="Arial"/>
          <w:color w:val="212121"/>
        </w:rPr>
        <w:t xml:space="preserve"> </w:t>
      </w:r>
      <w:r w:rsidR="00F47251">
        <w:rPr>
          <w:rFonts w:ascii="Arial" w:hAnsi="Arial" w:cs="Arial"/>
          <w:color w:val="212121"/>
        </w:rPr>
        <w:t>explain</w:t>
      </w:r>
      <w:r w:rsidRPr="00C15720">
        <w:rPr>
          <w:rFonts w:ascii="Arial" w:hAnsi="Arial" w:cs="Arial"/>
          <w:color w:val="212121"/>
        </w:rPr>
        <w:t xml:space="preserve"> differences in the 5-year </w:t>
      </w:r>
      <w:r w:rsidR="00AD063F">
        <w:rPr>
          <w:rFonts w:ascii="Arial" w:hAnsi="Arial" w:cs="Arial"/>
          <w:color w:val="212121"/>
        </w:rPr>
        <w:t xml:space="preserve">overall </w:t>
      </w:r>
      <w:r w:rsidRPr="00C15720">
        <w:rPr>
          <w:rFonts w:ascii="Arial" w:hAnsi="Arial" w:cs="Arial"/>
          <w:color w:val="212121"/>
        </w:rPr>
        <w:t>survival rate</w:t>
      </w:r>
      <w:r w:rsidR="00AD063F">
        <w:rPr>
          <w:rFonts w:ascii="Arial" w:hAnsi="Arial" w:cs="Arial"/>
          <w:color w:val="212121"/>
        </w:rPr>
        <w:t>s</w:t>
      </w:r>
      <w:r w:rsidR="00F47251">
        <w:rPr>
          <w:rFonts w:ascii="Arial" w:hAnsi="Arial" w:cs="Arial"/>
          <w:color w:val="212121"/>
        </w:rPr>
        <w:t xml:space="preserve"> observed</w:t>
      </w:r>
      <w:r w:rsidR="00AD063F">
        <w:rPr>
          <w:rFonts w:ascii="Arial" w:hAnsi="Arial" w:cs="Arial"/>
          <w:color w:val="212121"/>
        </w:rPr>
        <w:t xml:space="preserve"> in both studies</w:t>
      </w:r>
      <w:r w:rsidR="00DF1342">
        <w:rPr>
          <w:rFonts w:ascii="Arial" w:hAnsi="Arial" w:cs="Arial"/>
          <w:color w:val="212121"/>
        </w:rPr>
        <w:t xml:space="preserve"> (76.9</w:t>
      </w:r>
      <w:r w:rsidRPr="00C15720">
        <w:rPr>
          <w:rFonts w:ascii="Arial" w:hAnsi="Arial" w:cs="Arial"/>
          <w:color w:val="212121"/>
        </w:rPr>
        <w:t xml:space="preserve">% </w:t>
      </w:r>
      <w:proofErr w:type="spellStart"/>
      <w:r w:rsidRPr="00C15720">
        <w:rPr>
          <w:rFonts w:ascii="Arial" w:hAnsi="Arial" w:cs="Arial"/>
          <w:color w:val="212121"/>
        </w:rPr>
        <w:t>vs</w:t>
      </w:r>
      <w:proofErr w:type="spellEnd"/>
      <w:r w:rsidRPr="00C15720">
        <w:rPr>
          <w:rFonts w:ascii="Arial" w:hAnsi="Arial" w:cs="Arial"/>
          <w:color w:val="212121"/>
        </w:rPr>
        <w:t xml:space="preserve"> 71%</w:t>
      </w:r>
      <w:r w:rsidR="00100964">
        <w:rPr>
          <w:rFonts w:ascii="Arial" w:hAnsi="Arial" w:cs="Arial"/>
          <w:color w:val="212121"/>
        </w:rPr>
        <w:t>, respectively</w:t>
      </w:r>
      <w:r w:rsidRPr="00C15720">
        <w:rPr>
          <w:rFonts w:ascii="Arial" w:hAnsi="Arial" w:cs="Arial"/>
          <w:color w:val="212121"/>
        </w:rPr>
        <w:t>)</w:t>
      </w:r>
      <w:r w:rsidR="00AD063F">
        <w:rPr>
          <w:rFonts w:ascii="Arial" w:hAnsi="Arial" w:cs="Arial"/>
          <w:color w:val="212121"/>
        </w:rPr>
        <w:t xml:space="preserve">. Again, these differences may be </w:t>
      </w:r>
      <w:r w:rsidR="00AD063F" w:rsidRPr="00AD063F">
        <w:rPr>
          <w:rFonts w:ascii="Arial" w:hAnsi="Arial" w:cs="Arial"/>
          <w:color w:val="212121"/>
        </w:rPr>
        <w:t xml:space="preserve">probably related to the fact that our hospital is not a reference center for the management of patients with advanced </w:t>
      </w:r>
      <w:r w:rsidR="004D377A">
        <w:rPr>
          <w:rFonts w:ascii="Arial" w:hAnsi="Arial" w:cs="Arial"/>
          <w:color w:val="212121"/>
        </w:rPr>
        <w:t xml:space="preserve">SGT. Yet, it would be interesting to clarify if the time lag between both </w:t>
      </w:r>
      <w:r w:rsidR="004D1CFB">
        <w:rPr>
          <w:rFonts w:ascii="Arial" w:hAnsi="Arial" w:cs="Arial"/>
          <w:color w:val="212121"/>
        </w:rPr>
        <w:t>studies</w:t>
      </w:r>
      <w:r w:rsidR="004D377A">
        <w:rPr>
          <w:rFonts w:ascii="Arial" w:hAnsi="Arial" w:cs="Arial"/>
          <w:color w:val="212121"/>
        </w:rPr>
        <w:t xml:space="preserve"> (</w:t>
      </w:r>
      <w:r w:rsidR="00100964" w:rsidRPr="00100964">
        <w:rPr>
          <w:rFonts w:ascii="Arial" w:hAnsi="Arial" w:cs="Arial"/>
          <w:color w:val="212121"/>
        </w:rPr>
        <w:t>2005-2015</w:t>
      </w:r>
      <w:r w:rsidR="00100964">
        <w:rPr>
          <w:rFonts w:ascii="Arial" w:hAnsi="Arial" w:cs="Arial"/>
          <w:color w:val="212121"/>
        </w:rPr>
        <w:t xml:space="preserve"> </w:t>
      </w:r>
      <w:proofErr w:type="spellStart"/>
      <w:r w:rsidR="00100964">
        <w:rPr>
          <w:rFonts w:ascii="Arial" w:hAnsi="Arial" w:cs="Arial"/>
          <w:color w:val="212121"/>
        </w:rPr>
        <w:t>vs</w:t>
      </w:r>
      <w:proofErr w:type="spellEnd"/>
      <w:r w:rsidR="00100964">
        <w:rPr>
          <w:rFonts w:ascii="Arial" w:hAnsi="Arial" w:cs="Arial"/>
          <w:color w:val="212121"/>
        </w:rPr>
        <w:t xml:space="preserve"> </w:t>
      </w:r>
      <w:r w:rsidR="004D377A">
        <w:rPr>
          <w:rFonts w:ascii="Arial" w:hAnsi="Arial" w:cs="Arial"/>
          <w:color w:val="212121"/>
        </w:rPr>
        <w:t>1992-2002</w:t>
      </w:r>
      <w:r w:rsidR="00100964">
        <w:rPr>
          <w:rFonts w:ascii="Arial" w:hAnsi="Arial" w:cs="Arial"/>
          <w:color w:val="212121"/>
        </w:rPr>
        <w:t>, respectively</w:t>
      </w:r>
      <w:r w:rsidR="004D1CFB">
        <w:rPr>
          <w:rFonts w:ascii="Arial" w:hAnsi="Arial" w:cs="Arial"/>
          <w:color w:val="212121"/>
        </w:rPr>
        <w:t>),</w:t>
      </w:r>
      <w:r w:rsidR="004D377A">
        <w:rPr>
          <w:rFonts w:ascii="Arial" w:hAnsi="Arial" w:cs="Arial"/>
          <w:color w:val="212121"/>
        </w:rPr>
        <w:t xml:space="preserve"> despite </w:t>
      </w:r>
      <w:r w:rsidR="00100964">
        <w:rPr>
          <w:rFonts w:ascii="Arial" w:hAnsi="Arial" w:cs="Arial"/>
          <w:color w:val="212121"/>
        </w:rPr>
        <w:t>referral</w:t>
      </w:r>
      <w:r w:rsidR="004D377A">
        <w:rPr>
          <w:rFonts w:ascii="Arial" w:hAnsi="Arial" w:cs="Arial"/>
          <w:color w:val="212121"/>
        </w:rPr>
        <w:t xml:space="preserve"> issues aforementioned, might or not reflect epidemiological differences of SGT diagnosed and treated in patients in the </w:t>
      </w:r>
      <w:r w:rsidR="00100964">
        <w:rPr>
          <w:rFonts w:ascii="Arial" w:hAnsi="Arial" w:cs="Arial"/>
          <w:color w:val="212121"/>
        </w:rPr>
        <w:t>N</w:t>
      </w:r>
      <w:r w:rsidR="004D377A">
        <w:rPr>
          <w:rFonts w:ascii="Arial" w:hAnsi="Arial" w:cs="Arial"/>
          <w:color w:val="212121"/>
        </w:rPr>
        <w:t>orth of Portugal</w:t>
      </w:r>
      <w:r w:rsidR="004D1CFB">
        <w:rPr>
          <w:rFonts w:ascii="Arial" w:hAnsi="Arial" w:cs="Arial"/>
          <w:color w:val="212121"/>
        </w:rPr>
        <w:t>.</w:t>
      </w:r>
      <w:r w:rsidR="00D339BC" w:rsidRPr="00C15720">
        <w:rPr>
          <w:rFonts w:ascii="Arial" w:hAnsi="Arial" w:cs="Arial"/>
          <w:color w:val="212121"/>
        </w:rPr>
        <w:t xml:space="preserve"> </w:t>
      </w:r>
    </w:p>
    <w:p w:rsidR="00F85363" w:rsidRDefault="00F85363" w:rsidP="00BF1E4D">
      <w:pPr>
        <w:widowControl w:val="0"/>
        <w:autoSpaceDE w:val="0"/>
        <w:autoSpaceDN w:val="0"/>
        <w:adjustRightInd w:val="0"/>
        <w:spacing w:after="0" w:line="360" w:lineRule="auto"/>
        <w:jc w:val="both"/>
        <w:rPr>
          <w:rFonts w:ascii="Arial" w:hAnsi="Arial" w:cs="Arial"/>
          <w:color w:val="212121"/>
        </w:rPr>
      </w:pPr>
    </w:p>
    <w:p w:rsidR="00F85363" w:rsidRDefault="00F85363" w:rsidP="00BF1E4D">
      <w:pPr>
        <w:widowControl w:val="0"/>
        <w:autoSpaceDE w:val="0"/>
        <w:autoSpaceDN w:val="0"/>
        <w:adjustRightInd w:val="0"/>
        <w:spacing w:after="0" w:line="360" w:lineRule="auto"/>
        <w:jc w:val="both"/>
        <w:rPr>
          <w:rFonts w:ascii="Arial" w:hAnsi="Arial" w:cs="Arial"/>
          <w:b/>
          <w:color w:val="212121"/>
        </w:rPr>
      </w:pPr>
      <w:r w:rsidRPr="00F85363">
        <w:rPr>
          <w:rFonts w:ascii="Arial" w:hAnsi="Arial" w:cs="Arial"/>
          <w:b/>
          <w:color w:val="212121"/>
        </w:rPr>
        <w:t>Conclusion</w:t>
      </w:r>
    </w:p>
    <w:p w:rsidR="00145A1C" w:rsidRPr="00A3308B" w:rsidRDefault="00946F07" w:rsidP="00BF1E4D">
      <w:pPr>
        <w:widowControl w:val="0"/>
        <w:autoSpaceDE w:val="0"/>
        <w:autoSpaceDN w:val="0"/>
        <w:adjustRightInd w:val="0"/>
        <w:spacing w:after="0" w:line="360" w:lineRule="auto"/>
        <w:jc w:val="both"/>
        <w:rPr>
          <w:rFonts w:ascii="Arial" w:hAnsi="Arial" w:cs="Arial"/>
        </w:rPr>
      </w:pPr>
      <w:r>
        <w:rPr>
          <w:rFonts w:ascii="Arial" w:hAnsi="Arial" w:cs="Arial"/>
        </w:rPr>
        <w:t>Salivary gland tumo</w:t>
      </w:r>
      <w:r w:rsidR="00145A1C" w:rsidRPr="00145A1C">
        <w:rPr>
          <w:rFonts w:ascii="Arial" w:hAnsi="Arial" w:cs="Arial"/>
        </w:rPr>
        <w:t xml:space="preserve">rs are rare tumors and represent 0.14% of all </w:t>
      </w:r>
      <w:r w:rsidR="009511DB">
        <w:rPr>
          <w:rFonts w:ascii="Arial" w:hAnsi="Arial" w:cs="Arial"/>
        </w:rPr>
        <w:t xml:space="preserve">the </w:t>
      </w:r>
      <w:r w:rsidR="00145A1C" w:rsidRPr="00145A1C">
        <w:rPr>
          <w:rFonts w:ascii="Arial" w:hAnsi="Arial" w:cs="Arial"/>
        </w:rPr>
        <w:t xml:space="preserve">patients diagnosed </w:t>
      </w:r>
      <w:r w:rsidR="0096041F">
        <w:rPr>
          <w:rFonts w:ascii="Arial" w:hAnsi="Arial" w:cs="Arial"/>
        </w:rPr>
        <w:t xml:space="preserve">with cancer at Centro </w:t>
      </w:r>
      <w:proofErr w:type="spellStart"/>
      <w:r w:rsidR="0096041F">
        <w:rPr>
          <w:rFonts w:ascii="Arial" w:hAnsi="Arial" w:cs="Arial"/>
        </w:rPr>
        <w:t>Hospitalar</w:t>
      </w:r>
      <w:proofErr w:type="spellEnd"/>
      <w:r w:rsidR="0096041F">
        <w:rPr>
          <w:rFonts w:ascii="Arial" w:hAnsi="Arial" w:cs="Arial"/>
        </w:rPr>
        <w:t xml:space="preserve"> São </w:t>
      </w:r>
      <w:proofErr w:type="spellStart"/>
      <w:r w:rsidR="0096041F">
        <w:rPr>
          <w:rFonts w:ascii="Arial" w:hAnsi="Arial" w:cs="Arial"/>
        </w:rPr>
        <w:t>João</w:t>
      </w:r>
      <w:proofErr w:type="spellEnd"/>
      <w:r w:rsidR="0096041F">
        <w:rPr>
          <w:rFonts w:ascii="Arial" w:hAnsi="Arial" w:cs="Arial"/>
        </w:rPr>
        <w:t>, Porto, Portugal. Importantly, these tumors represent a</w:t>
      </w:r>
      <w:r w:rsidR="0096041F" w:rsidRPr="0096041F">
        <w:rPr>
          <w:rFonts w:ascii="Arial" w:hAnsi="Arial" w:cs="Arial"/>
        </w:rPr>
        <w:t xml:space="preserve">n increasing complex area in pathology, with many different </w:t>
      </w:r>
      <w:proofErr w:type="spellStart"/>
      <w:r w:rsidR="0096041F">
        <w:rPr>
          <w:rFonts w:ascii="Arial" w:hAnsi="Arial" w:cs="Arial"/>
        </w:rPr>
        <w:t>histotypes</w:t>
      </w:r>
      <w:proofErr w:type="spellEnd"/>
      <w:r w:rsidR="0096041F">
        <w:rPr>
          <w:rFonts w:ascii="Arial" w:hAnsi="Arial" w:cs="Arial"/>
        </w:rPr>
        <w:t xml:space="preserve"> and distinct prognosis.</w:t>
      </w:r>
    </w:p>
    <w:p w:rsidR="00EF74A8" w:rsidRPr="00CC28B8" w:rsidRDefault="00145A1C" w:rsidP="00BF1E4D">
      <w:pPr>
        <w:pStyle w:val="HTMLPreformatted"/>
        <w:shd w:val="clear" w:color="auto" w:fill="FFFFFF"/>
        <w:spacing w:line="360" w:lineRule="auto"/>
        <w:jc w:val="both"/>
        <w:rPr>
          <w:rFonts w:ascii="Arial" w:hAnsi="Arial" w:cs="Arial"/>
          <w:sz w:val="22"/>
          <w:szCs w:val="22"/>
        </w:rPr>
      </w:pPr>
      <w:r w:rsidRPr="00145A1C">
        <w:rPr>
          <w:rFonts w:ascii="Arial" w:hAnsi="Arial" w:cs="Arial"/>
          <w:sz w:val="22"/>
          <w:szCs w:val="22"/>
        </w:rPr>
        <w:t xml:space="preserve">Our results fit with age, gender, histological </w:t>
      </w:r>
      <w:r w:rsidR="001508F8">
        <w:rPr>
          <w:rFonts w:ascii="Arial" w:hAnsi="Arial" w:cs="Arial"/>
          <w:sz w:val="22"/>
          <w:szCs w:val="22"/>
        </w:rPr>
        <w:t>sub</w:t>
      </w:r>
      <w:r w:rsidRPr="00145A1C">
        <w:rPr>
          <w:rFonts w:ascii="Arial" w:hAnsi="Arial" w:cs="Arial"/>
          <w:sz w:val="22"/>
          <w:szCs w:val="22"/>
        </w:rPr>
        <w:t xml:space="preserve">type, frequency and clinical behavior of salivary gland tumors reported in European series. Notably, we identified some </w:t>
      </w:r>
      <w:r w:rsidRPr="00CC28B8">
        <w:rPr>
          <w:rFonts w:ascii="Arial" w:hAnsi="Arial" w:cs="Arial"/>
          <w:sz w:val="22"/>
          <w:szCs w:val="22"/>
        </w:rPr>
        <w:t>dissimilarity of our results compared with Portuguese series, which might indicate different inclusion diagnostic criteria, clinical referral and time lag variation among studies.</w:t>
      </w:r>
    </w:p>
    <w:p w:rsidR="00EF74A8" w:rsidRPr="00CC28B8" w:rsidRDefault="00D70CAB" w:rsidP="00F85363">
      <w:pPr>
        <w:pStyle w:val="HTMLPreformatted"/>
        <w:shd w:val="clear" w:color="auto" w:fill="FFFFFF"/>
        <w:spacing w:line="360" w:lineRule="auto"/>
        <w:jc w:val="both"/>
        <w:rPr>
          <w:rFonts w:ascii="Arial" w:hAnsi="Arial" w:cs="Arial"/>
          <w:sz w:val="22"/>
          <w:szCs w:val="22"/>
        </w:rPr>
      </w:pPr>
      <w:r w:rsidRPr="00CC28B8">
        <w:rPr>
          <w:rFonts w:ascii="Arial" w:hAnsi="Arial" w:cs="Arial"/>
          <w:sz w:val="22"/>
          <w:szCs w:val="22"/>
        </w:rPr>
        <w:t xml:space="preserve">It would be important to add our data with data from other referral hospitals in the North of Portugal, in a larger study, to clarify the behavior of different SGT subtypes, namely </w:t>
      </w:r>
      <w:r w:rsidRPr="00CC28B8">
        <w:rPr>
          <w:rFonts w:ascii="Arial" w:hAnsi="Arial" w:cs="Arial"/>
          <w:sz w:val="22"/>
          <w:szCs w:val="22"/>
        </w:rPr>
        <w:lastRenderedPageBreak/>
        <w:t>those with reported characteristic molecular features, in order to improve management of patients harboring these tumors.</w:t>
      </w: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Default="004440CA" w:rsidP="00F85363">
      <w:pPr>
        <w:pStyle w:val="HTMLPreformatted"/>
        <w:shd w:val="clear" w:color="auto" w:fill="FFFFFF"/>
        <w:spacing w:line="360" w:lineRule="auto"/>
        <w:jc w:val="both"/>
        <w:rPr>
          <w:rFonts w:ascii="Arial" w:hAnsi="Arial" w:cs="Arial"/>
          <w:sz w:val="22"/>
          <w:szCs w:val="22"/>
        </w:rPr>
      </w:pPr>
    </w:p>
    <w:p w:rsidR="004440CA" w:rsidRPr="00351300" w:rsidRDefault="004440CA" w:rsidP="00F85363">
      <w:pPr>
        <w:pStyle w:val="HTMLPreformatted"/>
        <w:shd w:val="clear" w:color="auto" w:fill="FFFFFF"/>
        <w:spacing w:line="360" w:lineRule="auto"/>
        <w:jc w:val="both"/>
        <w:rPr>
          <w:rFonts w:ascii="Arial" w:hAnsi="Arial" w:cs="Arial"/>
          <w:sz w:val="22"/>
          <w:szCs w:val="22"/>
        </w:rPr>
      </w:pPr>
    </w:p>
    <w:p w:rsidR="007006B8" w:rsidRPr="00351300" w:rsidRDefault="007006B8" w:rsidP="00F85363">
      <w:pPr>
        <w:pStyle w:val="HTMLPreformatted"/>
        <w:shd w:val="clear" w:color="auto" w:fill="FFFFFF"/>
        <w:spacing w:line="360" w:lineRule="auto"/>
        <w:jc w:val="both"/>
        <w:rPr>
          <w:rFonts w:ascii="Arial" w:hAnsi="Arial" w:cs="Arial"/>
          <w:sz w:val="22"/>
          <w:szCs w:val="22"/>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EF74A8" w:rsidRPr="00FA374F" w:rsidRDefault="00EF74A8" w:rsidP="005C5DB4">
      <w:pPr>
        <w:autoSpaceDE w:val="0"/>
        <w:autoSpaceDN w:val="0"/>
        <w:adjustRightInd w:val="0"/>
        <w:spacing w:after="120" w:line="240" w:lineRule="auto"/>
        <w:rPr>
          <w:rFonts w:ascii="Arial" w:hAnsi="Arial" w:cs="Arial"/>
          <w:b/>
        </w:rPr>
      </w:pPr>
      <w:r>
        <w:rPr>
          <w:rFonts w:ascii="Arial" w:hAnsi="Arial" w:cs="Arial"/>
          <w:b/>
        </w:rPr>
        <w:lastRenderedPageBreak/>
        <w:t>References</w:t>
      </w:r>
    </w:p>
    <w:p w:rsidR="00EF74A8"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1. </w:t>
      </w:r>
      <w:r w:rsidRPr="00FA374F">
        <w:rPr>
          <w:rFonts w:ascii="Arial" w:hAnsi="Arial" w:cs="Arial"/>
          <w:sz w:val="20"/>
          <w:szCs w:val="20"/>
        </w:rPr>
        <w:tab/>
      </w:r>
      <w:proofErr w:type="spellStart"/>
      <w:r w:rsidRPr="00FA374F">
        <w:rPr>
          <w:rFonts w:ascii="Arial" w:hAnsi="Arial" w:cs="Arial"/>
          <w:sz w:val="20"/>
          <w:szCs w:val="20"/>
        </w:rPr>
        <w:t>Lukšić</w:t>
      </w:r>
      <w:proofErr w:type="spellEnd"/>
      <w:r w:rsidRPr="00FA374F">
        <w:rPr>
          <w:rFonts w:ascii="Arial" w:hAnsi="Arial" w:cs="Arial"/>
          <w:sz w:val="20"/>
          <w:szCs w:val="20"/>
        </w:rPr>
        <w:t xml:space="preserve"> I, </w:t>
      </w:r>
      <w:proofErr w:type="spellStart"/>
      <w:r w:rsidRPr="00FA374F">
        <w:rPr>
          <w:rFonts w:ascii="Arial" w:hAnsi="Arial" w:cs="Arial"/>
          <w:sz w:val="20"/>
          <w:szCs w:val="20"/>
        </w:rPr>
        <w:t>Virag</w:t>
      </w:r>
      <w:proofErr w:type="spellEnd"/>
      <w:r w:rsidRPr="00FA374F">
        <w:rPr>
          <w:rFonts w:ascii="Arial" w:hAnsi="Arial" w:cs="Arial"/>
          <w:sz w:val="20"/>
          <w:szCs w:val="20"/>
        </w:rPr>
        <w:t xml:space="preserve"> M, </w:t>
      </w:r>
      <w:proofErr w:type="spellStart"/>
      <w:r w:rsidRPr="00FA374F">
        <w:rPr>
          <w:rFonts w:ascii="Arial" w:hAnsi="Arial" w:cs="Arial"/>
          <w:sz w:val="20"/>
          <w:szCs w:val="20"/>
        </w:rPr>
        <w:t>Manojlović</w:t>
      </w:r>
      <w:proofErr w:type="spellEnd"/>
      <w:r w:rsidRPr="00FA374F">
        <w:rPr>
          <w:rFonts w:ascii="Arial" w:hAnsi="Arial" w:cs="Arial"/>
          <w:sz w:val="20"/>
          <w:szCs w:val="20"/>
        </w:rPr>
        <w:t xml:space="preserve"> S, </w:t>
      </w:r>
      <w:proofErr w:type="spellStart"/>
      <w:r w:rsidRPr="00FA374F">
        <w:rPr>
          <w:rFonts w:ascii="Arial" w:hAnsi="Arial" w:cs="Arial"/>
          <w:sz w:val="20"/>
          <w:szCs w:val="20"/>
        </w:rPr>
        <w:t>Macan</w:t>
      </w:r>
      <w:proofErr w:type="spellEnd"/>
      <w:r w:rsidRPr="00FA374F">
        <w:rPr>
          <w:rFonts w:ascii="Arial" w:hAnsi="Arial" w:cs="Arial"/>
          <w:sz w:val="20"/>
          <w:szCs w:val="20"/>
        </w:rPr>
        <w:t xml:space="preserve"> D. Salivary gland tumours: 25 years of experience from a single institution in Croatia. J </w:t>
      </w:r>
      <w:proofErr w:type="spellStart"/>
      <w:r w:rsidRPr="00FA374F">
        <w:rPr>
          <w:rFonts w:ascii="Arial" w:hAnsi="Arial" w:cs="Arial"/>
          <w:sz w:val="20"/>
          <w:szCs w:val="20"/>
        </w:rPr>
        <w:t>Craniomaxillofac</w:t>
      </w:r>
      <w:proofErr w:type="spellEnd"/>
      <w:r w:rsidRPr="00FA374F">
        <w:rPr>
          <w:rFonts w:ascii="Arial" w:hAnsi="Arial" w:cs="Arial"/>
          <w:sz w:val="20"/>
          <w:szCs w:val="20"/>
        </w:rPr>
        <w:t xml:space="preserve"> </w:t>
      </w:r>
      <w:proofErr w:type="spellStart"/>
      <w:r w:rsidRPr="00FA374F">
        <w:rPr>
          <w:rFonts w:ascii="Arial" w:hAnsi="Arial" w:cs="Arial"/>
          <w:sz w:val="20"/>
          <w:szCs w:val="20"/>
        </w:rPr>
        <w:t>Surg</w:t>
      </w:r>
      <w:proofErr w:type="spellEnd"/>
      <w:r w:rsidRPr="00FA374F">
        <w:rPr>
          <w:rFonts w:ascii="Arial" w:hAnsi="Arial" w:cs="Arial"/>
          <w:sz w:val="20"/>
          <w:szCs w:val="20"/>
        </w:rPr>
        <w:t xml:space="preserve"> [Internet]. 2012;40(3):e75-81. </w:t>
      </w:r>
    </w:p>
    <w:p w:rsidR="00EF74A8" w:rsidRPr="00EF74A8" w:rsidRDefault="00EF74A8" w:rsidP="00BF1E4D">
      <w:pPr>
        <w:widowControl w:val="0"/>
        <w:autoSpaceDE w:val="0"/>
        <w:autoSpaceDN w:val="0"/>
        <w:adjustRightInd w:val="0"/>
        <w:spacing w:after="120" w:line="240" w:lineRule="auto"/>
        <w:ind w:left="640" w:hanging="640"/>
        <w:rPr>
          <w:rFonts w:ascii="Arial" w:hAnsi="Arial" w:cs="Arial"/>
          <w:sz w:val="20"/>
          <w:szCs w:val="20"/>
          <w:lang w:val="pt-PT"/>
        </w:rPr>
      </w:pPr>
      <w:r>
        <w:rPr>
          <w:rFonts w:ascii="Arial" w:hAnsi="Arial" w:cs="Arial"/>
          <w:sz w:val="20"/>
          <w:szCs w:val="20"/>
        </w:rPr>
        <w:t>2.</w:t>
      </w:r>
      <w:r>
        <w:rPr>
          <w:rFonts w:ascii="Arial" w:hAnsi="Arial" w:cs="Arial"/>
          <w:sz w:val="20"/>
          <w:szCs w:val="20"/>
        </w:rPr>
        <w:tab/>
      </w:r>
      <w:proofErr w:type="spellStart"/>
      <w:r w:rsidR="008B2993">
        <w:rPr>
          <w:rFonts w:ascii="Arial" w:hAnsi="Arial" w:cs="Arial"/>
          <w:sz w:val="20"/>
          <w:szCs w:val="20"/>
        </w:rPr>
        <w:t>Eveson</w:t>
      </w:r>
      <w:proofErr w:type="spellEnd"/>
      <w:r w:rsidR="008B2993">
        <w:rPr>
          <w:rFonts w:ascii="Arial" w:hAnsi="Arial" w:cs="Arial"/>
          <w:sz w:val="20"/>
          <w:szCs w:val="20"/>
        </w:rPr>
        <w:t xml:space="preserve"> JW, </w:t>
      </w:r>
      <w:proofErr w:type="spellStart"/>
      <w:r w:rsidR="008B2993">
        <w:rPr>
          <w:rFonts w:ascii="Arial" w:hAnsi="Arial" w:cs="Arial"/>
          <w:sz w:val="20"/>
          <w:szCs w:val="20"/>
        </w:rPr>
        <w:t>Cawson</w:t>
      </w:r>
      <w:proofErr w:type="spellEnd"/>
      <w:r w:rsidR="008B2993">
        <w:rPr>
          <w:rFonts w:ascii="Arial" w:hAnsi="Arial" w:cs="Arial"/>
          <w:sz w:val="20"/>
          <w:szCs w:val="20"/>
        </w:rPr>
        <w:t xml:space="preserve"> R</w:t>
      </w:r>
      <w:r w:rsidRPr="00FA374F">
        <w:rPr>
          <w:rFonts w:ascii="Arial" w:hAnsi="Arial" w:cs="Arial"/>
          <w:sz w:val="20"/>
          <w:szCs w:val="20"/>
        </w:rPr>
        <w:t xml:space="preserve">. Salivary gland tumours. A review of 2410 cases with particular reference to histological types, site, age and sex distribution. </w:t>
      </w:r>
      <w:r w:rsidRPr="008B2993">
        <w:rPr>
          <w:rFonts w:ascii="Arial" w:hAnsi="Arial" w:cs="Arial"/>
          <w:sz w:val="20"/>
          <w:szCs w:val="20"/>
          <w:lang w:val="pt-PT"/>
        </w:rPr>
        <w:t>J Pa</w:t>
      </w:r>
      <w:r w:rsidRPr="00EF74A8">
        <w:rPr>
          <w:rFonts w:ascii="Arial" w:hAnsi="Arial" w:cs="Arial"/>
          <w:sz w:val="20"/>
          <w:szCs w:val="20"/>
          <w:lang w:val="pt-PT"/>
        </w:rPr>
        <w:t>thol [Internet]. 1985;146(1):51–8.</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Pr>
          <w:rFonts w:ascii="Arial" w:hAnsi="Arial" w:cs="Arial"/>
          <w:sz w:val="20"/>
          <w:szCs w:val="20"/>
          <w:lang w:val="pt-PT"/>
        </w:rPr>
        <w:t>3</w:t>
      </w:r>
      <w:r w:rsidRPr="00967D6E">
        <w:rPr>
          <w:rFonts w:ascii="Arial" w:hAnsi="Arial" w:cs="Arial"/>
          <w:sz w:val="20"/>
          <w:szCs w:val="20"/>
          <w:lang w:val="pt-PT"/>
        </w:rPr>
        <w:t xml:space="preserve">. </w:t>
      </w:r>
      <w:r w:rsidRPr="00967D6E">
        <w:rPr>
          <w:rFonts w:ascii="Arial" w:hAnsi="Arial" w:cs="Arial"/>
          <w:sz w:val="20"/>
          <w:szCs w:val="20"/>
          <w:lang w:val="pt-PT"/>
        </w:rPr>
        <w:tab/>
      </w:r>
      <w:r w:rsidRPr="00FA374F">
        <w:rPr>
          <w:rFonts w:ascii="Arial" w:hAnsi="Arial" w:cs="Arial"/>
          <w:sz w:val="20"/>
          <w:szCs w:val="20"/>
          <w:lang w:val="pt-PT"/>
        </w:rPr>
        <w:t xml:space="preserve">Ito FA, Ito K, Vargas PA, de Almeida OP, Lopes MA. </w:t>
      </w:r>
      <w:r w:rsidRPr="00FA374F">
        <w:rPr>
          <w:rFonts w:ascii="Arial" w:hAnsi="Arial" w:cs="Arial"/>
          <w:sz w:val="20"/>
          <w:szCs w:val="20"/>
        </w:rPr>
        <w:t xml:space="preserve">Salivary gland tumors in a Brazilian population: A retrospective study of 496 cases. </w:t>
      </w:r>
      <w:proofErr w:type="spellStart"/>
      <w:r w:rsidRPr="00FA374F">
        <w:rPr>
          <w:rFonts w:ascii="Arial" w:hAnsi="Arial" w:cs="Arial"/>
          <w:sz w:val="20"/>
          <w:szCs w:val="20"/>
        </w:rPr>
        <w:t>Int</w:t>
      </w:r>
      <w:proofErr w:type="spellEnd"/>
      <w:r w:rsidRPr="00FA374F">
        <w:rPr>
          <w:rFonts w:ascii="Arial" w:hAnsi="Arial" w:cs="Arial"/>
          <w:sz w:val="20"/>
          <w:szCs w:val="20"/>
        </w:rPr>
        <w:t xml:space="preserve"> J Oral </w:t>
      </w:r>
      <w:proofErr w:type="spellStart"/>
      <w:r w:rsidRPr="00FA374F">
        <w:rPr>
          <w:rFonts w:ascii="Arial" w:hAnsi="Arial" w:cs="Arial"/>
          <w:sz w:val="20"/>
          <w:szCs w:val="20"/>
        </w:rPr>
        <w:t>Maxillofac</w:t>
      </w:r>
      <w:proofErr w:type="spellEnd"/>
      <w:r w:rsidRPr="00FA374F">
        <w:rPr>
          <w:rFonts w:ascii="Arial" w:hAnsi="Arial" w:cs="Arial"/>
          <w:sz w:val="20"/>
          <w:szCs w:val="20"/>
        </w:rPr>
        <w:t xml:space="preserve"> Surg. 2005;34(5):533–6. </w:t>
      </w:r>
    </w:p>
    <w:p w:rsidR="00EF74A8" w:rsidRDefault="00EF74A8" w:rsidP="00BF1E4D">
      <w:pPr>
        <w:widowControl w:val="0"/>
        <w:autoSpaceDE w:val="0"/>
        <w:autoSpaceDN w:val="0"/>
        <w:adjustRightInd w:val="0"/>
        <w:spacing w:after="120" w:line="240" w:lineRule="auto"/>
        <w:ind w:left="640" w:hanging="640"/>
        <w:rPr>
          <w:rFonts w:ascii="Arial" w:hAnsi="Arial" w:cs="Arial"/>
          <w:sz w:val="20"/>
          <w:szCs w:val="20"/>
        </w:rPr>
      </w:pPr>
      <w:r>
        <w:rPr>
          <w:rFonts w:ascii="Arial" w:hAnsi="Arial" w:cs="Arial"/>
          <w:sz w:val="20"/>
          <w:szCs w:val="20"/>
        </w:rPr>
        <w:t>4</w:t>
      </w:r>
      <w:r w:rsidRPr="00FA374F">
        <w:rPr>
          <w:rFonts w:ascii="Arial" w:hAnsi="Arial" w:cs="Arial"/>
          <w:sz w:val="20"/>
          <w:szCs w:val="20"/>
        </w:rPr>
        <w:t xml:space="preserve">. </w:t>
      </w:r>
      <w:r w:rsidRPr="00FA374F">
        <w:rPr>
          <w:rFonts w:ascii="Arial" w:hAnsi="Arial" w:cs="Arial"/>
          <w:sz w:val="20"/>
          <w:szCs w:val="20"/>
        </w:rPr>
        <w:tab/>
      </w:r>
      <w:proofErr w:type="spellStart"/>
      <w:r w:rsidRPr="00FA374F">
        <w:rPr>
          <w:rFonts w:ascii="Arial" w:hAnsi="Arial" w:cs="Arial"/>
          <w:sz w:val="20"/>
          <w:szCs w:val="20"/>
        </w:rPr>
        <w:t>Tian</w:t>
      </w:r>
      <w:proofErr w:type="spellEnd"/>
      <w:r w:rsidRPr="00FA374F">
        <w:rPr>
          <w:rFonts w:ascii="Arial" w:hAnsi="Arial" w:cs="Arial"/>
          <w:sz w:val="20"/>
          <w:szCs w:val="20"/>
        </w:rPr>
        <w:t xml:space="preserve"> Z, Li L, Wang L, </w:t>
      </w:r>
      <w:proofErr w:type="spellStart"/>
      <w:r w:rsidRPr="00FA374F">
        <w:rPr>
          <w:rFonts w:ascii="Arial" w:hAnsi="Arial" w:cs="Arial"/>
          <w:sz w:val="20"/>
          <w:szCs w:val="20"/>
        </w:rPr>
        <w:t>Hu</w:t>
      </w:r>
      <w:proofErr w:type="spellEnd"/>
      <w:r w:rsidRPr="00FA374F">
        <w:rPr>
          <w:rFonts w:ascii="Arial" w:hAnsi="Arial" w:cs="Arial"/>
          <w:sz w:val="20"/>
          <w:szCs w:val="20"/>
        </w:rPr>
        <w:t xml:space="preserve"> Y, Li J. Salivary gland </w:t>
      </w:r>
      <w:proofErr w:type="spellStart"/>
      <w:r w:rsidRPr="00FA374F">
        <w:rPr>
          <w:rFonts w:ascii="Arial" w:hAnsi="Arial" w:cs="Arial"/>
          <w:sz w:val="20"/>
          <w:szCs w:val="20"/>
        </w:rPr>
        <w:t>neoplasms</w:t>
      </w:r>
      <w:proofErr w:type="spellEnd"/>
      <w:r w:rsidRPr="00FA374F">
        <w:rPr>
          <w:rFonts w:ascii="Arial" w:hAnsi="Arial" w:cs="Arial"/>
          <w:sz w:val="20"/>
          <w:szCs w:val="20"/>
        </w:rPr>
        <w:t xml:space="preserve"> in oral and maxillofacial regions: a 23-year retrospective study of 6982 cases in an eastern Chinese population. </w:t>
      </w:r>
      <w:proofErr w:type="spellStart"/>
      <w:r w:rsidRPr="00FA374F">
        <w:rPr>
          <w:rFonts w:ascii="Arial" w:hAnsi="Arial" w:cs="Arial"/>
          <w:sz w:val="20"/>
          <w:szCs w:val="20"/>
        </w:rPr>
        <w:t>Int</w:t>
      </w:r>
      <w:proofErr w:type="spellEnd"/>
      <w:r w:rsidRPr="00FA374F">
        <w:rPr>
          <w:rFonts w:ascii="Arial" w:hAnsi="Arial" w:cs="Arial"/>
          <w:sz w:val="20"/>
          <w:szCs w:val="20"/>
        </w:rPr>
        <w:t xml:space="preserve"> J Oral </w:t>
      </w:r>
      <w:proofErr w:type="spellStart"/>
      <w:r w:rsidRPr="00FA374F">
        <w:rPr>
          <w:rFonts w:ascii="Arial" w:hAnsi="Arial" w:cs="Arial"/>
          <w:sz w:val="20"/>
          <w:szCs w:val="20"/>
        </w:rPr>
        <w:t>Maxillofac</w:t>
      </w:r>
      <w:proofErr w:type="spellEnd"/>
      <w:r w:rsidRPr="00FA374F">
        <w:rPr>
          <w:rFonts w:ascii="Arial" w:hAnsi="Arial" w:cs="Arial"/>
          <w:sz w:val="20"/>
          <w:szCs w:val="20"/>
        </w:rPr>
        <w:t xml:space="preserve"> Surg. 2010;39(3):235–42. </w:t>
      </w:r>
      <w:r w:rsidRPr="00FA374F">
        <w:rPr>
          <w:rFonts w:ascii="Arial" w:hAnsi="Arial" w:cs="Arial"/>
          <w:sz w:val="20"/>
          <w:szCs w:val="20"/>
        </w:rPr>
        <w:tab/>
        <w:t xml:space="preserve">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5. </w:t>
      </w:r>
      <w:r w:rsidRPr="00FA374F">
        <w:rPr>
          <w:rFonts w:ascii="Arial" w:hAnsi="Arial" w:cs="Arial"/>
          <w:sz w:val="20"/>
          <w:szCs w:val="20"/>
        </w:rPr>
        <w:tab/>
      </w:r>
      <w:proofErr w:type="spellStart"/>
      <w:r w:rsidRPr="00FA374F">
        <w:rPr>
          <w:rFonts w:ascii="Arial" w:hAnsi="Arial" w:cs="Arial"/>
          <w:sz w:val="20"/>
          <w:szCs w:val="20"/>
        </w:rPr>
        <w:t>Subhashraj</w:t>
      </w:r>
      <w:proofErr w:type="spellEnd"/>
      <w:r w:rsidRPr="00FA374F">
        <w:rPr>
          <w:rFonts w:ascii="Arial" w:hAnsi="Arial" w:cs="Arial"/>
          <w:sz w:val="20"/>
          <w:szCs w:val="20"/>
        </w:rPr>
        <w:t xml:space="preserve"> K. Salivary gland tumors: a single institution experience in India. Br J Oral </w:t>
      </w:r>
      <w:proofErr w:type="spellStart"/>
      <w:r w:rsidRPr="00FA374F">
        <w:rPr>
          <w:rFonts w:ascii="Arial" w:hAnsi="Arial" w:cs="Arial"/>
          <w:sz w:val="20"/>
          <w:szCs w:val="20"/>
        </w:rPr>
        <w:t>Maxillofac</w:t>
      </w:r>
      <w:proofErr w:type="spellEnd"/>
      <w:r w:rsidRPr="00FA374F">
        <w:rPr>
          <w:rFonts w:ascii="Arial" w:hAnsi="Arial" w:cs="Arial"/>
          <w:sz w:val="20"/>
          <w:szCs w:val="20"/>
        </w:rPr>
        <w:t xml:space="preserve"> </w:t>
      </w:r>
      <w:proofErr w:type="spellStart"/>
      <w:r w:rsidRPr="00FA374F">
        <w:rPr>
          <w:rFonts w:ascii="Arial" w:hAnsi="Arial" w:cs="Arial"/>
          <w:sz w:val="20"/>
          <w:szCs w:val="20"/>
        </w:rPr>
        <w:t>Surg</w:t>
      </w:r>
      <w:proofErr w:type="spellEnd"/>
      <w:r w:rsidRPr="00FA374F">
        <w:rPr>
          <w:rFonts w:ascii="Arial" w:hAnsi="Arial" w:cs="Arial"/>
          <w:sz w:val="20"/>
          <w:szCs w:val="20"/>
        </w:rPr>
        <w:t xml:space="preserve"> [Internet]. 2008;46(8):635–8. </w:t>
      </w:r>
    </w:p>
    <w:p w:rsidR="00EF74A8" w:rsidRPr="00FA374F" w:rsidRDefault="00C35BEB"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6. </w:t>
      </w:r>
      <w:r w:rsidRPr="00FA374F">
        <w:rPr>
          <w:rFonts w:ascii="Arial" w:hAnsi="Arial" w:cs="Arial"/>
          <w:sz w:val="20"/>
          <w:szCs w:val="20"/>
        </w:rPr>
        <w:tab/>
      </w:r>
      <w:proofErr w:type="spellStart"/>
      <w:r w:rsidRPr="00FA374F">
        <w:rPr>
          <w:rFonts w:ascii="Arial" w:hAnsi="Arial" w:cs="Arial"/>
          <w:sz w:val="20"/>
          <w:szCs w:val="20"/>
        </w:rPr>
        <w:t>Adebiyi</w:t>
      </w:r>
      <w:proofErr w:type="spellEnd"/>
      <w:r w:rsidRPr="00FA374F">
        <w:rPr>
          <w:rFonts w:ascii="Arial" w:hAnsi="Arial" w:cs="Arial"/>
          <w:sz w:val="20"/>
          <w:szCs w:val="20"/>
        </w:rPr>
        <w:t xml:space="preserve"> KE, Emmanuel MM. </w:t>
      </w:r>
      <w:proofErr w:type="spellStart"/>
      <w:r w:rsidRPr="00FA374F">
        <w:rPr>
          <w:rFonts w:ascii="Arial" w:hAnsi="Arial" w:cs="Arial"/>
          <w:sz w:val="20"/>
          <w:szCs w:val="20"/>
        </w:rPr>
        <w:t>Neoplastic</w:t>
      </w:r>
      <w:proofErr w:type="spellEnd"/>
      <w:r w:rsidRPr="00FA374F">
        <w:rPr>
          <w:rFonts w:ascii="Arial" w:hAnsi="Arial" w:cs="Arial"/>
          <w:sz w:val="20"/>
          <w:szCs w:val="20"/>
        </w:rPr>
        <w:t xml:space="preserve"> Salivary Gland Lesions:</w:t>
      </w:r>
      <w:r>
        <w:rPr>
          <w:rFonts w:ascii="Arial" w:hAnsi="Arial" w:cs="Arial"/>
          <w:sz w:val="20"/>
          <w:szCs w:val="20"/>
        </w:rPr>
        <w:t xml:space="preserve"> </w:t>
      </w:r>
      <w:r w:rsidRPr="00FA374F">
        <w:rPr>
          <w:rFonts w:ascii="Arial" w:hAnsi="Arial" w:cs="Arial"/>
          <w:sz w:val="20"/>
          <w:szCs w:val="20"/>
        </w:rPr>
        <w:t xml:space="preserve">A Retrospective Analysis of 135 Cases from Lagos State University Teaching Hospital, </w:t>
      </w:r>
      <w:proofErr w:type="spellStart"/>
      <w:r w:rsidRPr="00FA374F">
        <w:rPr>
          <w:rFonts w:ascii="Arial" w:hAnsi="Arial" w:cs="Arial"/>
          <w:sz w:val="20"/>
          <w:szCs w:val="20"/>
        </w:rPr>
        <w:t>Ikeja</w:t>
      </w:r>
      <w:proofErr w:type="spellEnd"/>
      <w:r w:rsidRPr="00FA374F">
        <w:rPr>
          <w:rFonts w:ascii="Arial" w:hAnsi="Arial" w:cs="Arial"/>
          <w:sz w:val="20"/>
          <w:szCs w:val="20"/>
        </w:rPr>
        <w:t xml:space="preserve">, Lagos, Nigeria. </w:t>
      </w:r>
      <w:r w:rsidR="00EF74A8" w:rsidRPr="00FA374F">
        <w:rPr>
          <w:rFonts w:ascii="Arial" w:hAnsi="Arial" w:cs="Arial"/>
          <w:sz w:val="20"/>
          <w:szCs w:val="20"/>
        </w:rPr>
        <w:t xml:space="preserve">West </w:t>
      </w:r>
      <w:proofErr w:type="spellStart"/>
      <w:r w:rsidR="00EF74A8" w:rsidRPr="00FA374F">
        <w:rPr>
          <w:rFonts w:ascii="Arial" w:hAnsi="Arial" w:cs="Arial"/>
          <w:sz w:val="20"/>
          <w:szCs w:val="20"/>
        </w:rPr>
        <w:t>Afr</w:t>
      </w:r>
      <w:proofErr w:type="spellEnd"/>
      <w:r w:rsidR="00EF74A8" w:rsidRPr="00FA374F">
        <w:rPr>
          <w:rFonts w:ascii="Arial" w:hAnsi="Arial" w:cs="Arial"/>
          <w:sz w:val="20"/>
          <w:szCs w:val="20"/>
        </w:rPr>
        <w:t xml:space="preserve"> J Med. 2014;33(3):206–10. </w:t>
      </w:r>
    </w:p>
    <w:p w:rsidR="00EF74A8"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7. </w:t>
      </w:r>
      <w:r w:rsidRPr="00FA374F">
        <w:rPr>
          <w:rFonts w:ascii="Arial" w:hAnsi="Arial" w:cs="Arial"/>
          <w:sz w:val="20"/>
          <w:szCs w:val="20"/>
        </w:rPr>
        <w:tab/>
        <w:t xml:space="preserve">Bradley PJ, </w:t>
      </w:r>
      <w:proofErr w:type="spellStart"/>
      <w:r w:rsidRPr="00FA374F">
        <w:rPr>
          <w:rFonts w:ascii="Arial" w:hAnsi="Arial" w:cs="Arial"/>
          <w:sz w:val="20"/>
          <w:szCs w:val="20"/>
        </w:rPr>
        <w:t>McGurk</w:t>
      </w:r>
      <w:proofErr w:type="spellEnd"/>
      <w:r w:rsidRPr="00FA374F">
        <w:rPr>
          <w:rFonts w:ascii="Arial" w:hAnsi="Arial" w:cs="Arial"/>
          <w:sz w:val="20"/>
          <w:szCs w:val="20"/>
        </w:rPr>
        <w:t xml:space="preserve"> M. Incidence of salivary gland </w:t>
      </w:r>
      <w:proofErr w:type="spellStart"/>
      <w:r w:rsidRPr="00FA374F">
        <w:rPr>
          <w:rFonts w:ascii="Arial" w:hAnsi="Arial" w:cs="Arial"/>
          <w:sz w:val="20"/>
          <w:szCs w:val="20"/>
        </w:rPr>
        <w:t>neoplasms</w:t>
      </w:r>
      <w:proofErr w:type="spellEnd"/>
      <w:r w:rsidRPr="00FA374F">
        <w:rPr>
          <w:rFonts w:ascii="Arial" w:hAnsi="Arial" w:cs="Arial"/>
          <w:sz w:val="20"/>
          <w:szCs w:val="20"/>
        </w:rPr>
        <w:t xml:space="preserve"> in a defined UK population. Br J Oral </w:t>
      </w:r>
      <w:proofErr w:type="spellStart"/>
      <w:r w:rsidRPr="00FA374F">
        <w:rPr>
          <w:rFonts w:ascii="Arial" w:hAnsi="Arial" w:cs="Arial"/>
          <w:sz w:val="20"/>
          <w:szCs w:val="20"/>
        </w:rPr>
        <w:t>Maxillofac</w:t>
      </w:r>
      <w:proofErr w:type="spellEnd"/>
      <w:r w:rsidRPr="00FA374F">
        <w:rPr>
          <w:rFonts w:ascii="Arial" w:hAnsi="Arial" w:cs="Arial"/>
          <w:sz w:val="20"/>
          <w:szCs w:val="20"/>
        </w:rPr>
        <w:t xml:space="preserve"> </w:t>
      </w:r>
      <w:proofErr w:type="spellStart"/>
      <w:r w:rsidRPr="00FA374F">
        <w:rPr>
          <w:rFonts w:ascii="Arial" w:hAnsi="Arial" w:cs="Arial"/>
          <w:sz w:val="20"/>
          <w:szCs w:val="20"/>
        </w:rPr>
        <w:t>Surg</w:t>
      </w:r>
      <w:proofErr w:type="spellEnd"/>
      <w:r w:rsidRPr="00FA374F">
        <w:rPr>
          <w:rFonts w:ascii="Arial" w:hAnsi="Arial" w:cs="Arial"/>
          <w:sz w:val="20"/>
          <w:szCs w:val="20"/>
        </w:rPr>
        <w:t xml:space="preserve"> [Internet]. 2013;51(5):399–403. </w:t>
      </w:r>
    </w:p>
    <w:p w:rsidR="00EF74A8" w:rsidRPr="00EF74A8"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8. </w:t>
      </w:r>
      <w:r w:rsidRPr="00FA374F">
        <w:rPr>
          <w:rFonts w:ascii="Arial" w:hAnsi="Arial" w:cs="Arial"/>
          <w:sz w:val="20"/>
          <w:szCs w:val="20"/>
        </w:rPr>
        <w:tab/>
      </w:r>
      <w:r w:rsidRPr="009D13E3">
        <w:rPr>
          <w:rFonts w:ascii="Arial" w:hAnsi="Arial" w:cs="Arial"/>
          <w:sz w:val="20"/>
          <w:szCs w:val="20"/>
        </w:rPr>
        <w:t xml:space="preserve">Tavares C, </w:t>
      </w:r>
      <w:proofErr w:type="spellStart"/>
      <w:r w:rsidRPr="009D13E3">
        <w:rPr>
          <w:rFonts w:ascii="Arial" w:hAnsi="Arial" w:cs="Arial"/>
          <w:sz w:val="20"/>
          <w:szCs w:val="20"/>
        </w:rPr>
        <w:t>Guimarães</w:t>
      </w:r>
      <w:proofErr w:type="spellEnd"/>
      <w:r w:rsidRPr="009D13E3">
        <w:rPr>
          <w:rFonts w:ascii="Arial" w:hAnsi="Arial" w:cs="Arial"/>
          <w:sz w:val="20"/>
          <w:szCs w:val="20"/>
        </w:rPr>
        <w:t xml:space="preserve"> J, Lopes O, </w:t>
      </w:r>
      <w:proofErr w:type="spellStart"/>
      <w:r w:rsidRPr="009D13E3">
        <w:rPr>
          <w:rFonts w:ascii="Arial" w:hAnsi="Arial" w:cs="Arial"/>
          <w:sz w:val="20"/>
          <w:szCs w:val="20"/>
        </w:rPr>
        <w:t>Felino</w:t>
      </w:r>
      <w:proofErr w:type="spellEnd"/>
      <w:r w:rsidRPr="009D13E3">
        <w:rPr>
          <w:rFonts w:ascii="Arial" w:hAnsi="Arial" w:cs="Arial"/>
          <w:sz w:val="20"/>
          <w:szCs w:val="20"/>
        </w:rPr>
        <w:t xml:space="preserve"> A, Coimbra F. Epidemiological profile of malignant oral cancers in a population of northern Portugal. </w:t>
      </w:r>
      <w:r w:rsidRPr="009D13E3">
        <w:rPr>
          <w:rFonts w:ascii="Caecilia-RomanSC" w:hAnsi="Caecilia-RomanSC" w:cs="Caecilia-RomanSC"/>
          <w:color w:val="0081AD"/>
          <w:sz w:val="14"/>
          <w:szCs w:val="14"/>
        </w:rPr>
        <w:t xml:space="preserve"> </w:t>
      </w:r>
      <w:r w:rsidRPr="00EF74A8">
        <w:rPr>
          <w:rFonts w:ascii="Arial" w:hAnsi="Arial" w:cs="Arial"/>
          <w:sz w:val="20"/>
          <w:szCs w:val="20"/>
        </w:rPr>
        <w:t xml:space="preserve">Rev Port </w:t>
      </w:r>
      <w:proofErr w:type="spellStart"/>
      <w:r w:rsidRPr="00EF74A8">
        <w:rPr>
          <w:rFonts w:ascii="Arial" w:hAnsi="Arial" w:cs="Arial"/>
          <w:sz w:val="20"/>
          <w:szCs w:val="20"/>
        </w:rPr>
        <w:t>Estomatol</w:t>
      </w:r>
      <w:proofErr w:type="spellEnd"/>
      <w:r w:rsidRPr="00EF74A8">
        <w:rPr>
          <w:rFonts w:ascii="Arial" w:hAnsi="Arial" w:cs="Arial"/>
          <w:sz w:val="20"/>
          <w:szCs w:val="20"/>
        </w:rPr>
        <w:t xml:space="preserve"> Med Dent Cir</w:t>
      </w:r>
      <w:r w:rsidR="00714BEC">
        <w:rPr>
          <w:rFonts w:ascii="Arial" w:hAnsi="Arial" w:cs="Arial"/>
          <w:sz w:val="20"/>
          <w:szCs w:val="20"/>
        </w:rPr>
        <w:t xml:space="preserve"> </w:t>
      </w:r>
      <w:proofErr w:type="spellStart"/>
      <w:r w:rsidR="00714BEC">
        <w:rPr>
          <w:rFonts w:ascii="Arial" w:hAnsi="Arial" w:cs="Arial"/>
          <w:sz w:val="20"/>
          <w:szCs w:val="20"/>
        </w:rPr>
        <w:t>M</w:t>
      </w:r>
      <w:r w:rsidRPr="00EF74A8">
        <w:rPr>
          <w:rFonts w:ascii="Arial" w:hAnsi="Arial" w:cs="Arial"/>
          <w:sz w:val="20"/>
          <w:szCs w:val="20"/>
        </w:rPr>
        <w:t>axilofac</w:t>
      </w:r>
      <w:proofErr w:type="spellEnd"/>
      <w:r w:rsidRPr="00EF74A8">
        <w:rPr>
          <w:rFonts w:ascii="Arial" w:hAnsi="Arial" w:cs="Arial"/>
          <w:sz w:val="20"/>
          <w:szCs w:val="20"/>
        </w:rPr>
        <w:t xml:space="preserve"> . 2016; </w:t>
      </w:r>
      <w:r w:rsidR="00714BEC">
        <w:rPr>
          <w:rFonts w:ascii="Arial" w:hAnsi="Arial" w:cs="Arial"/>
          <w:bCs/>
          <w:sz w:val="20"/>
          <w:szCs w:val="20"/>
        </w:rPr>
        <w:t>5</w:t>
      </w:r>
      <w:r w:rsidRPr="00EF74A8">
        <w:rPr>
          <w:rFonts w:ascii="Arial" w:hAnsi="Arial" w:cs="Arial"/>
          <w:bCs/>
          <w:sz w:val="20"/>
          <w:szCs w:val="20"/>
        </w:rPr>
        <w:t>7(4)</w:t>
      </w:r>
      <w:r w:rsidRPr="00EF74A8">
        <w:rPr>
          <w:rFonts w:ascii="Arial" w:hAnsi="Arial" w:cs="Arial"/>
          <w:sz w:val="20"/>
          <w:szCs w:val="20"/>
        </w:rPr>
        <w:t>:229–235</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lang w:val="pt-PT"/>
        </w:rPr>
      </w:pPr>
      <w:r w:rsidRPr="00EF74A8">
        <w:rPr>
          <w:rFonts w:ascii="Arial" w:hAnsi="Arial" w:cs="Arial"/>
          <w:sz w:val="20"/>
          <w:szCs w:val="20"/>
        </w:rPr>
        <w:t xml:space="preserve">9. </w:t>
      </w:r>
      <w:r w:rsidRPr="00EF74A8">
        <w:rPr>
          <w:rFonts w:ascii="Arial" w:hAnsi="Arial" w:cs="Arial"/>
          <w:sz w:val="20"/>
          <w:szCs w:val="20"/>
        </w:rPr>
        <w:tab/>
      </w:r>
      <w:r w:rsidR="00714BEC">
        <w:rPr>
          <w:rFonts w:ascii="Arial" w:hAnsi="Arial" w:cs="Arial"/>
          <w:sz w:val="20"/>
          <w:szCs w:val="20"/>
        </w:rPr>
        <w:t xml:space="preserve">Fonseca I, Martins </w:t>
      </w:r>
      <w:r w:rsidRPr="00FA374F">
        <w:rPr>
          <w:rFonts w:ascii="Arial" w:hAnsi="Arial" w:cs="Arial"/>
          <w:sz w:val="20"/>
          <w:szCs w:val="20"/>
        </w:rPr>
        <w:t xml:space="preserve">G, </w:t>
      </w:r>
      <w:proofErr w:type="spellStart"/>
      <w:r w:rsidRPr="00FA374F">
        <w:rPr>
          <w:rFonts w:ascii="Arial" w:hAnsi="Arial" w:cs="Arial"/>
          <w:sz w:val="20"/>
          <w:szCs w:val="20"/>
        </w:rPr>
        <w:t>Soares</w:t>
      </w:r>
      <w:proofErr w:type="spellEnd"/>
      <w:r w:rsidRPr="00FA374F">
        <w:rPr>
          <w:rFonts w:ascii="Arial" w:hAnsi="Arial" w:cs="Arial"/>
          <w:sz w:val="20"/>
          <w:szCs w:val="20"/>
        </w:rPr>
        <w:t xml:space="preserve"> J. Epithelial salivary gland tumors of children and adolescents in southern Portugal. A </w:t>
      </w:r>
      <w:proofErr w:type="spellStart"/>
      <w:r w:rsidRPr="00FA374F">
        <w:rPr>
          <w:rFonts w:ascii="Arial" w:hAnsi="Arial" w:cs="Arial"/>
          <w:sz w:val="20"/>
          <w:szCs w:val="20"/>
        </w:rPr>
        <w:t>clinicopathologic</w:t>
      </w:r>
      <w:proofErr w:type="spellEnd"/>
      <w:r w:rsidRPr="00FA374F">
        <w:rPr>
          <w:rFonts w:ascii="Arial" w:hAnsi="Arial" w:cs="Arial"/>
          <w:sz w:val="20"/>
          <w:szCs w:val="20"/>
        </w:rPr>
        <w:t xml:space="preserve"> study of twenty-four cases. Oral </w:t>
      </w:r>
      <w:proofErr w:type="spellStart"/>
      <w:r w:rsidRPr="00FA374F">
        <w:rPr>
          <w:rFonts w:ascii="Arial" w:hAnsi="Arial" w:cs="Arial"/>
          <w:sz w:val="20"/>
          <w:szCs w:val="20"/>
        </w:rPr>
        <w:t>Surg</w:t>
      </w:r>
      <w:proofErr w:type="spellEnd"/>
      <w:r w:rsidRPr="00FA374F">
        <w:rPr>
          <w:rFonts w:ascii="Arial" w:hAnsi="Arial" w:cs="Arial"/>
          <w:sz w:val="20"/>
          <w:szCs w:val="20"/>
        </w:rPr>
        <w:t xml:space="preserve"> Oral Med Oral </w:t>
      </w:r>
      <w:proofErr w:type="spellStart"/>
      <w:r w:rsidRPr="00FA374F">
        <w:rPr>
          <w:rFonts w:ascii="Arial" w:hAnsi="Arial" w:cs="Arial"/>
          <w:sz w:val="20"/>
          <w:szCs w:val="20"/>
        </w:rPr>
        <w:t>Pathol</w:t>
      </w:r>
      <w:proofErr w:type="spellEnd"/>
      <w:r w:rsidRPr="00FA374F">
        <w:rPr>
          <w:rFonts w:ascii="Arial" w:hAnsi="Arial" w:cs="Arial"/>
          <w:sz w:val="20"/>
          <w:szCs w:val="20"/>
        </w:rPr>
        <w:t xml:space="preserve">. </w:t>
      </w:r>
      <w:r w:rsidRPr="00FA374F">
        <w:rPr>
          <w:rFonts w:ascii="Arial" w:hAnsi="Arial" w:cs="Arial"/>
          <w:sz w:val="20"/>
          <w:szCs w:val="20"/>
          <w:lang w:val="pt-PT"/>
        </w:rPr>
        <w:t xml:space="preserve">1991;72(6):696–701. </w:t>
      </w:r>
    </w:p>
    <w:p w:rsidR="00EF74A8" w:rsidRPr="007336E8" w:rsidRDefault="00EF74A8" w:rsidP="00BF1E4D">
      <w:pPr>
        <w:widowControl w:val="0"/>
        <w:autoSpaceDE w:val="0"/>
        <w:autoSpaceDN w:val="0"/>
        <w:adjustRightInd w:val="0"/>
        <w:spacing w:after="120" w:line="240" w:lineRule="auto"/>
        <w:ind w:left="641" w:hanging="641"/>
        <w:rPr>
          <w:rFonts w:ascii="Arial" w:hAnsi="Arial" w:cs="Arial"/>
          <w:sz w:val="20"/>
          <w:szCs w:val="20"/>
          <w:lang w:val="pt-PT"/>
        </w:rPr>
      </w:pPr>
      <w:r w:rsidRPr="00FA374F">
        <w:rPr>
          <w:rFonts w:ascii="Arial" w:hAnsi="Arial" w:cs="Arial"/>
          <w:sz w:val="20"/>
          <w:szCs w:val="20"/>
          <w:lang w:val="pt-PT"/>
        </w:rPr>
        <w:t xml:space="preserve">10. </w:t>
      </w:r>
      <w:r w:rsidRPr="00FA374F">
        <w:rPr>
          <w:rFonts w:ascii="Arial" w:hAnsi="Arial" w:cs="Arial"/>
          <w:sz w:val="20"/>
          <w:szCs w:val="20"/>
          <w:lang w:val="pt-PT"/>
        </w:rPr>
        <w:tab/>
        <w:t>Oliveira F, Costa E, Pereira S, Pacheco R, Magalhães M. Tumores das glândulas parótidas - Casuística dos últimos 10 anos do serviço de ORL do IPO de Lisboa</w:t>
      </w:r>
      <w:r w:rsidR="007336E8">
        <w:rPr>
          <w:rFonts w:ascii="Arial" w:hAnsi="Arial" w:cs="Arial"/>
          <w:sz w:val="20"/>
          <w:szCs w:val="20"/>
          <w:lang w:val="pt-PT"/>
        </w:rPr>
        <w:t>.</w:t>
      </w:r>
      <w:r w:rsidRPr="00FA374F">
        <w:rPr>
          <w:rFonts w:ascii="Arial" w:hAnsi="Arial" w:cs="Arial"/>
          <w:sz w:val="20"/>
          <w:szCs w:val="20"/>
          <w:lang w:val="pt-PT"/>
        </w:rPr>
        <w:t xml:space="preserve"> </w:t>
      </w:r>
      <w:hyperlink r:id="rId9" w:tgtFrame="_blank" w:history="1">
        <w:r w:rsidR="007336E8" w:rsidRPr="007336E8">
          <w:rPr>
            <w:rStyle w:val="Hyperlink"/>
            <w:rFonts w:ascii="Arial" w:hAnsi="Arial" w:cs="Arial"/>
            <w:color w:val="auto"/>
            <w:sz w:val="20"/>
            <w:szCs w:val="20"/>
            <w:u w:val="none"/>
            <w:shd w:val="clear" w:color="auto" w:fill="FFFFFF"/>
            <w:lang w:val="pt-PT"/>
          </w:rPr>
          <w:t>Rev Port Otorrinol Cirur Cerv Fac. 2013, 51(3) 157-160</w:t>
        </w:r>
      </w:hyperlink>
      <w:r w:rsidR="007336E8" w:rsidRPr="007336E8">
        <w:rPr>
          <w:rFonts w:ascii="Arial" w:hAnsi="Arial" w:cs="Arial"/>
          <w:sz w:val="20"/>
          <w:szCs w:val="20"/>
          <w:lang w:val="pt-PT"/>
        </w:rPr>
        <w:t>.</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lang w:val="pt-PT"/>
        </w:rPr>
        <w:t xml:space="preserve">11. </w:t>
      </w:r>
      <w:r w:rsidRPr="00FA374F">
        <w:rPr>
          <w:rFonts w:ascii="Arial" w:hAnsi="Arial" w:cs="Arial"/>
          <w:sz w:val="20"/>
          <w:szCs w:val="20"/>
          <w:lang w:val="pt-PT"/>
        </w:rPr>
        <w:tab/>
        <w:t>Monteiro LS, Bento MJ, Antune</w:t>
      </w:r>
      <w:r>
        <w:rPr>
          <w:rFonts w:ascii="Arial" w:hAnsi="Arial" w:cs="Arial"/>
          <w:sz w:val="20"/>
          <w:szCs w:val="20"/>
          <w:lang w:val="pt-PT"/>
        </w:rPr>
        <w:t>s L, Lopes C. Fatores de prognó</w:t>
      </w:r>
      <w:r w:rsidRPr="00FA374F">
        <w:rPr>
          <w:rFonts w:ascii="Arial" w:hAnsi="Arial" w:cs="Arial"/>
          <w:sz w:val="20"/>
          <w:szCs w:val="20"/>
          <w:lang w:val="pt-PT"/>
        </w:rPr>
        <w:t>stico em neoplasias mal</w:t>
      </w:r>
      <w:r>
        <w:rPr>
          <w:rFonts w:ascii="Arial" w:hAnsi="Arial" w:cs="Arial"/>
          <w:sz w:val="20"/>
          <w:szCs w:val="20"/>
          <w:lang w:val="pt-PT"/>
        </w:rPr>
        <w:t>ignas de glâ</w:t>
      </w:r>
      <w:r w:rsidRPr="00FA374F">
        <w:rPr>
          <w:rFonts w:ascii="Arial" w:hAnsi="Arial" w:cs="Arial"/>
          <w:sz w:val="20"/>
          <w:szCs w:val="20"/>
          <w:lang w:val="pt-PT"/>
        </w:rPr>
        <w:t xml:space="preserve">ndulas salivares. </w:t>
      </w:r>
      <w:r w:rsidRPr="00FA374F">
        <w:rPr>
          <w:rFonts w:ascii="Arial" w:hAnsi="Arial" w:cs="Arial"/>
          <w:sz w:val="20"/>
          <w:szCs w:val="20"/>
        </w:rPr>
        <w:t xml:space="preserve">Rev Port </w:t>
      </w:r>
      <w:proofErr w:type="spellStart"/>
      <w:r w:rsidRPr="00FA374F">
        <w:rPr>
          <w:rFonts w:ascii="Arial" w:hAnsi="Arial" w:cs="Arial"/>
          <w:sz w:val="20"/>
          <w:szCs w:val="20"/>
        </w:rPr>
        <w:t>Estomatol</w:t>
      </w:r>
      <w:proofErr w:type="spellEnd"/>
      <w:r w:rsidRPr="00FA374F">
        <w:rPr>
          <w:rFonts w:ascii="Arial" w:hAnsi="Arial" w:cs="Arial"/>
          <w:sz w:val="20"/>
          <w:szCs w:val="20"/>
        </w:rPr>
        <w:t xml:space="preserve"> Med Dent e Cir </w:t>
      </w:r>
      <w:proofErr w:type="spellStart"/>
      <w:r w:rsidRPr="00FA374F">
        <w:rPr>
          <w:rFonts w:ascii="Arial" w:hAnsi="Arial" w:cs="Arial"/>
          <w:sz w:val="20"/>
          <w:szCs w:val="20"/>
        </w:rPr>
        <w:t>Maxilofac</w:t>
      </w:r>
      <w:proofErr w:type="spellEnd"/>
      <w:r w:rsidRPr="00FA374F">
        <w:rPr>
          <w:rFonts w:ascii="Arial" w:hAnsi="Arial" w:cs="Arial"/>
          <w:sz w:val="20"/>
          <w:szCs w:val="20"/>
        </w:rPr>
        <w:t>. 2012;</w:t>
      </w:r>
      <w:r w:rsidR="007336E8">
        <w:rPr>
          <w:rFonts w:ascii="Arial" w:hAnsi="Arial" w:cs="Arial"/>
          <w:sz w:val="20"/>
          <w:szCs w:val="20"/>
        </w:rPr>
        <w:t xml:space="preserve"> </w:t>
      </w:r>
      <w:r w:rsidRPr="00FA374F">
        <w:rPr>
          <w:rFonts w:ascii="Arial" w:hAnsi="Arial" w:cs="Arial"/>
          <w:sz w:val="20"/>
          <w:szCs w:val="20"/>
        </w:rPr>
        <w:t xml:space="preserve">53(4):199–205. </w:t>
      </w:r>
    </w:p>
    <w:p w:rsidR="001879C3" w:rsidRPr="001879C3" w:rsidRDefault="00EF74A8" w:rsidP="00BF1E4D">
      <w:pPr>
        <w:pStyle w:val="Heading1"/>
        <w:shd w:val="clear" w:color="auto" w:fill="FFFFFF"/>
        <w:spacing w:before="0" w:beforeAutospacing="0" w:after="120" w:afterAutospacing="0"/>
        <w:ind w:left="641" w:hanging="641"/>
        <w:rPr>
          <w:rFonts w:ascii="Arial" w:hAnsi="Arial" w:cs="Arial"/>
          <w:b w:val="0"/>
          <w:sz w:val="20"/>
          <w:szCs w:val="20"/>
          <w:lang w:val="en-US"/>
        </w:rPr>
      </w:pPr>
      <w:r w:rsidRPr="00D948F9">
        <w:rPr>
          <w:rFonts w:ascii="Arial" w:hAnsi="Arial" w:cs="Arial"/>
          <w:b w:val="0"/>
          <w:sz w:val="20"/>
          <w:szCs w:val="20"/>
          <w:lang w:val="en-US"/>
        </w:rPr>
        <w:t xml:space="preserve">12. </w:t>
      </w:r>
      <w:r w:rsidRPr="00D948F9">
        <w:rPr>
          <w:rFonts w:ascii="Arial" w:hAnsi="Arial" w:cs="Arial"/>
          <w:b w:val="0"/>
          <w:sz w:val="20"/>
          <w:szCs w:val="20"/>
          <w:lang w:val="en-US"/>
        </w:rPr>
        <w:tab/>
      </w:r>
      <w:r w:rsidR="001879C3" w:rsidRPr="001879C3">
        <w:rPr>
          <w:rStyle w:val="refauthors"/>
          <w:rFonts w:ascii="Arial" w:hAnsi="Arial" w:cs="Arial"/>
          <w:b w:val="0"/>
          <w:sz w:val="20"/>
          <w:szCs w:val="20"/>
          <w:shd w:val="clear" w:color="auto" w:fill="FFFFFF"/>
          <w:lang w:val="en-US"/>
        </w:rPr>
        <w:t>El-</w:t>
      </w:r>
      <w:proofErr w:type="spellStart"/>
      <w:r w:rsidR="001879C3" w:rsidRPr="001879C3">
        <w:rPr>
          <w:rStyle w:val="refauthors"/>
          <w:rFonts w:ascii="Arial" w:hAnsi="Arial" w:cs="Arial"/>
          <w:b w:val="0"/>
          <w:sz w:val="20"/>
          <w:szCs w:val="20"/>
          <w:shd w:val="clear" w:color="auto" w:fill="FFFFFF"/>
          <w:lang w:val="en-US"/>
        </w:rPr>
        <w:t>Naggar</w:t>
      </w:r>
      <w:proofErr w:type="spellEnd"/>
      <w:r w:rsidR="001879C3" w:rsidRPr="001879C3">
        <w:rPr>
          <w:rStyle w:val="refauthors"/>
          <w:rFonts w:ascii="Arial" w:hAnsi="Arial" w:cs="Arial"/>
          <w:b w:val="0"/>
          <w:sz w:val="20"/>
          <w:szCs w:val="20"/>
          <w:shd w:val="clear" w:color="auto" w:fill="FFFFFF"/>
          <w:lang w:val="en-US"/>
        </w:rPr>
        <w:t xml:space="preserve">, A.K., Chan, J., </w:t>
      </w:r>
      <w:proofErr w:type="spellStart"/>
      <w:r w:rsidR="001879C3" w:rsidRPr="001879C3">
        <w:rPr>
          <w:rStyle w:val="refauthors"/>
          <w:rFonts w:ascii="Arial" w:hAnsi="Arial" w:cs="Arial"/>
          <w:b w:val="0"/>
          <w:sz w:val="20"/>
          <w:szCs w:val="20"/>
          <w:shd w:val="clear" w:color="auto" w:fill="FFFFFF"/>
          <w:lang w:val="en-US"/>
        </w:rPr>
        <w:t>Takata</w:t>
      </w:r>
      <w:proofErr w:type="spellEnd"/>
      <w:r w:rsidR="001879C3" w:rsidRPr="001879C3">
        <w:rPr>
          <w:rStyle w:val="refauthors"/>
          <w:rFonts w:ascii="Arial" w:hAnsi="Arial" w:cs="Arial"/>
          <w:b w:val="0"/>
          <w:sz w:val="20"/>
          <w:szCs w:val="20"/>
          <w:shd w:val="clear" w:color="auto" w:fill="FFFFFF"/>
          <w:lang w:val="en-US"/>
        </w:rPr>
        <w:t xml:space="preserve">, T., </w:t>
      </w:r>
      <w:proofErr w:type="spellStart"/>
      <w:r w:rsidR="001879C3" w:rsidRPr="001879C3">
        <w:rPr>
          <w:rStyle w:val="refauthors"/>
          <w:rFonts w:ascii="Arial" w:hAnsi="Arial" w:cs="Arial"/>
          <w:b w:val="0"/>
          <w:sz w:val="20"/>
          <w:szCs w:val="20"/>
          <w:shd w:val="clear" w:color="auto" w:fill="FFFFFF"/>
          <w:lang w:val="en-US"/>
        </w:rPr>
        <w:t>Grandis</w:t>
      </w:r>
      <w:proofErr w:type="spellEnd"/>
      <w:r w:rsidR="001879C3" w:rsidRPr="001879C3">
        <w:rPr>
          <w:rStyle w:val="refauthors"/>
          <w:rFonts w:ascii="Arial" w:hAnsi="Arial" w:cs="Arial"/>
          <w:b w:val="0"/>
          <w:sz w:val="20"/>
          <w:szCs w:val="20"/>
          <w:shd w:val="clear" w:color="auto" w:fill="FFFFFF"/>
          <w:lang w:val="en-US"/>
        </w:rPr>
        <w:t xml:space="preserve">, J., </w:t>
      </w:r>
      <w:proofErr w:type="spellStart"/>
      <w:r w:rsidR="001879C3" w:rsidRPr="001879C3">
        <w:rPr>
          <w:rStyle w:val="refauthors"/>
          <w:rFonts w:ascii="Arial" w:hAnsi="Arial" w:cs="Arial"/>
          <w:b w:val="0"/>
          <w:sz w:val="20"/>
          <w:szCs w:val="20"/>
          <w:shd w:val="clear" w:color="auto" w:fill="FFFFFF"/>
          <w:lang w:val="en-US"/>
        </w:rPr>
        <w:t>Blootweg</w:t>
      </w:r>
      <w:proofErr w:type="spellEnd"/>
      <w:r w:rsidR="001879C3" w:rsidRPr="001879C3">
        <w:rPr>
          <w:rStyle w:val="refauthors"/>
          <w:rFonts w:ascii="Arial" w:hAnsi="Arial" w:cs="Arial"/>
          <w:b w:val="0"/>
          <w:sz w:val="20"/>
          <w:szCs w:val="20"/>
          <w:shd w:val="clear" w:color="auto" w:fill="FFFFFF"/>
          <w:lang w:val="en-US"/>
        </w:rPr>
        <w:t>, P</w:t>
      </w:r>
      <w:r w:rsidR="005C5DB4">
        <w:rPr>
          <w:rStyle w:val="refauthors"/>
          <w:rFonts w:ascii="Arial" w:hAnsi="Arial" w:cs="Arial"/>
          <w:b w:val="0"/>
          <w:sz w:val="20"/>
          <w:szCs w:val="20"/>
          <w:shd w:val="clear" w:color="auto" w:fill="FFFFFF"/>
          <w:lang w:val="en-US"/>
        </w:rPr>
        <w:t>, editors</w:t>
      </w:r>
      <w:r w:rsidR="001879C3" w:rsidRPr="001879C3">
        <w:rPr>
          <w:rStyle w:val="refauthors"/>
          <w:rFonts w:ascii="Arial" w:hAnsi="Arial" w:cs="Arial"/>
          <w:b w:val="0"/>
          <w:sz w:val="20"/>
          <w:szCs w:val="20"/>
          <w:shd w:val="clear" w:color="auto" w:fill="FFFFFF"/>
          <w:lang w:val="en-US"/>
        </w:rPr>
        <w:t>. </w:t>
      </w:r>
      <w:r w:rsidR="001879C3" w:rsidRPr="001879C3">
        <w:rPr>
          <w:rStyle w:val="reftitle"/>
          <w:rFonts w:ascii="Arial" w:hAnsi="Arial" w:cs="Arial"/>
          <w:b w:val="0"/>
          <w:bCs w:val="0"/>
          <w:sz w:val="20"/>
          <w:szCs w:val="20"/>
          <w:shd w:val="clear" w:color="auto" w:fill="FFFFFF"/>
          <w:lang w:val="en-US"/>
        </w:rPr>
        <w:t>WHO classification of head and neck tumours. </w:t>
      </w:r>
      <w:r w:rsidR="001879C3" w:rsidRPr="001879C3">
        <w:rPr>
          <w:rStyle w:val="refed"/>
          <w:rFonts w:ascii="Arial" w:hAnsi="Arial" w:cs="Arial"/>
          <w:b w:val="0"/>
          <w:sz w:val="20"/>
          <w:szCs w:val="20"/>
          <w:shd w:val="clear" w:color="auto" w:fill="FFFFFF"/>
          <w:lang w:val="en-US"/>
        </w:rPr>
        <w:t>4th ed. vol.9. </w:t>
      </w:r>
      <w:r w:rsidR="001879C3" w:rsidRPr="001879C3">
        <w:rPr>
          <w:rStyle w:val="refpublishername"/>
          <w:rFonts w:ascii="Arial" w:hAnsi="Arial" w:cs="Arial"/>
          <w:b w:val="0"/>
          <w:sz w:val="20"/>
          <w:szCs w:val="20"/>
          <w:shd w:val="clear" w:color="auto" w:fill="FFFFFF"/>
          <w:lang w:val="en-US"/>
        </w:rPr>
        <w:t>IARC Press</w:t>
      </w:r>
      <w:r w:rsidR="001879C3" w:rsidRPr="001879C3">
        <w:rPr>
          <w:rFonts w:ascii="Arial" w:hAnsi="Arial" w:cs="Arial"/>
          <w:b w:val="0"/>
          <w:sz w:val="20"/>
          <w:szCs w:val="20"/>
          <w:shd w:val="clear" w:color="auto" w:fill="FFFFFF"/>
          <w:lang w:val="en-US"/>
        </w:rPr>
        <w:t>, </w:t>
      </w:r>
      <w:r w:rsidR="001879C3" w:rsidRPr="001879C3">
        <w:rPr>
          <w:rStyle w:val="refpublisherloc"/>
          <w:rFonts w:ascii="Arial" w:hAnsi="Arial" w:cs="Arial"/>
          <w:b w:val="0"/>
          <w:sz w:val="20"/>
          <w:szCs w:val="20"/>
          <w:shd w:val="clear" w:color="auto" w:fill="FFFFFF"/>
          <w:lang w:val="en-US"/>
        </w:rPr>
        <w:t>Lyon</w:t>
      </w:r>
      <w:r w:rsidR="001879C3" w:rsidRPr="001879C3">
        <w:rPr>
          <w:rFonts w:ascii="Arial" w:hAnsi="Arial" w:cs="Arial"/>
          <w:b w:val="0"/>
          <w:sz w:val="20"/>
          <w:szCs w:val="20"/>
          <w:shd w:val="clear" w:color="auto" w:fill="FFFFFF"/>
          <w:lang w:val="en-US"/>
        </w:rPr>
        <w:t>; </w:t>
      </w:r>
      <w:r w:rsidR="001879C3" w:rsidRPr="001879C3">
        <w:rPr>
          <w:rStyle w:val="refdate"/>
          <w:rFonts w:ascii="Arial" w:hAnsi="Arial" w:cs="Arial"/>
          <w:b w:val="0"/>
          <w:sz w:val="20"/>
          <w:szCs w:val="20"/>
          <w:shd w:val="clear" w:color="auto" w:fill="FFFFFF"/>
          <w:lang w:val="en-US"/>
        </w:rPr>
        <w:t>2017</w:t>
      </w:r>
      <w:r w:rsidR="001879C3" w:rsidRPr="001879C3">
        <w:rPr>
          <w:rFonts w:ascii="Arial" w:hAnsi="Arial" w:cs="Arial"/>
          <w:b w:val="0"/>
          <w:sz w:val="20"/>
          <w:szCs w:val="20"/>
          <w:lang w:val="en-US"/>
        </w:rPr>
        <w:t xml:space="preserve"> </w:t>
      </w:r>
    </w:p>
    <w:p w:rsidR="00EF74A8" w:rsidRPr="00D948F9" w:rsidRDefault="00EF74A8" w:rsidP="00BF1E4D">
      <w:pPr>
        <w:pStyle w:val="Heading1"/>
        <w:shd w:val="clear" w:color="auto" w:fill="FFFFFF"/>
        <w:spacing w:before="0" w:beforeAutospacing="0" w:after="120" w:afterAutospacing="0"/>
        <w:ind w:left="641" w:hanging="641"/>
        <w:rPr>
          <w:rFonts w:ascii="Arial" w:hAnsi="Arial" w:cs="Arial"/>
          <w:b w:val="0"/>
          <w:sz w:val="20"/>
          <w:szCs w:val="20"/>
          <w:lang w:val="en-US"/>
        </w:rPr>
      </w:pPr>
      <w:r w:rsidRPr="001879C3">
        <w:rPr>
          <w:rFonts w:ascii="Arial" w:hAnsi="Arial" w:cs="Arial"/>
          <w:b w:val="0"/>
          <w:sz w:val="20"/>
          <w:szCs w:val="20"/>
          <w:lang w:val="en-US"/>
        </w:rPr>
        <w:t xml:space="preserve">13. </w:t>
      </w:r>
      <w:r w:rsidRPr="001879C3">
        <w:rPr>
          <w:rFonts w:ascii="Arial" w:hAnsi="Arial" w:cs="Arial"/>
          <w:b w:val="0"/>
          <w:sz w:val="20"/>
          <w:szCs w:val="20"/>
          <w:lang w:val="en-US"/>
        </w:rPr>
        <w:tab/>
      </w:r>
      <w:r w:rsidRPr="001879C3">
        <w:rPr>
          <w:rFonts w:ascii="Arial" w:hAnsi="Arial" w:cs="Arial"/>
          <w:b w:val="0"/>
          <w:color w:val="000000"/>
          <w:sz w:val="20"/>
          <w:szCs w:val="20"/>
          <w:shd w:val="clear" w:color="auto" w:fill="FFFFFF"/>
          <w:lang w:val="en-US"/>
        </w:rPr>
        <w:t xml:space="preserve">Edge SB, Byrd DR, Compton CC, Fritz AG, Greene FL, </w:t>
      </w:r>
      <w:proofErr w:type="spellStart"/>
      <w:r w:rsidRPr="001879C3">
        <w:rPr>
          <w:rFonts w:ascii="Arial" w:hAnsi="Arial" w:cs="Arial"/>
          <w:b w:val="0"/>
          <w:color w:val="000000"/>
          <w:sz w:val="20"/>
          <w:szCs w:val="20"/>
          <w:shd w:val="clear" w:color="auto" w:fill="FFFFFF"/>
          <w:lang w:val="en-US"/>
        </w:rPr>
        <w:t>Trotti</w:t>
      </w:r>
      <w:proofErr w:type="spellEnd"/>
      <w:r w:rsidRPr="001879C3">
        <w:rPr>
          <w:rFonts w:ascii="Arial" w:hAnsi="Arial" w:cs="Arial"/>
          <w:b w:val="0"/>
          <w:color w:val="000000"/>
          <w:sz w:val="20"/>
          <w:szCs w:val="20"/>
          <w:shd w:val="clear" w:color="auto" w:fill="FFFFFF"/>
          <w:lang w:val="en-US"/>
        </w:rPr>
        <w:t xml:space="preserve"> A, editors. </w:t>
      </w:r>
      <w:r w:rsidRPr="001879C3">
        <w:rPr>
          <w:rStyle w:val="Strong"/>
          <w:rFonts w:ascii="Arial" w:hAnsi="Arial" w:cs="Arial"/>
          <w:iCs/>
          <w:color w:val="000000"/>
          <w:sz w:val="20"/>
          <w:szCs w:val="20"/>
          <w:shd w:val="clear" w:color="auto" w:fill="FFFFFF"/>
          <w:lang w:val="en-US"/>
        </w:rPr>
        <w:t>AJCC cancer staging manual, 7th ed.</w:t>
      </w:r>
      <w:r w:rsidRPr="001879C3">
        <w:rPr>
          <w:rFonts w:ascii="Arial" w:hAnsi="Arial" w:cs="Arial"/>
          <w:b w:val="0"/>
          <w:color w:val="000000"/>
          <w:sz w:val="20"/>
          <w:szCs w:val="20"/>
          <w:shd w:val="clear" w:color="auto" w:fill="FFFFFF"/>
          <w:lang w:val="en-US"/>
        </w:rPr>
        <w:t> France: Spring</w:t>
      </w:r>
      <w:r w:rsidRPr="00D948F9">
        <w:rPr>
          <w:rFonts w:ascii="Arial" w:hAnsi="Arial" w:cs="Arial"/>
          <w:b w:val="0"/>
          <w:color w:val="000000"/>
          <w:sz w:val="20"/>
          <w:szCs w:val="20"/>
          <w:shd w:val="clear" w:color="auto" w:fill="FFFFFF"/>
          <w:lang w:val="en-US"/>
        </w:rPr>
        <w:t>er; 2010</w:t>
      </w:r>
      <w:r w:rsidRPr="00D948F9">
        <w:rPr>
          <w:rFonts w:ascii="Arial" w:hAnsi="Arial" w:cs="Arial"/>
          <w:b w:val="0"/>
          <w:sz w:val="20"/>
          <w:szCs w:val="20"/>
          <w:lang w:val="en-US"/>
        </w:rPr>
        <w:t xml:space="preserve">.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14. </w:t>
      </w:r>
      <w:r w:rsidRPr="00FA374F">
        <w:rPr>
          <w:rFonts w:ascii="Arial" w:hAnsi="Arial" w:cs="Arial"/>
          <w:sz w:val="20"/>
          <w:szCs w:val="20"/>
        </w:rPr>
        <w:tab/>
        <w:t xml:space="preserve">Raja R. </w:t>
      </w:r>
      <w:proofErr w:type="spellStart"/>
      <w:r w:rsidRPr="00FA374F">
        <w:rPr>
          <w:rFonts w:ascii="Arial" w:hAnsi="Arial" w:cs="Arial"/>
          <w:sz w:val="20"/>
          <w:szCs w:val="20"/>
        </w:rPr>
        <w:t>Seethala</w:t>
      </w:r>
      <w:proofErr w:type="spellEnd"/>
      <w:r w:rsidRPr="00FA374F">
        <w:rPr>
          <w:rFonts w:ascii="Arial" w:hAnsi="Arial" w:cs="Arial"/>
          <w:sz w:val="20"/>
          <w:szCs w:val="20"/>
        </w:rPr>
        <w:t xml:space="preserve">. </w:t>
      </w:r>
      <w:proofErr w:type="spellStart"/>
      <w:r w:rsidRPr="00FA374F">
        <w:rPr>
          <w:rFonts w:ascii="Arial" w:hAnsi="Arial" w:cs="Arial"/>
          <w:sz w:val="20"/>
          <w:szCs w:val="20"/>
        </w:rPr>
        <w:t>Histologic</w:t>
      </w:r>
      <w:proofErr w:type="spellEnd"/>
      <w:r w:rsidRPr="00FA374F">
        <w:rPr>
          <w:rFonts w:ascii="Arial" w:hAnsi="Arial" w:cs="Arial"/>
          <w:sz w:val="20"/>
          <w:szCs w:val="20"/>
        </w:rPr>
        <w:t xml:space="preserve"> Grading and Prognostic Biomarkers in Salivary Gland Carcinomas. Adv </w:t>
      </w:r>
      <w:proofErr w:type="spellStart"/>
      <w:r w:rsidRPr="00FA374F">
        <w:rPr>
          <w:rFonts w:ascii="Arial" w:hAnsi="Arial" w:cs="Arial"/>
          <w:sz w:val="20"/>
          <w:szCs w:val="20"/>
        </w:rPr>
        <w:t>Anat</w:t>
      </w:r>
      <w:proofErr w:type="spellEnd"/>
      <w:r w:rsidRPr="00FA374F">
        <w:rPr>
          <w:rFonts w:ascii="Arial" w:hAnsi="Arial" w:cs="Arial"/>
          <w:sz w:val="20"/>
          <w:szCs w:val="20"/>
        </w:rPr>
        <w:t xml:space="preserve"> </w:t>
      </w:r>
      <w:proofErr w:type="spellStart"/>
      <w:r w:rsidRPr="00FA374F">
        <w:rPr>
          <w:rFonts w:ascii="Arial" w:hAnsi="Arial" w:cs="Arial"/>
          <w:sz w:val="20"/>
          <w:szCs w:val="20"/>
        </w:rPr>
        <w:t>Pathol</w:t>
      </w:r>
      <w:proofErr w:type="spellEnd"/>
      <w:r w:rsidRPr="00FA374F">
        <w:rPr>
          <w:rFonts w:ascii="Arial" w:hAnsi="Arial" w:cs="Arial"/>
          <w:sz w:val="20"/>
          <w:szCs w:val="20"/>
        </w:rPr>
        <w:t xml:space="preserve">. 2011;18(800):29–45.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15. </w:t>
      </w:r>
      <w:r w:rsidRPr="00FA374F">
        <w:rPr>
          <w:rFonts w:ascii="Arial" w:hAnsi="Arial" w:cs="Arial"/>
          <w:sz w:val="20"/>
          <w:szCs w:val="20"/>
        </w:rPr>
        <w:tab/>
      </w:r>
      <w:proofErr w:type="spellStart"/>
      <w:r w:rsidRPr="00FA374F">
        <w:rPr>
          <w:rFonts w:ascii="Arial" w:hAnsi="Arial" w:cs="Arial"/>
          <w:sz w:val="20"/>
          <w:szCs w:val="20"/>
        </w:rPr>
        <w:t>Seethala</w:t>
      </w:r>
      <w:proofErr w:type="spellEnd"/>
      <w:r w:rsidRPr="00FA374F">
        <w:rPr>
          <w:rFonts w:ascii="Arial" w:hAnsi="Arial" w:cs="Arial"/>
          <w:sz w:val="20"/>
          <w:szCs w:val="20"/>
        </w:rPr>
        <w:t xml:space="preserve"> RR. </w:t>
      </w:r>
      <w:r w:rsidR="00C35BEB" w:rsidRPr="00FA374F">
        <w:rPr>
          <w:rFonts w:ascii="Arial" w:hAnsi="Arial" w:cs="Arial"/>
          <w:sz w:val="20"/>
          <w:szCs w:val="20"/>
        </w:rPr>
        <w:t xml:space="preserve">An update on grading of salivary gland carcinomas. </w:t>
      </w:r>
      <w:r w:rsidRPr="00FA374F">
        <w:rPr>
          <w:rFonts w:ascii="Arial" w:hAnsi="Arial" w:cs="Arial"/>
          <w:sz w:val="20"/>
          <w:szCs w:val="20"/>
        </w:rPr>
        <w:t xml:space="preserve">Head Neck </w:t>
      </w:r>
      <w:proofErr w:type="spellStart"/>
      <w:r w:rsidRPr="00FA374F">
        <w:rPr>
          <w:rFonts w:ascii="Arial" w:hAnsi="Arial" w:cs="Arial"/>
          <w:sz w:val="20"/>
          <w:szCs w:val="20"/>
        </w:rPr>
        <w:t>Pathol</w:t>
      </w:r>
      <w:proofErr w:type="spellEnd"/>
      <w:r w:rsidRPr="00FA374F">
        <w:rPr>
          <w:rFonts w:ascii="Arial" w:hAnsi="Arial" w:cs="Arial"/>
          <w:sz w:val="20"/>
          <w:szCs w:val="20"/>
        </w:rPr>
        <w:t xml:space="preserve">. 2009;3(1):69–77.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t xml:space="preserve">16. </w:t>
      </w:r>
      <w:r w:rsidRPr="00FA374F">
        <w:rPr>
          <w:rFonts w:ascii="Arial" w:hAnsi="Arial" w:cs="Arial"/>
          <w:sz w:val="20"/>
          <w:szCs w:val="20"/>
        </w:rPr>
        <w:tab/>
      </w:r>
      <w:proofErr w:type="spellStart"/>
      <w:r w:rsidRPr="00FA374F">
        <w:rPr>
          <w:rFonts w:ascii="Arial" w:hAnsi="Arial" w:cs="Arial"/>
          <w:sz w:val="20"/>
          <w:szCs w:val="20"/>
        </w:rPr>
        <w:t>Ascani</w:t>
      </w:r>
      <w:proofErr w:type="spellEnd"/>
      <w:r w:rsidRPr="00FA374F">
        <w:rPr>
          <w:rFonts w:ascii="Arial" w:hAnsi="Arial" w:cs="Arial"/>
          <w:sz w:val="20"/>
          <w:szCs w:val="20"/>
        </w:rPr>
        <w:t xml:space="preserve"> G, </w:t>
      </w:r>
      <w:proofErr w:type="spellStart"/>
      <w:r w:rsidRPr="00FA374F">
        <w:rPr>
          <w:rFonts w:ascii="Arial" w:hAnsi="Arial" w:cs="Arial"/>
          <w:sz w:val="20"/>
          <w:szCs w:val="20"/>
        </w:rPr>
        <w:t>Pieramici</w:t>
      </w:r>
      <w:proofErr w:type="spellEnd"/>
      <w:r w:rsidRPr="00FA374F">
        <w:rPr>
          <w:rFonts w:ascii="Arial" w:hAnsi="Arial" w:cs="Arial"/>
          <w:sz w:val="20"/>
          <w:szCs w:val="20"/>
        </w:rPr>
        <w:t xml:space="preserve"> T, </w:t>
      </w:r>
      <w:proofErr w:type="spellStart"/>
      <w:r w:rsidRPr="00FA374F">
        <w:rPr>
          <w:rFonts w:ascii="Arial" w:hAnsi="Arial" w:cs="Arial"/>
          <w:sz w:val="20"/>
          <w:szCs w:val="20"/>
        </w:rPr>
        <w:t>Messi</w:t>
      </w:r>
      <w:proofErr w:type="spellEnd"/>
      <w:r w:rsidRPr="00FA374F">
        <w:rPr>
          <w:rFonts w:ascii="Arial" w:hAnsi="Arial" w:cs="Arial"/>
          <w:sz w:val="20"/>
          <w:szCs w:val="20"/>
        </w:rPr>
        <w:t xml:space="preserve"> M, </w:t>
      </w:r>
      <w:proofErr w:type="spellStart"/>
      <w:r w:rsidRPr="00FA374F">
        <w:rPr>
          <w:rFonts w:ascii="Arial" w:hAnsi="Arial" w:cs="Arial"/>
          <w:sz w:val="20"/>
          <w:szCs w:val="20"/>
        </w:rPr>
        <w:t>Lupi</w:t>
      </w:r>
      <w:proofErr w:type="spellEnd"/>
      <w:r w:rsidRPr="00FA374F">
        <w:rPr>
          <w:rFonts w:ascii="Arial" w:hAnsi="Arial" w:cs="Arial"/>
          <w:sz w:val="20"/>
          <w:szCs w:val="20"/>
        </w:rPr>
        <w:t xml:space="preserve"> E, </w:t>
      </w:r>
      <w:proofErr w:type="spellStart"/>
      <w:r w:rsidRPr="00FA374F">
        <w:rPr>
          <w:rFonts w:ascii="Arial" w:hAnsi="Arial" w:cs="Arial"/>
          <w:sz w:val="20"/>
          <w:szCs w:val="20"/>
        </w:rPr>
        <w:t>Rubini</w:t>
      </w:r>
      <w:proofErr w:type="spellEnd"/>
      <w:r w:rsidRPr="00FA374F">
        <w:rPr>
          <w:rFonts w:ascii="Arial" w:hAnsi="Arial" w:cs="Arial"/>
          <w:sz w:val="20"/>
          <w:szCs w:val="20"/>
        </w:rPr>
        <w:t xml:space="preserve"> C, </w:t>
      </w:r>
      <w:proofErr w:type="spellStart"/>
      <w:r w:rsidRPr="00FA374F">
        <w:rPr>
          <w:rFonts w:ascii="Arial" w:hAnsi="Arial" w:cs="Arial"/>
          <w:sz w:val="20"/>
          <w:szCs w:val="20"/>
        </w:rPr>
        <w:t>Balercia</w:t>
      </w:r>
      <w:proofErr w:type="spellEnd"/>
      <w:r w:rsidRPr="00FA374F">
        <w:rPr>
          <w:rFonts w:ascii="Arial" w:hAnsi="Arial" w:cs="Arial"/>
          <w:sz w:val="20"/>
          <w:szCs w:val="20"/>
        </w:rPr>
        <w:t xml:space="preserve"> P. Salivary glands tumours: a retrospective study of 454 patients. Minerva </w:t>
      </w:r>
      <w:proofErr w:type="spellStart"/>
      <w:r w:rsidRPr="00FA374F">
        <w:rPr>
          <w:rFonts w:ascii="Arial" w:hAnsi="Arial" w:cs="Arial"/>
          <w:sz w:val="20"/>
          <w:szCs w:val="20"/>
        </w:rPr>
        <w:t>Stomatol</w:t>
      </w:r>
      <w:proofErr w:type="spellEnd"/>
      <w:r w:rsidRPr="00FA374F">
        <w:rPr>
          <w:rFonts w:ascii="Arial" w:hAnsi="Arial" w:cs="Arial"/>
          <w:sz w:val="20"/>
          <w:szCs w:val="20"/>
        </w:rPr>
        <w:t xml:space="preserve"> [Internet]. 2006;55(4):209–14.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lang w:val="pt-PT"/>
        </w:rPr>
      </w:pPr>
      <w:r w:rsidRPr="00FA374F">
        <w:rPr>
          <w:rFonts w:ascii="Arial" w:hAnsi="Arial" w:cs="Arial"/>
          <w:sz w:val="20"/>
          <w:szCs w:val="20"/>
        </w:rPr>
        <w:t>1</w:t>
      </w:r>
      <w:r>
        <w:rPr>
          <w:rFonts w:ascii="Arial" w:hAnsi="Arial" w:cs="Arial"/>
          <w:sz w:val="20"/>
          <w:szCs w:val="20"/>
        </w:rPr>
        <w:t>7</w:t>
      </w:r>
      <w:r w:rsidRPr="00FA374F">
        <w:rPr>
          <w:rFonts w:ascii="Arial" w:hAnsi="Arial" w:cs="Arial"/>
          <w:sz w:val="20"/>
          <w:szCs w:val="20"/>
        </w:rPr>
        <w:t xml:space="preserve">. </w:t>
      </w:r>
      <w:r w:rsidRPr="00FA374F">
        <w:rPr>
          <w:rFonts w:ascii="Arial" w:hAnsi="Arial" w:cs="Arial"/>
          <w:sz w:val="20"/>
          <w:szCs w:val="20"/>
        </w:rPr>
        <w:tab/>
      </w:r>
      <w:proofErr w:type="spellStart"/>
      <w:r w:rsidRPr="00FA374F">
        <w:rPr>
          <w:rFonts w:ascii="Arial" w:hAnsi="Arial" w:cs="Arial"/>
          <w:sz w:val="20"/>
          <w:szCs w:val="20"/>
        </w:rPr>
        <w:t>Debets</w:t>
      </w:r>
      <w:proofErr w:type="spellEnd"/>
      <w:r w:rsidRPr="00FA374F">
        <w:rPr>
          <w:rFonts w:ascii="Arial" w:hAnsi="Arial" w:cs="Arial"/>
          <w:sz w:val="20"/>
          <w:szCs w:val="20"/>
        </w:rPr>
        <w:t xml:space="preserve"> JMH, </w:t>
      </w:r>
      <w:proofErr w:type="spellStart"/>
      <w:r w:rsidRPr="00FA374F">
        <w:rPr>
          <w:rFonts w:ascii="Arial" w:hAnsi="Arial" w:cs="Arial"/>
          <w:sz w:val="20"/>
          <w:szCs w:val="20"/>
        </w:rPr>
        <w:t>Munting</w:t>
      </w:r>
      <w:proofErr w:type="spellEnd"/>
      <w:r w:rsidRPr="00FA374F">
        <w:rPr>
          <w:rFonts w:ascii="Arial" w:hAnsi="Arial" w:cs="Arial"/>
          <w:sz w:val="20"/>
          <w:szCs w:val="20"/>
        </w:rPr>
        <w:t xml:space="preserve"> JDK. </w:t>
      </w:r>
      <w:proofErr w:type="spellStart"/>
      <w:r w:rsidRPr="00FA374F">
        <w:rPr>
          <w:rFonts w:ascii="Arial" w:hAnsi="Arial" w:cs="Arial"/>
          <w:sz w:val="20"/>
          <w:szCs w:val="20"/>
        </w:rPr>
        <w:t>Parotide</w:t>
      </w:r>
      <w:r>
        <w:rPr>
          <w:rFonts w:ascii="Arial" w:hAnsi="Arial" w:cs="Arial"/>
          <w:sz w:val="20"/>
          <w:szCs w:val="20"/>
        </w:rPr>
        <w:t>ctomy</w:t>
      </w:r>
      <w:proofErr w:type="spellEnd"/>
      <w:r>
        <w:rPr>
          <w:rFonts w:ascii="Arial" w:hAnsi="Arial" w:cs="Arial"/>
          <w:sz w:val="20"/>
          <w:szCs w:val="20"/>
        </w:rPr>
        <w:t xml:space="preserve"> for parotid tumours: 19-</w:t>
      </w:r>
      <w:r w:rsidRPr="00FA374F">
        <w:rPr>
          <w:rFonts w:ascii="Arial" w:hAnsi="Arial" w:cs="Arial"/>
          <w:sz w:val="20"/>
          <w:szCs w:val="20"/>
        </w:rPr>
        <w:t xml:space="preserve">year experience from the Netherlands. </w:t>
      </w:r>
      <w:r w:rsidRPr="00FA374F">
        <w:rPr>
          <w:rFonts w:ascii="Arial" w:hAnsi="Arial" w:cs="Arial"/>
          <w:sz w:val="20"/>
          <w:szCs w:val="20"/>
          <w:lang w:val="pt-PT"/>
        </w:rPr>
        <w:t xml:space="preserve">Br J Surg. 1992;79(11):1159–61. </w:t>
      </w:r>
    </w:p>
    <w:p w:rsidR="00EF74A8" w:rsidRDefault="00EF74A8" w:rsidP="00BF1E4D">
      <w:pPr>
        <w:widowControl w:val="0"/>
        <w:autoSpaceDE w:val="0"/>
        <w:autoSpaceDN w:val="0"/>
        <w:adjustRightInd w:val="0"/>
        <w:spacing w:after="120" w:line="240" w:lineRule="auto"/>
        <w:ind w:left="640" w:hanging="640"/>
        <w:rPr>
          <w:rFonts w:ascii="Arial" w:hAnsi="Arial" w:cs="Arial"/>
          <w:sz w:val="20"/>
          <w:szCs w:val="20"/>
          <w:lang w:val="pt-PT"/>
        </w:rPr>
      </w:pPr>
      <w:r>
        <w:rPr>
          <w:rFonts w:ascii="Arial" w:hAnsi="Arial" w:cs="Arial"/>
          <w:sz w:val="20"/>
          <w:szCs w:val="20"/>
          <w:lang w:val="pt-PT"/>
        </w:rPr>
        <w:t>18</w:t>
      </w:r>
      <w:r w:rsidRPr="00FA374F">
        <w:rPr>
          <w:rFonts w:ascii="Arial" w:hAnsi="Arial" w:cs="Arial"/>
          <w:sz w:val="20"/>
          <w:szCs w:val="20"/>
          <w:lang w:val="pt-PT"/>
        </w:rPr>
        <w:t xml:space="preserve">. </w:t>
      </w:r>
      <w:r w:rsidRPr="00FA374F">
        <w:rPr>
          <w:rFonts w:ascii="Arial" w:hAnsi="Arial" w:cs="Arial"/>
          <w:sz w:val="20"/>
          <w:szCs w:val="20"/>
          <w:lang w:val="pt-PT"/>
        </w:rPr>
        <w:tab/>
        <w:t xml:space="preserve">Rodríguez Paramás A, Lendoiro Otero C, González García JA, Souviron Encabo R, Scola Yurrita B. Tumores malignos de la glándula parótida. Acta Otorrinolaringológica Española [Internet]. 2005;56(5):211–4.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EF74A8">
        <w:rPr>
          <w:rFonts w:ascii="Arial" w:hAnsi="Arial" w:cs="Arial"/>
          <w:sz w:val="20"/>
          <w:szCs w:val="20"/>
          <w:lang w:val="pt-PT"/>
        </w:rPr>
        <w:t xml:space="preserve">19. </w:t>
      </w:r>
      <w:r w:rsidRPr="00EF74A8">
        <w:rPr>
          <w:rFonts w:ascii="Arial" w:hAnsi="Arial" w:cs="Arial"/>
          <w:sz w:val="20"/>
          <w:szCs w:val="20"/>
          <w:lang w:val="pt-PT"/>
        </w:rPr>
        <w:tab/>
        <w:t xml:space="preserve">Sadetzki S, Oberman B, Mandelzweig L, Chetrit A, Ben-Tal T, Jarus-Hakak A, et al. </w:t>
      </w:r>
      <w:r w:rsidRPr="00FA374F">
        <w:rPr>
          <w:rFonts w:ascii="Arial" w:hAnsi="Arial" w:cs="Arial"/>
          <w:sz w:val="20"/>
          <w:szCs w:val="20"/>
        </w:rPr>
        <w:t xml:space="preserve">Smoking and risk of parotid gland tumors: A nationwide case-control study. Cancer. 2008;112(9):1974–82.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sidRPr="00FA374F">
        <w:rPr>
          <w:rFonts w:ascii="Arial" w:hAnsi="Arial" w:cs="Arial"/>
          <w:sz w:val="20"/>
          <w:szCs w:val="20"/>
        </w:rPr>
        <w:lastRenderedPageBreak/>
        <w:t>2</w:t>
      </w:r>
      <w:r>
        <w:rPr>
          <w:rFonts w:ascii="Arial" w:hAnsi="Arial" w:cs="Arial"/>
          <w:sz w:val="20"/>
          <w:szCs w:val="20"/>
        </w:rPr>
        <w:t>0</w:t>
      </w:r>
      <w:r w:rsidRPr="00FA374F">
        <w:rPr>
          <w:rFonts w:ascii="Arial" w:hAnsi="Arial" w:cs="Arial"/>
          <w:sz w:val="20"/>
          <w:szCs w:val="20"/>
        </w:rPr>
        <w:t xml:space="preserve">. </w:t>
      </w:r>
      <w:r w:rsidRPr="00FA374F">
        <w:rPr>
          <w:rFonts w:ascii="Arial" w:hAnsi="Arial" w:cs="Arial"/>
          <w:sz w:val="20"/>
          <w:szCs w:val="20"/>
        </w:rPr>
        <w:tab/>
      </w:r>
      <w:proofErr w:type="spellStart"/>
      <w:r w:rsidRPr="00FA374F">
        <w:rPr>
          <w:rFonts w:ascii="Arial" w:hAnsi="Arial" w:cs="Arial"/>
          <w:sz w:val="20"/>
          <w:szCs w:val="20"/>
        </w:rPr>
        <w:t>Bjørndal</w:t>
      </w:r>
      <w:proofErr w:type="spellEnd"/>
      <w:r w:rsidRPr="00FA374F">
        <w:rPr>
          <w:rFonts w:ascii="Arial" w:hAnsi="Arial" w:cs="Arial"/>
          <w:sz w:val="20"/>
          <w:szCs w:val="20"/>
        </w:rPr>
        <w:t xml:space="preserve"> K, </w:t>
      </w:r>
      <w:proofErr w:type="spellStart"/>
      <w:r w:rsidRPr="00FA374F">
        <w:rPr>
          <w:rFonts w:ascii="Arial" w:hAnsi="Arial" w:cs="Arial"/>
          <w:sz w:val="20"/>
          <w:szCs w:val="20"/>
        </w:rPr>
        <w:t>Krogdahl</w:t>
      </w:r>
      <w:proofErr w:type="spellEnd"/>
      <w:r w:rsidRPr="00FA374F">
        <w:rPr>
          <w:rFonts w:ascii="Arial" w:hAnsi="Arial" w:cs="Arial"/>
          <w:sz w:val="20"/>
          <w:szCs w:val="20"/>
        </w:rPr>
        <w:t xml:space="preserve"> A, </w:t>
      </w:r>
      <w:proofErr w:type="spellStart"/>
      <w:r w:rsidRPr="00FA374F">
        <w:rPr>
          <w:rFonts w:ascii="Arial" w:hAnsi="Arial" w:cs="Arial"/>
          <w:sz w:val="20"/>
          <w:szCs w:val="20"/>
        </w:rPr>
        <w:t>Therkildsen</w:t>
      </w:r>
      <w:proofErr w:type="spellEnd"/>
      <w:r w:rsidRPr="00FA374F">
        <w:rPr>
          <w:rFonts w:ascii="Arial" w:hAnsi="Arial" w:cs="Arial"/>
          <w:sz w:val="20"/>
          <w:szCs w:val="20"/>
        </w:rPr>
        <w:t xml:space="preserve"> MH, Overgaard J, Johansen J, </w:t>
      </w:r>
      <w:proofErr w:type="spellStart"/>
      <w:r w:rsidRPr="00FA374F">
        <w:rPr>
          <w:rFonts w:ascii="Arial" w:hAnsi="Arial" w:cs="Arial"/>
          <w:sz w:val="20"/>
          <w:szCs w:val="20"/>
        </w:rPr>
        <w:t>Kristensen</w:t>
      </w:r>
      <w:proofErr w:type="spellEnd"/>
      <w:r w:rsidRPr="00FA374F">
        <w:rPr>
          <w:rFonts w:ascii="Arial" w:hAnsi="Arial" w:cs="Arial"/>
          <w:sz w:val="20"/>
          <w:szCs w:val="20"/>
        </w:rPr>
        <w:t xml:space="preserve"> CA, et al. Salivary gland carcinoma in Denmark 1990-2005: Outcome and prognostic factors: Results of the Danish Head and Neck Cancer Group (DAHANCA). Oral </w:t>
      </w:r>
      <w:proofErr w:type="spellStart"/>
      <w:r w:rsidRPr="00FA374F">
        <w:rPr>
          <w:rFonts w:ascii="Arial" w:hAnsi="Arial" w:cs="Arial"/>
          <w:sz w:val="20"/>
          <w:szCs w:val="20"/>
        </w:rPr>
        <w:t>Oncol</w:t>
      </w:r>
      <w:proofErr w:type="spellEnd"/>
      <w:r w:rsidRPr="00FA374F">
        <w:rPr>
          <w:rFonts w:ascii="Arial" w:hAnsi="Arial" w:cs="Arial"/>
          <w:sz w:val="20"/>
          <w:szCs w:val="20"/>
        </w:rPr>
        <w:t xml:space="preserve">. 2012;48(2):179–85. </w:t>
      </w:r>
    </w:p>
    <w:p w:rsidR="00EF74A8" w:rsidRPr="00FA374F" w:rsidRDefault="00EF74A8" w:rsidP="00BF1E4D">
      <w:pPr>
        <w:widowControl w:val="0"/>
        <w:autoSpaceDE w:val="0"/>
        <w:autoSpaceDN w:val="0"/>
        <w:adjustRightInd w:val="0"/>
        <w:spacing w:after="120" w:line="240" w:lineRule="auto"/>
        <w:ind w:left="640" w:hanging="640"/>
        <w:rPr>
          <w:rFonts w:ascii="Arial" w:hAnsi="Arial" w:cs="Arial"/>
          <w:sz w:val="20"/>
          <w:szCs w:val="20"/>
        </w:rPr>
      </w:pPr>
      <w:r>
        <w:rPr>
          <w:rFonts w:ascii="Arial" w:hAnsi="Arial" w:cs="Arial"/>
          <w:sz w:val="20"/>
          <w:szCs w:val="20"/>
        </w:rPr>
        <w:t>21</w:t>
      </w:r>
      <w:r w:rsidRPr="00FA374F">
        <w:rPr>
          <w:rFonts w:ascii="Arial" w:hAnsi="Arial" w:cs="Arial"/>
          <w:sz w:val="20"/>
          <w:szCs w:val="20"/>
        </w:rPr>
        <w:t xml:space="preserve">. </w:t>
      </w:r>
      <w:r w:rsidRPr="00FA374F">
        <w:rPr>
          <w:rFonts w:ascii="Arial" w:hAnsi="Arial" w:cs="Arial"/>
          <w:sz w:val="20"/>
          <w:szCs w:val="20"/>
        </w:rPr>
        <w:tab/>
      </w:r>
      <w:proofErr w:type="spellStart"/>
      <w:r w:rsidRPr="00FA374F">
        <w:rPr>
          <w:rFonts w:ascii="Arial" w:hAnsi="Arial" w:cs="Arial"/>
          <w:sz w:val="20"/>
          <w:szCs w:val="20"/>
        </w:rPr>
        <w:t>Wahlberg</w:t>
      </w:r>
      <w:proofErr w:type="spellEnd"/>
      <w:r w:rsidRPr="00FA374F">
        <w:rPr>
          <w:rFonts w:ascii="Arial" w:hAnsi="Arial" w:cs="Arial"/>
          <w:sz w:val="20"/>
          <w:szCs w:val="20"/>
        </w:rPr>
        <w:t xml:space="preserve"> P, Anderson H, </w:t>
      </w:r>
      <w:proofErr w:type="spellStart"/>
      <w:r w:rsidRPr="00FA374F">
        <w:rPr>
          <w:rFonts w:ascii="Arial" w:hAnsi="Arial" w:cs="Arial"/>
          <w:sz w:val="20"/>
          <w:szCs w:val="20"/>
        </w:rPr>
        <w:t>Biörklund</w:t>
      </w:r>
      <w:proofErr w:type="spellEnd"/>
      <w:r w:rsidRPr="00FA374F">
        <w:rPr>
          <w:rFonts w:ascii="Arial" w:hAnsi="Arial" w:cs="Arial"/>
          <w:sz w:val="20"/>
          <w:szCs w:val="20"/>
        </w:rPr>
        <w:t xml:space="preserve"> A, </w:t>
      </w:r>
      <w:proofErr w:type="spellStart"/>
      <w:r w:rsidRPr="00FA374F">
        <w:rPr>
          <w:rFonts w:ascii="Arial" w:hAnsi="Arial" w:cs="Arial"/>
          <w:sz w:val="20"/>
          <w:szCs w:val="20"/>
        </w:rPr>
        <w:t>Möller</w:t>
      </w:r>
      <w:proofErr w:type="spellEnd"/>
      <w:r w:rsidRPr="00FA374F">
        <w:rPr>
          <w:rFonts w:ascii="Arial" w:hAnsi="Arial" w:cs="Arial"/>
          <w:sz w:val="20"/>
          <w:szCs w:val="20"/>
        </w:rPr>
        <w:t xml:space="preserve"> T, </w:t>
      </w:r>
      <w:proofErr w:type="spellStart"/>
      <w:r w:rsidRPr="00FA374F">
        <w:rPr>
          <w:rFonts w:ascii="Arial" w:hAnsi="Arial" w:cs="Arial"/>
          <w:sz w:val="20"/>
          <w:szCs w:val="20"/>
        </w:rPr>
        <w:t>Perfekt</w:t>
      </w:r>
      <w:proofErr w:type="spellEnd"/>
      <w:r w:rsidRPr="00FA374F">
        <w:rPr>
          <w:rFonts w:ascii="Arial" w:hAnsi="Arial" w:cs="Arial"/>
          <w:sz w:val="20"/>
          <w:szCs w:val="20"/>
        </w:rPr>
        <w:t xml:space="preserve"> R. Carcinoma of the parotid and submandibular glands - A study of survival in 2465 patients. Oral </w:t>
      </w:r>
      <w:proofErr w:type="spellStart"/>
      <w:r w:rsidRPr="00FA374F">
        <w:rPr>
          <w:rFonts w:ascii="Arial" w:hAnsi="Arial" w:cs="Arial"/>
          <w:sz w:val="20"/>
          <w:szCs w:val="20"/>
        </w:rPr>
        <w:t>Oncol</w:t>
      </w:r>
      <w:proofErr w:type="spellEnd"/>
      <w:r w:rsidRPr="00FA374F">
        <w:rPr>
          <w:rFonts w:ascii="Arial" w:hAnsi="Arial" w:cs="Arial"/>
          <w:sz w:val="20"/>
          <w:szCs w:val="20"/>
        </w:rPr>
        <w:t xml:space="preserve">. 2002;38(7):706–13. </w:t>
      </w:r>
    </w:p>
    <w:p w:rsidR="00EF74A8" w:rsidRPr="00FA374F" w:rsidRDefault="00EF74A8" w:rsidP="00EF74A8">
      <w:pPr>
        <w:widowControl w:val="0"/>
        <w:autoSpaceDE w:val="0"/>
        <w:autoSpaceDN w:val="0"/>
        <w:adjustRightInd w:val="0"/>
        <w:spacing w:after="0" w:line="240" w:lineRule="auto"/>
        <w:rPr>
          <w:rFonts w:ascii="Arial" w:hAnsi="Arial" w:cs="Arial"/>
          <w:sz w:val="20"/>
          <w:szCs w:val="20"/>
        </w:rPr>
      </w:pPr>
    </w:p>
    <w:p w:rsidR="00EF74A8" w:rsidRDefault="00EF74A8" w:rsidP="00F85363">
      <w:pPr>
        <w:pStyle w:val="HTMLPreformatted"/>
        <w:shd w:val="clear" w:color="auto" w:fill="FFFFFF"/>
        <w:spacing w:line="360" w:lineRule="auto"/>
        <w:jc w:val="both"/>
        <w:rPr>
          <w:rFonts w:ascii="Arial" w:hAnsi="Arial" w:cs="Arial"/>
          <w:sz w:val="22"/>
          <w:szCs w:val="22"/>
        </w:rPr>
      </w:pPr>
    </w:p>
    <w:p w:rsidR="00F85363" w:rsidRPr="006312C7" w:rsidRDefault="00F85363" w:rsidP="007223E4">
      <w:pPr>
        <w:widowControl w:val="0"/>
        <w:autoSpaceDE w:val="0"/>
        <w:autoSpaceDN w:val="0"/>
        <w:adjustRightInd w:val="0"/>
        <w:spacing w:after="0" w:line="360" w:lineRule="auto"/>
        <w:jc w:val="both"/>
        <w:rPr>
          <w:rFonts w:ascii="Times New Roman" w:hAnsi="Times New Roman"/>
          <w:sz w:val="24"/>
          <w:szCs w:val="24"/>
        </w:rPr>
      </w:pPr>
    </w:p>
    <w:p w:rsidR="000175E1" w:rsidRPr="00B704F4" w:rsidRDefault="000175E1" w:rsidP="00965CFA">
      <w:pPr>
        <w:pStyle w:val="HTMLPreformatted"/>
        <w:shd w:val="clear" w:color="auto" w:fill="FFFFFF"/>
        <w:spacing w:line="360" w:lineRule="auto"/>
        <w:jc w:val="both"/>
        <w:rPr>
          <w:rFonts w:ascii="Arial" w:hAnsi="Arial" w:cs="Arial"/>
          <w:sz w:val="22"/>
          <w:szCs w:val="22"/>
        </w:rPr>
      </w:pPr>
    </w:p>
    <w:p w:rsidR="00B704F4" w:rsidRPr="00B704F4" w:rsidRDefault="00B704F4" w:rsidP="00965CFA">
      <w:pPr>
        <w:pStyle w:val="HTMLPreformatted"/>
        <w:shd w:val="clear" w:color="auto" w:fill="FFFFFF"/>
        <w:spacing w:line="360" w:lineRule="auto"/>
        <w:jc w:val="both"/>
        <w:rPr>
          <w:rFonts w:ascii="Arial" w:hAnsi="Arial" w:cs="Arial"/>
          <w:sz w:val="22"/>
          <w:szCs w:val="22"/>
        </w:rPr>
      </w:pPr>
    </w:p>
    <w:p w:rsidR="00965CFA" w:rsidRDefault="00965CFA" w:rsidP="00965CFA">
      <w:pPr>
        <w:pStyle w:val="HTMLPreformatted"/>
        <w:shd w:val="clear" w:color="auto" w:fill="FFFFFF"/>
        <w:spacing w:line="360" w:lineRule="auto"/>
        <w:jc w:val="both"/>
        <w:rPr>
          <w:rFonts w:ascii="Arial" w:hAnsi="Arial" w:cs="Arial"/>
          <w:color w:val="212121"/>
          <w:sz w:val="22"/>
          <w:szCs w:val="22"/>
        </w:rPr>
      </w:pPr>
    </w:p>
    <w:p w:rsidR="001D448A" w:rsidRDefault="001D448A" w:rsidP="00965CFA">
      <w:pPr>
        <w:pStyle w:val="HTMLPreformatted"/>
        <w:shd w:val="clear" w:color="auto" w:fill="FFFFFF"/>
        <w:spacing w:line="360" w:lineRule="auto"/>
        <w:jc w:val="both"/>
        <w:rPr>
          <w:rFonts w:ascii="Arial" w:hAnsi="Arial" w:cs="Arial"/>
          <w:color w:val="212121"/>
          <w:sz w:val="22"/>
          <w:szCs w:val="22"/>
        </w:rPr>
      </w:pPr>
    </w:p>
    <w:p w:rsidR="001D448A" w:rsidRDefault="001D448A"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114394" w:rsidRDefault="00114394"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4440CA" w:rsidRDefault="004440CA" w:rsidP="00965CFA">
      <w:pPr>
        <w:pStyle w:val="HTMLPreformatted"/>
        <w:shd w:val="clear" w:color="auto" w:fill="FFFFFF"/>
        <w:spacing w:line="360" w:lineRule="auto"/>
        <w:jc w:val="both"/>
        <w:rPr>
          <w:rFonts w:ascii="Arial" w:hAnsi="Arial" w:cs="Arial"/>
          <w:color w:val="212121"/>
          <w:sz w:val="22"/>
          <w:szCs w:val="22"/>
        </w:rPr>
      </w:pPr>
    </w:p>
    <w:p w:rsidR="00BF5AEF" w:rsidRDefault="00BF5AEF" w:rsidP="00965CFA">
      <w:pPr>
        <w:pStyle w:val="HTMLPreformatted"/>
        <w:shd w:val="clear" w:color="auto" w:fill="FFFFFF"/>
        <w:spacing w:line="360" w:lineRule="auto"/>
        <w:jc w:val="both"/>
        <w:rPr>
          <w:rFonts w:ascii="Arial" w:hAnsi="Arial" w:cs="Arial"/>
          <w:color w:val="212121"/>
          <w:sz w:val="22"/>
          <w:szCs w:val="22"/>
        </w:rPr>
      </w:pPr>
    </w:p>
    <w:p w:rsidR="00BF5AEF" w:rsidRDefault="00BF5AEF" w:rsidP="00965CFA">
      <w:pPr>
        <w:pStyle w:val="HTMLPreformatted"/>
        <w:shd w:val="clear" w:color="auto" w:fill="FFFFFF"/>
        <w:spacing w:line="360" w:lineRule="auto"/>
        <w:jc w:val="both"/>
        <w:rPr>
          <w:rFonts w:ascii="Arial" w:hAnsi="Arial" w:cs="Arial"/>
          <w:color w:val="212121"/>
          <w:sz w:val="22"/>
          <w:szCs w:val="22"/>
        </w:rPr>
      </w:pPr>
    </w:p>
    <w:p w:rsidR="00F37670" w:rsidRDefault="00F37670" w:rsidP="00965CFA">
      <w:pPr>
        <w:pStyle w:val="HTMLPreformatted"/>
        <w:shd w:val="clear" w:color="auto" w:fill="FFFFFF"/>
        <w:spacing w:line="360" w:lineRule="auto"/>
        <w:jc w:val="both"/>
        <w:rPr>
          <w:rFonts w:ascii="Arial" w:hAnsi="Arial" w:cs="Arial"/>
          <w:color w:val="212121"/>
          <w:sz w:val="22"/>
          <w:szCs w:val="22"/>
        </w:rPr>
      </w:pPr>
    </w:p>
    <w:p w:rsidR="00BF1E4D" w:rsidRDefault="00BF1E4D" w:rsidP="00A41A60">
      <w:pPr>
        <w:pStyle w:val="Default"/>
        <w:jc w:val="both"/>
        <w:rPr>
          <w:rFonts w:ascii="Arial" w:hAnsi="Arial" w:cs="Arial"/>
          <w:b/>
          <w:sz w:val="20"/>
          <w:szCs w:val="20"/>
        </w:rPr>
      </w:pPr>
    </w:p>
    <w:p w:rsidR="00A41A60" w:rsidRPr="00CC28B8" w:rsidRDefault="00676075" w:rsidP="00A41A60">
      <w:pPr>
        <w:pStyle w:val="Default"/>
        <w:jc w:val="both"/>
        <w:rPr>
          <w:rFonts w:ascii="Arial" w:hAnsi="Arial" w:cs="Arial"/>
          <w:color w:val="auto"/>
          <w:sz w:val="20"/>
          <w:szCs w:val="20"/>
        </w:rPr>
      </w:pPr>
      <w:r w:rsidRPr="00CC28B8">
        <w:rPr>
          <w:rFonts w:ascii="Arial" w:hAnsi="Arial" w:cs="Arial"/>
          <w:b/>
          <w:color w:val="auto"/>
          <w:sz w:val="20"/>
          <w:szCs w:val="20"/>
        </w:rPr>
        <w:t>Table 1:</w:t>
      </w:r>
      <w:r w:rsidRPr="00CC28B8">
        <w:rPr>
          <w:rFonts w:ascii="Arial" w:hAnsi="Arial" w:cs="Arial"/>
          <w:color w:val="auto"/>
          <w:sz w:val="20"/>
          <w:szCs w:val="20"/>
        </w:rPr>
        <w:t xml:space="preserve"> Histological subtypes of salivary gland tumors according to location. Values are presented by absolute number (n) and percentage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993"/>
        <w:gridCol w:w="1045"/>
        <w:gridCol w:w="1081"/>
        <w:gridCol w:w="957"/>
      </w:tblGrid>
      <w:tr w:rsidR="00874DE9" w:rsidRPr="00FC2F9D" w:rsidTr="00FC2F9D">
        <w:tc>
          <w:tcPr>
            <w:tcW w:w="3369" w:type="dxa"/>
            <w:vAlign w:val="center"/>
          </w:tcPr>
          <w:p w:rsidR="00874DE9" w:rsidRPr="00FC2F9D" w:rsidRDefault="00381613" w:rsidP="00FC2F9D">
            <w:pPr>
              <w:pStyle w:val="Default"/>
              <w:spacing w:before="40" w:after="40"/>
              <w:jc w:val="center"/>
              <w:rPr>
                <w:rFonts w:ascii="Arial" w:hAnsi="Arial" w:cs="Arial"/>
                <w:b/>
                <w:sz w:val="20"/>
                <w:szCs w:val="20"/>
              </w:rPr>
            </w:pPr>
            <w:r w:rsidRPr="00FC2F9D">
              <w:rPr>
                <w:rFonts w:ascii="Arial" w:hAnsi="Arial" w:cs="Arial"/>
                <w:b/>
                <w:sz w:val="20"/>
                <w:szCs w:val="20"/>
              </w:rPr>
              <w:t>H</w:t>
            </w:r>
            <w:r w:rsidR="00F6717B" w:rsidRPr="00FC2F9D">
              <w:rPr>
                <w:rFonts w:ascii="Arial" w:hAnsi="Arial" w:cs="Arial"/>
                <w:b/>
                <w:sz w:val="20"/>
                <w:szCs w:val="20"/>
              </w:rPr>
              <w:t>i</w:t>
            </w:r>
            <w:r w:rsidRPr="00FC2F9D">
              <w:rPr>
                <w:rFonts w:ascii="Arial" w:hAnsi="Arial" w:cs="Arial"/>
                <w:b/>
                <w:sz w:val="20"/>
                <w:szCs w:val="20"/>
              </w:rPr>
              <w:t xml:space="preserve">stological </w:t>
            </w:r>
            <w:r w:rsidR="00D95E93" w:rsidRPr="00FC2F9D">
              <w:rPr>
                <w:rFonts w:ascii="Arial" w:hAnsi="Arial" w:cs="Arial"/>
                <w:b/>
                <w:sz w:val="20"/>
                <w:szCs w:val="20"/>
              </w:rPr>
              <w:t>sub</w:t>
            </w:r>
            <w:r w:rsidRPr="00FC2F9D">
              <w:rPr>
                <w:rFonts w:ascii="Arial" w:hAnsi="Arial" w:cs="Arial"/>
                <w:b/>
                <w:sz w:val="20"/>
                <w:szCs w:val="20"/>
              </w:rPr>
              <w:t>type</w:t>
            </w:r>
          </w:p>
        </w:tc>
        <w:tc>
          <w:tcPr>
            <w:tcW w:w="1275" w:type="dxa"/>
            <w:vAlign w:val="center"/>
          </w:tcPr>
          <w:p w:rsidR="00874DE9" w:rsidRPr="00FC2F9D" w:rsidRDefault="00D2675B" w:rsidP="00FC2F9D">
            <w:pPr>
              <w:pStyle w:val="Default"/>
              <w:spacing w:before="40" w:after="40"/>
              <w:jc w:val="center"/>
              <w:rPr>
                <w:rFonts w:ascii="Arial" w:hAnsi="Arial" w:cs="Arial"/>
                <w:b/>
                <w:sz w:val="16"/>
                <w:szCs w:val="16"/>
              </w:rPr>
            </w:pPr>
            <w:r w:rsidRPr="00FC2F9D">
              <w:rPr>
                <w:rFonts w:ascii="Arial" w:hAnsi="Arial" w:cs="Arial"/>
                <w:b/>
                <w:sz w:val="16"/>
                <w:szCs w:val="16"/>
              </w:rPr>
              <w:t>Total</w:t>
            </w:r>
          </w:p>
          <w:p w:rsidR="000D2BBB" w:rsidRPr="00FC2F9D" w:rsidRDefault="00D2675B" w:rsidP="00FC2F9D">
            <w:pPr>
              <w:pStyle w:val="Default"/>
              <w:spacing w:before="40" w:after="40"/>
              <w:jc w:val="center"/>
              <w:rPr>
                <w:rFonts w:ascii="Arial" w:hAnsi="Arial" w:cs="Arial"/>
                <w:b/>
                <w:sz w:val="16"/>
                <w:szCs w:val="16"/>
              </w:rPr>
            </w:pPr>
            <w:r w:rsidRPr="00FC2F9D">
              <w:rPr>
                <w:rFonts w:ascii="Arial" w:hAnsi="Arial" w:cs="Arial"/>
                <w:b/>
                <w:sz w:val="16"/>
                <w:szCs w:val="16"/>
              </w:rPr>
              <w:t>n (%)</w:t>
            </w:r>
          </w:p>
        </w:tc>
        <w:tc>
          <w:tcPr>
            <w:tcW w:w="993" w:type="dxa"/>
            <w:vAlign w:val="center"/>
          </w:tcPr>
          <w:p w:rsidR="00470AF3" w:rsidRPr="00FC2F9D" w:rsidRDefault="00D2675B" w:rsidP="00FC2F9D">
            <w:pPr>
              <w:pStyle w:val="Default"/>
              <w:spacing w:before="40" w:after="40"/>
              <w:jc w:val="center"/>
              <w:rPr>
                <w:rFonts w:ascii="Arial" w:hAnsi="Arial" w:cs="Arial"/>
                <w:b/>
                <w:sz w:val="16"/>
                <w:szCs w:val="16"/>
              </w:rPr>
            </w:pPr>
            <w:r w:rsidRPr="00FC2F9D">
              <w:rPr>
                <w:rFonts w:ascii="Arial" w:hAnsi="Arial" w:cs="Arial"/>
                <w:b/>
                <w:sz w:val="16"/>
                <w:szCs w:val="16"/>
              </w:rPr>
              <w:t>Parotid</w:t>
            </w:r>
          </w:p>
          <w:p w:rsidR="00874DE9" w:rsidRPr="00FC2F9D" w:rsidRDefault="00D2675B" w:rsidP="00FC2F9D">
            <w:pPr>
              <w:pStyle w:val="Default"/>
              <w:spacing w:before="40" w:after="40"/>
              <w:jc w:val="center"/>
              <w:rPr>
                <w:rFonts w:ascii="Arial" w:hAnsi="Arial" w:cs="Arial"/>
                <w:b/>
                <w:sz w:val="16"/>
                <w:szCs w:val="16"/>
              </w:rPr>
            </w:pPr>
            <w:r w:rsidRPr="00FC2F9D">
              <w:rPr>
                <w:rFonts w:ascii="Arial" w:hAnsi="Arial" w:cs="Arial"/>
                <w:b/>
                <w:sz w:val="16"/>
                <w:szCs w:val="16"/>
              </w:rPr>
              <w:t>n</w:t>
            </w:r>
          </w:p>
        </w:tc>
        <w:tc>
          <w:tcPr>
            <w:tcW w:w="1045" w:type="dxa"/>
            <w:vAlign w:val="center"/>
          </w:tcPr>
          <w:p w:rsidR="00470AF3" w:rsidRPr="00FC2F9D" w:rsidRDefault="00C35BEB" w:rsidP="00FC2F9D">
            <w:pPr>
              <w:pStyle w:val="Default"/>
              <w:spacing w:before="40" w:after="40"/>
              <w:jc w:val="center"/>
              <w:rPr>
                <w:rFonts w:ascii="Arial" w:hAnsi="Arial" w:cs="Arial"/>
                <w:b/>
                <w:sz w:val="16"/>
                <w:szCs w:val="16"/>
              </w:rPr>
            </w:pPr>
            <w:r w:rsidRPr="00FC2F9D">
              <w:rPr>
                <w:rFonts w:ascii="Arial" w:hAnsi="Arial" w:cs="Arial"/>
                <w:b/>
                <w:sz w:val="16"/>
                <w:szCs w:val="16"/>
              </w:rPr>
              <w:t>Submandibular</w:t>
            </w:r>
            <w:r w:rsidR="00D2675B" w:rsidRPr="00FC2F9D">
              <w:rPr>
                <w:rFonts w:ascii="Arial" w:hAnsi="Arial" w:cs="Arial"/>
                <w:b/>
                <w:sz w:val="16"/>
                <w:szCs w:val="16"/>
              </w:rPr>
              <w:t xml:space="preserve">  </w:t>
            </w:r>
            <w:r w:rsidR="00D2675B" w:rsidRPr="00FC2F9D">
              <w:rPr>
                <w:rFonts w:ascii="Arial" w:hAnsi="Arial" w:cs="Arial"/>
                <w:b/>
                <w:sz w:val="16"/>
                <w:szCs w:val="16"/>
              </w:rPr>
              <w:br/>
              <w:t>n</w:t>
            </w:r>
          </w:p>
        </w:tc>
        <w:tc>
          <w:tcPr>
            <w:tcW w:w="1081" w:type="dxa"/>
            <w:vAlign w:val="center"/>
          </w:tcPr>
          <w:p w:rsidR="00874DE9" w:rsidRPr="00FC2F9D" w:rsidRDefault="00D2675B" w:rsidP="00FC2F9D">
            <w:pPr>
              <w:pStyle w:val="Default"/>
              <w:spacing w:before="40" w:after="40"/>
              <w:jc w:val="center"/>
              <w:rPr>
                <w:rFonts w:ascii="Arial" w:hAnsi="Arial" w:cs="Arial"/>
                <w:b/>
                <w:sz w:val="16"/>
                <w:szCs w:val="16"/>
              </w:rPr>
            </w:pPr>
            <w:r w:rsidRPr="00FC2F9D">
              <w:rPr>
                <w:rFonts w:ascii="Arial" w:hAnsi="Arial" w:cs="Arial"/>
                <w:b/>
                <w:sz w:val="16"/>
                <w:szCs w:val="16"/>
              </w:rPr>
              <w:t>Sublingual</w:t>
            </w:r>
          </w:p>
          <w:p w:rsidR="00470AF3" w:rsidRPr="00FC2F9D" w:rsidRDefault="00D2675B" w:rsidP="00FC2F9D">
            <w:pPr>
              <w:pStyle w:val="Default"/>
              <w:spacing w:before="40" w:after="40"/>
              <w:jc w:val="center"/>
              <w:rPr>
                <w:rFonts w:ascii="Arial" w:hAnsi="Arial" w:cs="Arial"/>
                <w:b/>
                <w:sz w:val="16"/>
                <w:szCs w:val="16"/>
              </w:rPr>
            </w:pPr>
            <w:r w:rsidRPr="00FC2F9D">
              <w:rPr>
                <w:rFonts w:ascii="Arial" w:hAnsi="Arial" w:cs="Arial"/>
                <w:b/>
                <w:sz w:val="16"/>
                <w:szCs w:val="16"/>
              </w:rPr>
              <w:t>n</w:t>
            </w:r>
          </w:p>
        </w:tc>
        <w:tc>
          <w:tcPr>
            <w:tcW w:w="957" w:type="dxa"/>
            <w:vAlign w:val="center"/>
          </w:tcPr>
          <w:p w:rsidR="00874DE9" w:rsidRPr="00FC2F9D" w:rsidRDefault="00D2675B" w:rsidP="00FC2F9D">
            <w:pPr>
              <w:pStyle w:val="Default"/>
              <w:spacing w:before="40" w:after="40"/>
              <w:jc w:val="center"/>
              <w:rPr>
                <w:rFonts w:ascii="Arial" w:hAnsi="Arial" w:cs="Arial"/>
                <w:b/>
                <w:sz w:val="16"/>
                <w:szCs w:val="16"/>
              </w:rPr>
            </w:pPr>
            <w:r w:rsidRPr="00FC2F9D">
              <w:rPr>
                <w:rFonts w:ascii="Arial" w:hAnsi="Arial" w:cs="Arial"/>
                <w:b/>
                <w:i/>
                <w:sz w:val="16"/>
                <w:szCs w:val="16"/>
              </w:rPr>
              <w:t>Minor</w:t>
            </w:r>
            <w:r w:rsidRPr="00FC2F9D">
              <w:rPr>
                <w:rFonts w:ascii="Arial" w:hAnsi="Arial" w:cs="Arial"/>
                <w:b/>
                <w:sz w:val="16"/>
                <w:szCs w:val="16"/>
              </w:rPr>
              <w:t xml:space="preserve"> SG</w:t>
            </w:r>
          </w:p>
          <w:p w:rsidR="00470AF3" w:rsidRPr="00FC2F9D" w:rsidRDefault="00D2675B" w:rsidP="00FC2F9D">
            <w:pPr>
              <w:pStyle w:val="Default"/>
              <w:spacing w:before="40" w:after="40"/>
              <w:jc w:val="center"/>
              <w:rPr>
                <w:rFonts w:ascii="Arial" w:hAnsi="Arial" w:cs="Arial"/>
                <w:b/>
                <w:sz w:val="16"/>
                <w:szCs w:val="16"/>
              </w:rPr>
            </w:pPr>
            <w:r w:rsidRPr="00FC2F9D">
              <w:rPr>
                <w:rFonts w:ascii="Arial" w:hAnsi="Arial" w:cs="Arial"/>
                <w:b/>
                <w:sz w:val="16"/>
                <w:szCs w:val="16"/>
              </w:rPr>
              <w:t>n</w:t>
            </w:r>
          </w:p>
        </w:tc>
      </w:tr>
      <w:tr w:rsidR="00381613" w:rsidRPr="00FC2F9D" w:rsidTr="00FC2F9D">
        <w:tc>
          <w:tcPr>
            <w:tcW w:w="8720" w:type="dxa"/>
            <w:gridSpan w:val="6"/>
            <w:vAlign w:val="center"/>
          </w:tcPr>
          <w:p w:rsidR="00381613" w:rsidRPr="00FC2F9D" w:rsidRDefault="00381613" w:rsidP="00FC2F9D">
            <w:pPr>
              <w:pStyle w:val="Default"/>
              <w:spacing w:before="40" w:after="40"/>
              <w:rPr>
                <w:rFonts w:ascii="Arial" w:hAnsi="Arial" w:cs="Arial"/>
                <w:b/>
                <w:sz w:val="18"/>
                <w:szCs w:val="18"/>
              </w:rPr>
            </w:pPr>
            <w:r w:rsidRPr="00FC2F9D">
              <w:rPr>
                <w:rFonts w:ascii="Arial" w:hAnsi="Arial" w:cs="Arial"/>
                <w:b/>
                <w:sz w:val="18"/>
                <w:szCs w:val="18"/>
              </w:rPr>
              <w:t>Primary benign epithelial tumors</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Pleomorphic adenoma</w:t>
            </w:r>
          </w:p>
        </w:tc>
        <w:tc>
          <w:tcPr>
            <w:tcW w:w="1275" w:type="dxa"/>
          </w:tcPr>
          <w:p w:rsidR="00874DE9" w:rsidRPr="00FC2F9D" w:rsidRDefault="00874DE9" w:rsidP="00FC2F9D">
            <w:pPr>
              <w:pStyle w:val="Default"/>
              <w:spacing w:before="40" w:after="40"/>
              <w:jc w:val="center"/>
              <w:rPr>
                <w:rFonts w:ascii="Arial" w:hAnsi="Arial" w:cs="Arial"/>
                <w:sz w:val="18"/>
                <w:szCs w:val="18"/>
              </w:rPr>
            </w:pPr>
            <w:r w:rsidRPr="00FC2F9D">
              <w:rPr>
                <w:rFonts w:ascii="Arial" w:hAnsi="Arial" w:cs="Arial"/>
                <w:sz w:val="18"/>
                <w:szCs w:val="18"/>
              </w:rPr>
              <w:t>148</w:t>
            </w:r>
            <w:r w:rsidR="002443BA" w:rsidRPr="00FC2F9D">
              <w:rPr>
                <w:rFonts w:ascii="Arial" w:hAnsi="Arial" w:cs="Arial"/>
                <w:sz w:val="18"/>
                <w:szCs w:val="18"/>
              </w:rPr>
              <w:t xml:space="preserve"> (50.2%)</w:t>
            </w:r>
          </w:p>
        </w:tc>
        <w:tc>
          <w:tcPr>
            <w:tcW w:w="993" w:type="dxa"/>
          </w:tcPr>
          <w:p w:rsidR="00874DE9" w:rsidRPr="00FC2F9D" w:rsidRDefault="00874DE9" w:rsidP="00FC2F9D">
            <w:pPr>
              <w:pStyle w:val="Default"/>
              <w:spacing w:before="40" w:after="40"/>
              <w:jc w:val="center"/>
              <w:rPr>
                <w:rFonts w:ascii="Arial" w:hAnsi="Arial" w:cs="Arial"/>
                <w:sz w:val="18"/>
                <w:szCs w:val="18"/>
              </w:rPr>
            </w:pPr>
            <w:r w:rsidRPr="00FC2F9D">
              <w:rPr>
                <w:rFonts w:ascii="Arial" w:hAnsi="Arial" w:cs="Arial"/>
                <w:sz w:val="18"/>
                <w:szCs w:val="18"/>
              </w:rPr>
              <w:t>121</w:t>
            </w:r>
          </w:p>
        </w:tc>
        <w:tc>
          <w:tcPr>
            <w:tcW w:w="1045" w:type="dxa"/>
          </w:tcPr>
          <w:p w:rsidR="00874DE9" w:rsidRPr="00FC2F9D" w:rsidRDefault="00874DE9" w:rsidP="00FC2F9D">
            <w:pPr>
              <w:pStyle w:val="Default"/>
              <w:spacing w:before="40" w:after="40"/>
              <w:jc w:val="center"/>
              <w:rPr>
                <w:rFonts w:ascii="Arial" w:hAnsi="Arial" w:cs="Arial"/>
                <w:sz w:val="18"/>
                <w:szCs w:val="18"/>
              </w:rPr>
            </w:pPr>
            <w:r w:rsidRPr="00FC2F9D">
              <w:rPr>
                <w:rFonts w:ascii="Arial" w:hAnsi="Arial" w:cs="Arial"/>
                <w:sz w:val="18"/>
                <w:szCs w:val="18"/>
              </w:rPr>
              <w:t>13</w:t>
            </w:r>
          </w:p>
        </w:tc>
        <w:tc>
          <w:tcPr>
            <w:tcW w:w="1081" w:type="dxa"/>
          </w:tcPr>
          <w:p w:rsidR="00874DE9" w:rsidRPr="00FC2F9D" w:rsidRDefault="00874DE9"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957" w:type="dxa"/>
          </w:tcPr>
          <w:p w:rsidR="00874DE9" w:rsidRPr="00FC2F9D" w:rsidRDefault="00874DE9" w:rsidP="00FC2F9D">
            <w:pPr>
              <w:pStyle w:val="Default"/>
              <w:spacing w:before="40" w:after="40"/>
              <w:jc w:val="center"/>
              <w:rPr>
                <w:rFonts w:ascii="Arial" w:hAnsi="Arial" w:cs="Arial"/>
                <w:sz w:val="18"/>
                <w:szCs w:val="18"/>
              </w:rPr>
            </w:pPr>
            <w:r w:rsidRPr="00FC2F9D">
              <w:rPr>
                <w:rFonts w:ascii="Arial" w:hAnsi="Arial" w:cs="Arial"/>
                <w:sz w:val="18"/>
                <w:szCs w:val="18"/>
              </w:rPr>
              <w:t>12</w:t>
            </w:r>
          </w:p>
        </w:tc>
      </w:tr>
      <w:tr w:rsidR="00874DE9" w:rsidRPr="00FC2F9D" w:rsidTr="00FC2F9D">
        <w:tc>
          <w:tcPr>
            <w:tcW w:w="3369" w:type="dxa"/>
            <w:vAlign w:val="center"/>
          </w:tcPr>
          <w:p w:rsidR="00874DE9" w:rsidRPr="00FC2F9D" w:rsidRDefault="00874DE9" w:rsidP="00FC2F9D">
            <w:pPr>
              <w:pStyle w:val="Default"/>
              <w:spacing w:before="40" w:after="40"/>
              <w:rPr>
                <w:rFonts w:ascii="Arial" w:hAnsi="Arial" w:cs="Arial"/>
                <w:sz w:val="18"/>
                <w:szCs w:val="18"/>
              </w:rPr>
            </w:pPr>
            <w:r w:rsidRPr="00FC2F9D">
              <w:rPr>
                <w:rFonts w:ascii="Arial" w:hAnsi="Arial" w:cs="Arial"/>
                <w:sz w:val="18"/>
                <w:szCs w:val="18"/>
              </w:rPr>
              <w:t>Warthin</w:t>
            </w:r>
            <w:r w:rsidR="00ED3D4F" w:rsidRPr="00FC2F9D">
              <w:rPr>
                <w:rFonts w:ascii="Arial" w:hAnsi="Arial" w:cs="Arial"/>
                <w:sz w:val="18"/>
                <w:szCs w:val="18"/>
              </w:rPr>
              <w:t xml:space="preserve"> tumor</w:t>
            </w:r>
          </w:p>
        </w:tc>
        <w:tc>
          <w:tcPr>
            <w:tcW w:w="1275" w:type="dxa"/>
          </w:tcPr>
          <w:p w:rsidR="00874DE9" w:rsidRPr="00FC2F9D" w:rsidRDefault="00961006" w:rsidP="00FC2F9D">
            <w:pPr>
              <w:pStyle w:val="Default"/>
              <w:spacing w:before="40" w:after="40"/>
              <w:jc w:val="center"/>
              <w:rPr>
                <w:rFonts w:ascii="Arial" w:hAnsi="Arial" w:cs="Arial"/>
                <w:sz w:val="18"/>
                <w:szCs w:val="18"/>
              </w:rPr>
            </w:pPr>
            <w:r w:rsidRPr="00FC2F9D">
              <w:rPr>
                <w:rFonts w:ascii="Arial" w:hAnsi="Arial" w:cs="Arial"/>
                <w:sz w:val="18"/>
                <w:szCs w:val="18"/>
              </w:rPr>
              <w:t>61</w:t>
            </w:r>
            <w:r w:rsidR="00227756" w:rsidRPr="00FC2F9D">
              <w:rPr>
                <w:rFonts w:ascii="Arial" w:hAnsi="Arial" w:cs="Arial"/>
                <w:sz w:val="18"/>
                <w:szCs w:val="18"/>
              </w:rPr>
              <w:t xml:space="preserve"> (20.</w:t>
            </w:r>
            <w:r w:rsidR="002443BA" w:rsidRPr="00FC2F9D">
              <w:rPr>
                <w:rFonts w:ascii="Arial" w:hAnsi="Arial" w:cs="Arial"/>
                <w:sz w:val="18"/>
                <w:szCs w:val="18"/>
              </w:rPr>
              <w:t>7%)</w:t>
            </w:r>
          </w:p>
        </w:tc>
        <w:tc>
          <w:tcPr>
            <w:tcW w:w="993" w:type="dxa"/>
          </w:tcPr>
          <w:p w:rsidR="00874DE9" w:rsidRPr="00FC2F9D" w:rsidRDefault="003E42FB" w:rsidP="00FC2F9D">
            <w:pPr>
              <w:pStyle w:val="Default"/>
              <w:spacing w:before="40" w:after="40"/>
              <w:jc w:val="center"/>
              <w:rPr>
                <w:rFonts w:ascii="Arial" w:hAnsi="Arial" w:cs="Arial"/>
                <w:sz w:val="18"/>
                <w:szCs w:val="18"/>
              </w:rPr>
            </w:pPr>
            <w:r w:rsidRPr="00FC2F9D">
              <w:rPr>
                <w:rFonts w:ascii="Arial" w:hAnsi="Arial" w:cs="Arial"/>
                <w:sz w:val="18"/>
                <w:szCs w:val="18"/>
              </w:rPr>
              <w:t>59</w:t>
            </w:r>
          </w:p>
        </w:tc>
        <w:tc>
          <w:tcPr>
            <w:tcW w:w="1045" w:type="dxa"/>
          </w:tcPr>
          <w:p w:rsidR="00874DE9" w:rsidRPr="00FC2F9D" w:rsidRDefault="00961006"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Basal cell adenoma</w:t>
            </w:r>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9</w:t>
            </w:r>
            <w:r w:rsidR="002443BA" w:rsidRPr="00FC2F9D">
              <w:rPr>
                <w:rFonts w:ascii="Arial" w:hAnsi="Arial" w:cs="Arial"/>
                <w:sz w:val="18"/>
                <w:szCs w:val="18"/>
              </w:rPr>
              <w:t xml:space="preserve"> (3</w:t>
            </w:r>
            <w:r w:rsidR="001A70EF" w:rsidRPr="00FC2F9D">
              <w:rPr>
                <w:rFonts w:ascii="Arial" w:hAnsi="Arial" w:cs="Arial"/>
                <w:sz w:val="18"/>
                <w:szCs w:val="18"/>
              </w:rPr>
              <w:t>.1</w:t>
            </w:r>
            <w:r w:rsidR="002443BA" w:rsidRPr="00FC2F9D">
              <w:rPr>
                <w:rFonts w:ascii="Arial" w:hAnsi="Arial" w:cs="Arial"/>
                <w:sz w:val="18"/>
                <w:szCs w:val="18"/>
              </w:rPr>
              <w:t>%)</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7</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p>
        </w:tc>
      </w:tr>
      <w:tr w:rsidR="00874DE9" w:rsidRPr="00FC2F9D" w:rsidTr="00FC2F9D">
        <w:tc>
          <w:tcPr>
            <w:tcW w:w="3369" w:type="dxa"/>
            <w:vAlign w:val="center"/>
          </w:tcPr>
          <w:p w:rsidR="00874DE9" w:rsidRPr="00FC2F9D" w:rsidRDefault="00227756" w:rsidP="00FC2F9D">
            <w:pPr>
              <w:pStyle w:val="Default"/>
              <w:spacing w:before="40" w:after="40"/>
              <w:rPr>
                <w:rFonts w:ascii="Arial" w:hAnsi="Arial" w:cs="Arial"/>
                <w:sz w:val="18"/>
                <w:szCs w:val="18"/>
              </w:rPr>
            </w:pPr>
            <w:r w:rsidRPr="00FC2F9D">
              <w:rPr>
                <w:rFonts w:ascii="Arial" w:hAnsi="Arial" w:cs="Arial"/>
                <w:sz w:val="18"/>
                <w:szCs w:val="18"/>
              </w:rPr>
              <w:t>Myoepithelial</w:t>
            </w:r>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7</w:t>
            </w:r>
            <w:r w:rsidR="002443BA" w:rsidRPr="00FC2F9D">
              <w:rPr>
                <w:rFonts w:ascii="Arial" w:hAnsi="Arial" w:cs="Arial"/>
                <w:sz w:val="18"/>
                <w:szCs w:val="18"/>
              </w:rPr>
              <w:t xml:space="preserve"> (2.4%)</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4</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3</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proofErr w:type="spellStart"/>
            <w:r w:rsidRPr="00FC2F9D">
              <w:rPr>
                <w:rFonts w:ascii="Arial" w:hAnsi="Arial" w:cs="Arial"/>
                <w:sz w:val="18"/>
                <w:szCs w:val="18"/>
              </w:rPr>
              <w:t>Cystadenoma</w:t>
            </w:r>
            <w:proofErr w:type="spellEnd"/>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3</w:t>
            </w:r>
            <w:r w:rsidR="002443BA" w:rsidRPr="00FC2F9D">
              <w:rPr>
                <w:rFonts w:ascii="Arial" w:hAnsi="Arial" w:cs="Arial"/>
                <w:sz w:val="18"/>
                <w:szCs w:val="18"/>
              </w:rPr>
              <w:t xml:space="preserve"> (1%)</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r>
      <w:tr w:rsidR="00381613" w:rsidRPr="00FC2F9D" w:rsidTr="00FC2F9D">
        <w:tc>
          <w:tcPr>
            <w:tcW w:w="8720" w:type="dxa"/>
            <w:gridSpan w:val="6"/>
            <w:vAlign w:val="center"/>
          </w:tcPr>
          <w:p w:rsidR="00381613" w:rsidRPr="00FC2F9D" w:rsidRDefault="00381613" w:rsidP="00FC2F9D">
            <w:pPr>
              <w:pStyle w:val="Default"/>
              <w:spacing w:before="40" w:after="40"/>
              <w:rPr>
                <w:rFonts w:ascii="Arial" w:hAnsi="Arial" w:cs="Arial"/>
                <w:b/>
                <w:sz w:val="18"/>
                <w:szCs w:val="18"/>
              </w:rPr>
            </w:pPr>
            <w:r w:rsidRPr="00FC2F9D">
              <w:rPr>
                <w:rFonts w:ascii="Arial" w:hAnsi="Arial" w:cs="Arial"/>
                <w:b/>
                <w:sz w:val="18"/>
                <w:szCs w:val="18"/>
              </w:rPr>
              <w:t>Soft tissue tumors</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proofErr w:type="spellStart"/>
            <w:r w:rsidRPr="00FC2F9D">
              <w:rPr>
                <w:rFonts w:ascii="Arial" w:hAnsi="Arial" w:cs="Arial"/>
                <w:sz w:val="18"/>
                <w:szCs w:val="18"/>
              </w:rPr>
              <w:t>Lipoma</w:t>
            </w:r>
            <w:proofErr w:type="spellEnd"/>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4</w:t>
            </w:r>
            <w:r w:rsidR="002443BA" w:rsidRPr="00FC2F9D">
              <w:rPr>
                <w:rFonts w:ascii="Arial" w:hAnsi="Arial" w:cs="Arial"/>
                <w:sz w:val="18"/>
                <w:szCs w:val="18"/>
              </w:rPr>
              <w:t xml:space="preserve"> (1.4%)</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104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commentRangeStart w:id="1"/>
            <w:r w:rsidRPr="00FC2F9D">
              <w:rPr>
                <w:rFonts w:ascii="Arial" w:hAnsi="Arial" w:cs="Arial"/>
                <w:sz w:val="18"/>
                <w:szCs w:val="18"/>
              </w:rPr>
              <w:t>1</w:t>
            </w:r>
            <w:commentRangeEnd w:id="1"/>
            <w:r w:rsidR="0053435F">
              <w:rPr>
                <w:rStyle w:val="CommentReference"/>
                <w:rFonts w:cs="Times New Roman"/>
                <w:color w:val="auto"/>
              </w:rPr>
              <w:commentReference w:id="1"/>
            </w:r>
            <w:r w:rsidRPr="00FC2F9D">
              <w:rPr>
                <w:rFonts w:ascii="Arial" w:hAnsi="Arial" w:cs="Arial"/>
                <w:sz w:val="18"/>
                <w:szCs w:val="18"/>
              </w:rPr>
              <w:t>*</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proofErr w:type="spellStart"/>
            <w:r w:rsidRPr="00FC2F9D">
              <w:rPr>
                <w:rFonts w:ascii="Arial" w:hAnsi="Arial" w:cs="Arial"/>
                <w:sz w:val="18"/>
                <w:szCs w:val="18"/>
              </w:rPr>
              <w:t>Neurofibroma</w:t>
            </w:r>
            <w:proofErr w:type="spellEnd"/>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r w:rsidR="002443BA" w:rsidRPr="00FC2F9D">
              <w:rPr>
                <w:rFonts w:ascii="Arial" w:hAnsi="Arial" w:cs="Arial"/>
                <w:sz w:val="18"/>
                <w:szCs w:val="18"/>
              </w:rPr>
              <w:t xml:space="preserve"> (0.7%)</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Solitary fibrous tumor</w:t>
            </w:r>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r w:rsidR="002443BA" w:rsidRPr="00FC2F9D">
              <w:rPr>
                <w:rFonts w:ascii="Arial" w:hAnsi="Arial" w:cs="Arial"/>
                <w:sz w:val="18"/>
                <w:szCs w:val="18"/>
              </w:rPr>
              <w:t xml:space="preserve"> (0.3%)</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Spindle cell tumor, NOS</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0F1A37" w:rsidRPr="00FC2F9D" w:rsidTr="00FC2F9D">
        <w:tc>
          <w:tcPr>
            <w:tcW w:w="8720" w:type="dxa"/>
            <w:gridSpan w:val="6"/>
            <w:vAlign w:val="center"/>
          </w:tcPr>
          <w:p w:rsidR="000F1A37" w:rsidRPr="00FC2F9D" w:rsidRDefault="000F1A37" w:rsidP="00FC2F9D">
            <w:pPr>
              <w:pStyle w:val="Default"/>
              <w:spacing w:before="40" w:after="40"/>
              <w:jc w:val="both"/>
              <w:rPr>
                <w:rFonts w:ascii="Arial" w:hAnsi="Arial" w:cs="Arial"/>
                <w:b/>
                <w:sz w:val="18"/>
                <w:szCs w:val="18"/>
              </w:rPr>
            </w:pPr>
            <w:r w:rsidRPr="00FC2F9D">
              <w:rPr>
                <w:rFonts w:ascii="Arial" w:hAnsi="Arial" w:cs="Arial"/>
                <w:b/>
                <w:sz w:val="18"/>
                <w:szCs w:val="18"/>
              </w:rPr>
              <w:t>Primary malignant epithelial tumors</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Mucoepidermoid carcinoma</w:t>
            </w:r>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16</w:t>
            </w:r>
            <w:r w:rsidR="002443BA" w:rsidRPr="00FC2F9D">
              <w:rPr>
                <w:rFonts w:ascii="Arial" w:hAnsi="Arial" w:cs="Arial"/>
                <w:sz w:val="18"/>
                <w:szCs w:val="18"/>
              </w:rPr>
              <w:t xml:space="preserve"> (5.4%)</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5</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Adenoid cystic carcinoma</w:t>
            </w:r>
          </w:p>
        </w:tc>
        <w:tc>
          <w:tcPr>
            <w:tcW w:w="127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6</w:t>
            </w:r>
            <w:r w:rsidR="002443BA" w:rsidRPr="00FC2F9D">
              <w:rPr>
                <w:rFonts w:ascii="Arial" w:hAnsi="Arial" w:cs="Arial"/>
                <w:sz w:val="18"/>
                <w:szCs w:val="18"/>
              </w:rPr>
              <w:t xml:space="preserve"> (2</w:t>
            </w:r>
            <w:r w:rsidR="001A70EF" w:rsidRPr="00FC2F9D">
              <w:rPr>
                <w:rFonts w:ascii="Arial" w:hAnsi="Arial" w:cs="Arial"/>
                <w:sz w:val="18"/>
                <w:szCs w:val="18"/>
              </w:rPr>
              <w:t>.1</w:t>
            </w:r>
            <w:r w:rsidR="002443BA" w:rsidRPr="00FC2F9D">
              <w:rPr>
                <w:rFonts w:ascii="Arial" w:hAnsi="Arial" w:cs="Arial"/>
                <w:sz w:val="18"/>
                <w:szCs w:val="18"/>
              </w:rPr>
              <w:t>%)</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3</w:t>
            </w:r>
          </w:p>
        </w:tc>
        <w:tc>
          <w:tcPr>
            <w:tcW w:w="104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Acinic cell carcinoma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5 (1.7%)</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5</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Salivary duct carcinoma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4 (1.4%)</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3</w:t>
            </w:r>
          </w:p>
        </w:tc>
        <w:tc>
          <w:tcPr>
            <w:tcW w:w="1045"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Carcinoma ex-pleomorphic adenoma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3 (1%)</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Myoepithelial carcinoma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3 (1%)</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proofErr w:type="spellStart"/>
            <w:r w:rsidRPr="00FC2F9D">
              <w:rPr>
                <w:rFonts w:ascii="Arial" w:hAnsi="Arial" w:cs="Arial"/>
                <w:sz w:val="18"/>
                <w:szCs w:val="18"/>
              </w:rPr>
              <w:t>Neuroendocrine</w:t>
            </w:r>
            <w:proofErr w:type="spellEnd"/>
            <w:r w:rsidRPr="00FC2F9D">
              <w:rPr>
                <w:rFonts w:ascii="Arial" w:hAnsi="Arial" w:cs="Arial"/>
                <w:sz w:val="18"/>
                <w:szCs w:val="18"/>
              </w:rPr>
              <w:t xml:space="preserve"> carcinoma, small cell</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2 (0.7%)</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Epithelial myoepithelial carcinoma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5C2EB2" w:rsidP="00FC2F9D">
            <w:pPr>
              <w:pStyle w:val="Default"/>
              <w:spacing w:before="40" w:after="40"/>
              <w:rPr>
                <w:rFonts w:ascii="Arial" w:hAnsi="Arial" w:cs="Arial"/>
                <w:sz w:val="18"/>
                <w:szCs w:val="18"/>
                <w:lang w:val="pt-PT"/>
              </w:rPr>
            </w:pPr>
            <w:r w:rsidRPr="00FC2F9D">
              <w:rPr>
                <w:rFonts w:ascii="Arial" w:hAnsi="Arial" w:cs="Arial"/>
                <w:sz w:val="18"/>
                <w:szCs w:val="18"/>
                <w:lang w:val="pt-PT"/>
              </w:rPr>
              <w:t>S</w:t>
            </w:r>
            <w:r w:rsidR="00ED3D4F" w:rsidRPr="00FC2F9D">
              <w:rPr>
                <w:rFonts w:ascii="Arial" w:hAnsi="Arial" w:cs="Arial"/>
                <w:sz w:val="18"/>
                <w:szCs w:val="18"/>
                <w:lang w:val="pt-PT"/>
              </w:rPr>
              <w:t>ecretory carcinoma</w:t>
            </w:r>
            <w:r w:rsidR="00F6717B" w:rsidRPr="00FC2F9D">
              <w:rPr>
                <w:rFonts w:ascii="Arial" w:hAnsi="Arial" w:cs="Arial"/>
                <w:sz w:val="18"/>
                <w:szCs w:val="18"/>
                <w:lang w:val="pt-PT"/>
              </w:rPr>
              <w:t xml:space="preserve"> </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Basal cell carcinoma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proofErr w:type="spellStart"/>
            <w:r w:rsidRPr="00FC2F9D">
              <w:rPr>
                <w:rFonts w:ascii="Arial" w:hAnsi="Arial" w:cs="Arial"/>
                <w:sz w:val="18"/>
                <w:szCs w:val="18"/>
              </w:rPr>
              <w:t>Carcinosarcoma</w:t>
            </w:r>
            <w:proofErr w:type="spellEnd"/>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ED3D4F"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381613" w:rsidRPr="00FC2F9D" w:rsidTr="00FC2F9D">
        <w:tc>
          <w:tcPr>
            <w:tcW w:w="8720" w:type="dxa"/>
            <w:gridSpan w:val="6"/>
            <w:vAlign w:val="center"/>
          </w:tcPr>
          <w:p w:rsidR="00381613" w:rsidRPr="00FC2F9D" w:rsidRDefault="00381613" w:rsidP="00FC2F9D">
            <w:pPr>
              <w:pStyle w:val="Default"/>
              <w:spacing w:before="40" w:after="40"/>
              <w:rPr>
                <w:rFonts w:ascii="Arial" w:hAnsi="Arial" w:cs="Arial"/>
                <w:b/>
                <w:sz w:val="18"/>
                <w:szCs w:val="18"/>
              </w:rPr>
            </w:pPr>
            <w:proofErr w:type="spellStart"/>
            <w:r w:rsidRPr="00FC2F9D">
              <w:rPr>
                <w:rFonts w:ascii="Arial" w:hAnsi="Arial" w:cs="Arial"/>
                <w:b/>
                <w:sz w:val="18"/>
                <w:szCs w:val="18"/>
              </w:rPr>
              <w:t>Hematolymphoid</w:t>
            </w:r>
            <w:proofErr w:type="spellEnd"/>
            <w:r w:rsidRPr="00FC2F9D">
              <w:rPr>
                <w:rFonts w:ascii="Arial" w:hAnsi="Arial" w:cs="Arial"/>
                <w:b/>
                <w:sz w:val="18"/>
                <w:szCs w:val="18"/>
              </w:rPr>
              <w:t xml:space="preserve"> tumors</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MALT lymphoma</w:t>
            </w:r>
          </w:p>
        </w:tc>
        <w:tc>
          <w:tcPr>
            <w:tcW w:w="1275"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5</w:t>
            </w:r>
            <w:r w:rsidR="002443BA" w:rsidRPr="00FC2F9D">
              <w:rPr>
                <w:rFonts w:ascii="Arial" w:hAnsi="Arial" w:cs="Arial"/>
                <w:sz w:val="18"/>
                <w:szCs w:val="18"/>
              </w:rPr>
              <w:t xml:space="preserve"> (1.7%)</w:t>
            </w:r>
          </w:p>
        </w:tc>
        <w:tc>
          <w:tcPr>
            <w:tcW w:w="993"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3</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2</w:t>
            </w:r>
          </w:p>
        </w:tc>
      </w:tr>
      <w:tr w:rsidR="00874DE9" w:rsidRPr="00FC2F9D" w:rsidTr="00FC2F9D">
        <w:tc>
          <w:tcPr>
            <w:tcW w:w="3369" w:type="dxa"/>
            <w:vAlign w:val="center"/>
          </w:tcPr>
          <w:p w:rsidR="00874DE9" w:rsidRPr="00FC2F9D" w:rsidRDefault="00ED3D4F" w:rsidP="00FC2F9D">
            <w:pPr>
              <w:pStyle w:val="Default"/>
              <w:spacing w:before="40" w:after="40"/>
              <w:rPr>
                <w:rFonts w:ascii="Arial" w:hAnsi="Arial" w:cs="Arial"/>
                <w:sz w:val="18"/>
                <w:szCs w:val="18"/>
              </w:rPr>
            </w:pPr>
            <w:r w:rsidRPr="00FC2F9D">
              <w:rPr>
                <w:rFonts w:ascii="Arial" w:hAnsi="Arial" w:cs="Arial"/>
                <w:sz w:val="18"/>
                <w:szCs w:val="18"/>
              </w:rPr>
              <w:t>Follicular ly</w:t>
            </w:r>
            <w:r w:rsidR="004A0AC2" w:rsidRPr="00FC2F9D">
              <w:rPr>
                <w:rFonts w:ascii="Arial" w:hAnsi="Arial" w:cs="Arial"/>
                <w:sz w:val="18"/>
                <w:szCs w:val="18"/>
              </w:rPr>
              <w:t>m</w:t>
            </w:r>
            <w:r w:rsidRPr="00FC2F9D">
              <w:rPr>
                <w:rFonts w:ascii="Arial" w:hAnsi="Arial" w:cs="Arial"/>
                <w:sz w:val="18"/>
                <w:szCs w:val="18"/>
              </w:rPr>
              <w:t>phoma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3 (1%)</w:t>
            </w:r>
          </w:p>
        </w:tc>
        <w:tc>
          <w:tcPr>
            <w:tcW w:w="993"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2</w:t>
            </w:r>
          </w:p>
        </w:tc>
        <w:tc>
          <w:tcPr>
            <w:tcW w:w="1045"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381613" w:rsidRPr="00FC2F9D" w:rsidTr="00FC2F9D">
        <w:tc>
          <w:tcPr>
            <w:tcW w:w="8720" w:type="dxa"/>
            <w:gridSpan w:val="6"/>
            <w:vAlign w:val="center"/>
          </w:tcPr>
          <w:p w:rsidR="00381613" w:rsidRPr="00FC2F9D" w:rsidRDefault="00381613" w:rsidP="00FC2F9D">
            <w:pPr>
              <w:pStyle w:val="Default"/>
              <w:spacing w:before="40" w:after="40"/>
              <w:rPr>
                <w:rFonts w:ascii="Arial" w:hAnsi="Arial" w:cs="Arial"/>
                <w:b/>
                <w:sz w:val="18"/>
                <w:szCs w:val="18"/>
              </w:rPr>
            </w:pPr>
            <w:r w:rsidRPr="00FC2F9D">
              <w:rPr>
                <w:rFonts w:ascii="Arial" w:hAnsi="Arial" w:cs="Arial"/>
                <w:b/>
                <w:sz w:val="18"/>
                <w:szCs w:val="18"/>
              </w:rPr>
              <w:t>Secondary tumors</w:t>
            </w:r>
          </w:p>
        </w:tc>
      </w:tr>
      <w:tr w:rsidR="00874DE9" w:rsidRPr="00FC2F9D" w:rsidTr="00FC2F9D">
        <w:tc>
          <w:tcPr>
            <w:tcW w:w="3369" w:type="dxa"/>
            <w:vAlign w:val="center"/>
          </w:tcPr>
          <w:p w:rsidR="00381613" w:rsidRPr="00FC2F9D" w:rsidRDefault="00381613" w:rsidP="00FC2F9D">
            <w:pPr>
              <w:pStyle w:val="Default"/>
              <w:spacing w:before="40" w:after="40"/>
              <w:rPr>
                <w:rFonts w:ascii="Arial" w:hAnsi="Arial" w:cs="Arial"/>
                <w:sz w:val="18"/>
                <w:szCs w:val="18"/>
                <w:lang w:val="pt-PT"/>
              </w:rPr>
            </w:pPr>
            <w:r w:rsidRPr="00FC2F9D">
              <w:rPr>
                <w:rFonts w:ascii="Arial" w:hAnsi="Arial" w:cs="Arial"/>
                <w:sz w:val="18"/>
                <w:szCs w:val="18"/>
                <w:lang w:val="pt-PT"/>
              </w:rPr>
              <w:t>H&amp;N squamous cell carcinoma</w:t>
            </w:r>
          </w:p>
        </w:tc>
        <w:tc>
          <w:tcPr>
            <w:tcW w:w="1275" w:type="dxa"/>
          </w:tcPr>
          <w:p w:rsidR="00874DE9" w:rsidRPr="00FC2F9D" w:rsidRDefault="00BB0467" w:rsidP="00FC2F9D">
            <w:pPr>
              <w:pStyle w:val="Default"/>
              <w:spacing w:before="40" w:after="40"/>
              <w:jc w:val="center"/>
              <w:rPr>
                <w:rFonts w:ascii="Arial" w:hAnsi="Arial" w:cs="Arial"/>
                <w:sz w:val="18"/>
                <w:szCs w:val="18"/>
              </w:rPr>
            </w:pPr>
            <w:r w:rsidRPr="00FC2F9D">
              <w:rPr>
                <w:rFonts w:ascii="Arial" w:hAnsi="Arial" w:cs="Arial"/>
                <w:sz w:val="18"/>
                <w:szCs w:val="18"/>
              </w:rPr>
              <w:t>5</w:t>
            </w:r>
            <w:r w:rsidR="002443BA" w:rsidRPr="00FC2F9D">
              <w:rPr>
                <w:rFonts w:ascii="Arial" w:hAnsi="Arial" w:cs="Arial"/>
                <w:sz w:val="18"/>
                <w:szCs w:val="18"/>
              </w:rPr>
              <w:t xml:space="preserve"> (1.</w:t>
            </w:r>
            <w:r w:rsidR="001A70EF" w:rsidRPr="00FC2F9D">
              <w:rPr>
                <w:rFonts w:ascii="Arial" w:hAnsi="Arial" w:cs="Arial"/>
                <w:sz w:val="18"/>
                <w:szCs w:val="18"/>
              </w:rPr>
              <w:t>7</w:t>
            </w:r>
            <w:r w:rsidR="002443BA" w:rsidRPr="00FC2F9D">
              <w:rPr>
                <w:rFonts w:ascii="Arial" w:hAnsi="Arial" w:cs="Arial"/>
                <w:sz w:val="18"/>
                <w:szCs w:val="18"/>
              </w:rPr>
              <w:t>%)</w:t>
            </w:r>
          </w:p>
        </w:tc>
        <w:tc>
          <w:tcPr>
            <w:tcW w:w="993" w:type="dxa"/>
          </w:tcPr>
          <w:p w:rsidR="00874DE9" w:rsidRPr="00FC2F9D" w:rsidRDefault="006756C0" w:rsidP="00FC2F9D">
            <w:pPr>
              <w:pStyle w:val="Default"/>
              <w:spacing w:before="40" w:after="40"/>
              <w:jc w:val="center"/>
              <w:rPr>
                <w:rFonts w:ascii="Arial" w:hAnsi="Arial" w:cs="Arial"/>
                <w:sz w:val="18"/>
                <w:szCs w:val="18"/>
              </w:rPr>
            </w:pPr>
            <w:r w:rsidRPr="00FC2F9D">
              <w:rPr>
                <w:rFonts w:ascii="Arial" w:hAnsi="Arial" w:cs="Arial"/>
                <w:sz w:val="18"/>
                <w:szCs w:val="18"/>
              </w:rPr>
              <w:t>5</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381613" w:rsidP="00FC2F9D">
            <w:pPr>
              <w:pStyle w:val="Default"/>
              <w:spacing w:before="40" w:after="40"/>
              <w:rPr>
                <w:rFonts w:ascii="Arial" w:hAnsi="Arial" w:cs="Arial"/>
                <w:sz w:val="18"/>
                <w:szCs w:val="18"/>
              </w:rPr>
            </w:pPr>
            <w:r w:rsidRPr="00FC2F9D">
              <w:rPr>
                <w:rFonts w:ascii="Arial" w:hAnsi="Arial" w:cs="Arial"/>
                <w:sz w:val="18"/>
                <w:szCs w:val="18"/>
              </w:rPr>
              <w:t>Renal cell carcinoma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381613" w:rsidP="00FC2F9D">
            <w:pPr>
              <w:pStyle w:val="Default"/>
              <w:spacing w:before="40" w:after="40"/>
              <w:rPr>
                <w:rFonts w:ascii="Arial" w:hAnsi="Arial" w:cs="Arial"/>
                <w:sz w:val="18"/>
                <w:szCs w:val="18"/>
              </w:rPr>
            </w:pPr>
            <w:proofErr w:type="spellStart"/>
            <w:r w:rsidRPr="00FC2F9D">
              <w:rPr>
                <w:rFonts w:ascii="Arial" w:hAnsi="Arial" w:cs="Arial"/>
                <w:sz w:val="18"/>
                <w:szCs w:val="18"/>
              </w:rPr>
              <w:t>Adenocarcinoma</w:t>
            </w:r>
            <w:proofErr w:type="spellEnd"/>
            <w:r w:rsidRPr="00FC2F9D">
              <w:rPr>
                <w:rFonts w:ascii="Arial" w:hAnsi="Arial" w:cs="Arial"/>
                <w:sz w:val="18"/>
                <w:szCs w:val="18"/>
              </w:rPr>
              <w:t>, primary occult</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r w:rsidR="00874DE9" w:rsidRPr="00FC2F9D" w:rsidTr="00FC2F9D">
        <w:tc>
          <w:tcPr>
            <w:tcW w:w="3369" w:type="dxa"/>
            <w:vAlign w:val="center"/>
          </w:tcPr>
          <w:p w:rsidR="00874DE9" w:rsidRPr="00FC2F9D" w:rsidRDefault="00381613" w:rsidP="00FC2F9D">
            <w:pPr>
              <w:pStyle w:val="Default"/>
              <w:spacing w:before="40" w:after="40"/>
              <w:rPr>
                <w:rFonts w:ascii="Arial" w:hAnsi="Arial" w:cs="Arial"/>
                <w:sz w:val="18"/>
                <w:szCs w:val="18"/>
              </w:rPr>
            </w:pPr>
            <w:r w:rsidRPr="00FC2F9D">
              <w:rPr>
                <w:rFonts w:ascii="Arial" w:hAnsi="Arial" w:cs="Arial"/>
                <w:sz w:val="18"/>
                <w:szCs w:val="18"/>
              </w:rPr>
              <w:t>Involv</w:t>
            </w:r>
            <w:r w:rsidR="00F6717B" w:rsidRPr="00FC2F9D">
              <w:rPr>
                <w:rFonts w:ascii="Arial" w:hAnsi="Arial" w:cs="Arial"/>
                <w:sz w:val="18"/>
                <w:szCs w:val="18"/>
              </w:rPr>
              <w:t>e</w:t>
            </w:r>
            <w:r w:rsidRPr="00FC2F9D">
              <w:rPr>
                <w:rFonts w:ascii="Arial" w:hAnsi="Arial" w:cs="Arial"/>
                <w:sz w:val="18"/>
                <w:szCs w:val="18"/>
              </w:rPr>
              <w:t xml:space="preserve">ment by </w:t>
            </w:r>
            <w:r w:rsidR="008D4ED6" w:rsidRPr="00FC2F9D">
              <w:rPr>
                <w:rFonts w:ascii="Arial" w:hAnsi="Arial" w:cs="Arial"/>
                <w:sz w:val="18"/>
                <w:szCs w:val="18"/>
              </w:rPr>
              <w:t>generalized</w:t>
            </w:r>
            <w:r w:rsidRPr="00FC2F9D">
              <w:rPr>
                <w:rFonts w:ascii="Arial" w:hAnsi="Arial" w:cs="Arial"/>
                <w:sz w:val="18"/>
                <w:szCs w:val="18"/>
              </w:rPr>
              <w:t xml:space="preserve"> lymphoma</w:t>
            </w:r>
          </w:p>
        </w:tc>
        <w:tc>
          <w:tcPr>
            <w:tcW w:w="1275" w:type="dxa"/>
          </w:tcPr>
          <w:p w:rsidR="00874DE9" w:rsidRPr="00FC2F9D" w:rsidRDefault="002443BA" w:rsidP="00FC2F9D">
            <w:pPr>
              <w:pStyle w:val="Default"/>
              <w:spacing w:before="40" w:after="40"/>
              <w:jc w:val="center"/>
              <w:rPr>
                <w:rFonts w:ascii="Arial" w:hAnsi="Arial" w:cs="Arial"/>
                <w:sz w:val="18"/>
                <w:szCs w:val="18"/>
              </w:rPr>
            </w:pPr>
            <w:r w:rsidRPr="00FC2F9D">
              <w:rPr>
                <w:rFonts w:ascii="Arial" w:hAnsi="Arial" w:cs="Arial"/>
                <w:sz w:val="18"/>
                <w:szCs w:val="18"/>
              </w:rPr>
              <w:t>1 (0.3%)</w:t>
            </w:r>
          </w:p>
        </w:tc>
        <w:tc>
          <w:tcPr>
            <w:tcW w:w="993" w:type="dxa"/>
          </w:tcPr>
          <w:p w:rsidR="00874DE9" w:rsidRPr="00FC2F9D" w:rsidRDefault="00381613" w:rsidP="00FC2F9D">
            <w:pPr>
              <w:pStyle w:val="Default"/>
              <w:spacing w:before="40" w:after="40"/>
              <w:jc w:val="center"/>
              <w:rPr>
                <w:rFonts w:ascii="Arial" w:hAnsi="Arial" w:cs="Arial"/>
                <w:sz w:val="18"/>
                <w:szCs w:val="18"/>
              </w:rPr>
            </w:pPr>
            <w:r w:rsidRPr="00FC2F9D">
              <w:rPr>
                <w:rFonts w:ascii="Arial" w:hAnsi="Arial" w:cs="Arial"/>
                <w:sz w:val="18"/>
                <w:szCs w:val="18"/>
              </w:rPr>
              <w:t>1</w:t>
            </w:r>
          </w:p>
        </w:tc>
        <w:tc>
          <w:tcPr>
            <w:tcW w:w="1045" w:type="dxa"/>
          </w:tcPr>
          <w:p w:rsidR="00874DE9" w:rsidRPr="00FC2F9D" w:rsidRDefault="00874DE9" w:rsidP="00FC2F9D">
            <w:pPr>
              <w:pStyle w:val="Default"/>
              <w:spacing w:before="40" w:after="40"/>
              <w:jc w:val="center"/>
              <w:rPr>
                <w:rFonts w:ascii="Arial" w:hAnsi="Arial" w:cs="Arial"/>
                <w:sz w:val="18"/>
                <w:szCs w:val="18"/>
              </w:rPr>
            </w:pPr>
          </w:p>
        </w:tc>
        <w:tc>
          <w:tcPr>
            <w:tcW w:w="1081" w:type="dxa"/>
          </w:tcPr>
          <w:p w:rsidR="00874DE9" w:rsidRPr="00FC2F9D" w:rsidRDefault="00874DE9" w:rsidP="00FC2F9D">
            <w:pPr>
              <w:pStyle w:val="Default"/>
              <w:spacing w:before="40" w:after="40"/>
              <w:jc w:val="center"/>
              <w:rPr>
                <w:rFonts w:ascii="Arial" w:hAnsi="Arial" w:cs="Arial"/>
                <w:sz w:val="18"/>
                <w:szCs w:val="18"/>
              </w:rPr>
            </w:pPr>
          </w:p>
        </w:tc>
        <w:tc>
          <w:tcPr>
            <w:tcW w:w="957" w:type="dxa"/>
          </w:tcPr>
          <w:p w:rsidR="00874DE9" w:rsidRPr="00FC2F9D" w:rsidRDefault="00874DE9" w:rsidP="00FC2F9D">
            <w:pPr>
              <w:pStyle w:val="Default"/>
              <w:spacing w:before="40" w:after="40"/>
              <w:jc w:val="center"/>
              <w:rPr>
                <w:rFonts w:ascii="Arial" w:hAnsi="Arial" w:cs="Arial"/>
                <w:sz w:val="18"/>
                <w:szCs w:val="18"/>
              </w:rPr>
            </w:pPr>
          </w:p>
        </w:tc>
      </w:tr>
    </w:tbl>
    <w:p w:rsidR="00874DE9" w:rsidRPr="00EC22DB" w:rsidRDefault="00874DE9" w:rsidP="00285A18">
      <w:pPr>
        <w:pStyle w:val="Default"/>
        <w:rPr>
          <w:rFonts w:ascii="Arial" w:hAnsi="Arial" w:cs="Arial"/>
          <w:sz w:val="20"/>
          <w:szCs w:val="20"/>
        </w:rPr>
      </w:pPr>
    </w:p>
    <w:p w:rsidR="00691696" w:rsidRPr="00EC22DB" w:rsidRDefault="00DB0C29" w:rsidP="006B4E58">
      <w:pPr>
        <w:pStyle w:val="Default"/>
        <w:jc w:val="both"/>
        <w:rPr>
          <w:rFonts w:ascii="Arial" w:hAnsi="Arial" w:cs="Arial"/>
          <w:b/>
          <w:sz w:val="20"/>
          <w:szCs w:val="20"/>
        </w:rPr>
      </w:pPr>
      <w:r w:rsidRPr="00DB0C29">
        <w:rPr>
          <w:rFonts w:ascii="Arial" w:hAnsi="Arial" w:cs="Arial"/>
          <w:sz w:val="20"/>
          <w:szCs w:val="20"/>
        </w:rPr>
        <w:t xml:space="preserve">SG-salivary gland; </w:t>
      </w:r>
      <w:commentRangeStart w:id="2"/>
      <w:r w:rsidRPr="00DB0C29">
        <w:rPr>
          <w:rFonts w:ascii="Arial" w:hAnsi="Arial" w:cs="Arial"/>
          <w:sz w:val="20"/>
          <w:szCs w:val="20"/>
        </w:rPr>
        <w:t>MALT</w:t>
      </w:r>
      <w:commentRangeEnd w:id="2"/>
      <w:r w:rsidRPr="00DB0C29">
        <w:rPr>
          <w:rStyle w:val="CommentReference"/>
          <w:rFonts w:ascii="Arial" w:hAnsi="Arial" w:cs="Arial"/>
          <w:color w:val="auto"/>
          <w:sz w:val="20"/>
          <w:szCs w:val="20"/>
        </w:rPr>
        <w:commentReference w:id="2"/>
      </w:r>
      <w:r w:rsidRPr="005E0B38">
        <w:rPr>
          <w:rFonts w:ascii="Arial" w:hAnsi="Arial" w:cs="Arial"/>
          <w:color w:val="auto"/>
          <w:sz w:val="20"/>
          <w:szCs w:val="20"/>
        </w:rPr>
        <w:t>-</w:t>
      </w:r>
      <w:r w:rsidRPr="005E0B38">
        <w:rPr>
          <w:rFonts w:ascii="Arial" w:hAnsi="Arial" w:cs="Arial"/>
          <w:color w:val="auto"/>
          <w:sz w:val="20"/>
          <w:szCs w:val="20"/>
          <w:shd w:val="clear" w:color="auto" w:fill="FFFFFF"/>
        </w:rPr>
        <w:t xml:space="preserve"> mucosa-associated lymphoid tissue</w:t>
      </w:r>
      <w:r w:rsidRPr="00DB0C29">
        <w:rPr>
          <w:rStyle w:val="apple-converted-space"/>
          <w:rFonts w:ascii="Arial" w:hAnsi="Arial" w:cs="Arial"/>
          <w:color w:val="545454"/>
          <w:sz w:val="20"/>
          <w:szCs w:val="20"/>
          <w:shd w:val="clear" w:color="auto" w:fill="FFFFFF"/>
        </w:rPr>
        <w:t>;</w:t>
      </w:r>
      <w:r w:rsidRPr="00DB0C29">
        <w:rPr>
          <w:rFonts w:ascii="Arial" w:hAnsi="Arial" w:cs="Arial"/>
          <w:sz w:val="20"/>
          <w:szCs w:val="20"/>
        </w:rPr>
        <w:t xml:space="preserve"> H&amp;N- head and neck; NOS- not otherwise specified</w:t>
      </w:r>
      <w:r w:rsidR="001536C7">
        <w:rPr>
          <w:rFonts w:ascii="Arial" w:hAnsi="Arial" w:cs="Arial"/>
          <w:sz w:val="20"/>
          <w:szCs w:val="20"/>
        </w:rPr>
        <w:t xml:space="preserve">; * </w:t>
      </w:r>
      <w:proofErr w:type="spellStart"/>
      <w:r w:rsidR="001536C7">
        <w:rPr>
          <w:rFonts w:ascii="Arial" w:hAnsi="Arial" w:cs="Arial"/>
          <w:sz w:val="20"/>
          <w:szCs w:val="20"/>
        </w:rPr>
        <w:t>sialolipoma</w:t>
      </w:r>
      <w:proofErr w:type="spellEnd"/>
      <w:r w:rsidR="001536C7">
        <w:rPr>
          <w:rFonts w:ascii="Arial" w:hAnsi="Arial" w:cs="Arial"/>
          <w:sz w:val="20"/>
          <w:szCs w:val="20"/>
        </w:rPr>
        <w:t xml:space="preserve"> of the tongue</w:t>
      </w:r>
    </w:p>
    <w:p w:rsidR="000D2BBB" w:rsidRDefault="000D2BBB" w:rsidP="00285A18">
      <w:pPr>
        <w:pStyle w:val="Default"/>
        <w:rPr>
          <w:sz w:val="20"/>
          <w:szCs w:val="20"/>
        </w:rPr>
      </w:pPr>
    </w:p>
    <w:p w:rsidR="000D2BBB" w:rsidRDefault="000D2BBB" w:rsidP="00285A18">
      <w:pPr>
        <w:pStyle w:val="Default"/>
        <w:rPr>
          <w:sz w:val="20"/>
          <w:szCs w:val="20"/>
        </w:rPr>
      </w:pPr>
    </w:p>
    <w:p w:rsidR="00470AF3" w:rsidRDefault="00470AF3" w:rsidP="00285A18">
      <w:pPr>
        <w:pStyle w:val="Default"/>
        <w:rPr>
          <w:sz w:val="20"/>
          <w:szCs w:val="20"/>
        </w:rPr>
      </w:pPr>
    </w:p>
    <w:p w:rsidR="00470AF3" w:rsidRDefault="00470AF3" w:rsidP="00285A18">
      <w:pPr>
        <w:pStyle w:val="Default"/>
        <w:rPr>
          <w:sz w:val="20"/>
          <w:szCs w:val="20"/>
        </w:rPr>
      </w:pPr>
    </w:p>
    <w:p w:rsidR="00470AF3" w:rsidRDefault="00470AF3" w:rsidP="00285A18">
      <w:pPr>
        <w:pStyle w:val="Default"/>
        <w:rPr>
          <w:sz w:val="20"/>
          <w:szCs w:val="20"/>
        </w:rPr>
      </w:pPr>
    </w:p>
    <w:p w:rsidR="00470AF3" w:rsidRDefault="00470AF3" w:rsidP="00285A18">
      <w:pPr>
        <w:pStyle w:val="Default"/>
        <w:rPr>
          <w:sz w:val="20"/>
          <w:szCs w:val="20"/>
        </w:rPr>
      </w:pPr>
    </w:p>
    <w:p w:rsidR="00470AF3" w:rsidRDefault="00470AF3" w:rsidP="00285A18">
      <w:pPr>
        <w:pStyle w:val="Default"/>
        <w:rPr>
          <w:sz w:val="20"/>
          <w:szCs w:val="20"/>
        </w:rPr>
      </w:pPr>
    </w:p>
    <w:p w:rsidR="00470AF3" w:rsidRDefault="00470AF3" w:rsidP="00285A18">
      <w:pPr>
        <w:pStyle w:val="Default"/>
        <w:rPr>
          <w:sz w:val="20"/>
          <w:szCs w:val="20"/>
        </w:rPr>
      </w:pPr>
    </w:p>
    <w:p w:rsidR="00470AF3" w:rsidRDefault="00470AF3"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470AF3" w:rsidRDefault="00470AF3" w:rsidP="00285A18">
      <w:pPr>
        <w:pStyle w:val="Default"/>
        <w:rPr>
          <w:sz w:val="20"/>
          <w:szCs w:val="20"/>
        </w:rPr>
      </w:pPr>
    </w:p>
    <w:p w:rsidR="001D448A" w:rsidRDefault="001D448A" w:rsidP="00285A18">
      <w:pPr>
        <w:pStyle w:val="Default"/>
        <w:rPr>
          <w:sz w:val="20"/>
          <w:szCs w:val="20"/>
        </w:rPr>
      </w:pPr>
    </w:p>
    <w:p w:rsidR="00470AF3" w:rsidRDefault="00470AF3" w:rsidP="00285A18">
      <w:pPr>
        <w:pStyle w:val="Default"/>
        <w:rPr>
          <w:sz w:val="20"/>
          <w:szCs w:val="20"/>
        </w:rPr>
      </w:pPr>
    </w:p>
    <w:p w:rsidR="00B6021C" w:rsidRDefault="00B6021C" w:rsidP="00285A18">
      <w:pPr>
        <w:pStyle w:val="Default"/>
        <w:rPr>
          <w:rFonts w:ascii="Arial" w:hAnsi="Arial" w:cs="Arial"/>
          <w:b/>
          <w:sz w:val="20"/>
          <w:szCs w:val="20"/>
        </w:rPr>
      </w:pPr>
    </w:p>
    <w:p w:rsidR="00B6021C" w:rsidRDefault="001758EA" w:rsidP="00285A18">
      <w:pPr>
        <w:pStyle w:val="Default"/>
        <w:rPr>
          <w:rFonts w:ascii="Arial" w:hAnsi="Arial" w:cs="Arial"/>
          <w:b/>
          <w:sz w:val="20"/>
          <w:szCs w:val="20"/>
        </w:rPr>
      </w:pPr>
      <w:r>
        <w:rPr>
          <w:noProof/>
          <w:lang w:val="pt-PT" w:eastAsia="pt-PT"/>
        </w:rPr>
        <w:drawing>
          <wp:anchor distT="0" distB="0" distL="114300" distR="114300" simplePos="0" relativeHeight="251657728" behindDoc="0" locked="0" layoutInCell="1" allowOverlap="1">
            <wp:simplePos x="0" y="0"/>
            <wp:positionH relativeFrom="column">
              <wp:align>left</wp:align>
            </wp:positionH>
            <wp:positionV relativeFrom="paragraph">
              <wp:posOffset>5080</wp:posOffset>
            </wp:positionV>
            <wp:extent cx="3352165" cy="2675255"/>
            <wp:effectExtent l="0" t="0" r="635" b="0"/>
            <wp:wrapSquare wrapText="right"/>
            <wp:docPr id="5"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6021C" w:rsidRDefault="00B6021C"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DE0D51" w:rsidRDefault="00DE0D51" w:rsidP="00285A18">
      <w:pPr>
        <w:pStyle w:val="Default"/>
        <w:rPr>
          <w:rFonts w:ascii="Arial" w:hAnsi="Arial" w:cs="Arial"/>
          <w:b/>
          <w:sz w:val="20"/>
          <w:szCs w:val="20"/>
        </w:rPr>
      </w:pPr>
    </w:p>
    <w:p w:rsidR="00470AF3" w:rsidRPr="00CC28B8" w:rsidRDefault="00676075" w:rsidP="00285A18">
      <w:pPr>
        <w:pStyle w:val="Default"/>
        <w:rPr>
          <w:color w:val="auto"/>
          <w:sz w:val="20"/>
          <w:szCs w:val="20"/>
        </w:rPr>
      </w:pPr>
      <w:r w:rsidRPr="00CC28B8">
        <w:rPr>
          <w:rFonts w:ascii="Arial" w:hAnsi="Arial" w:cs="Arial"/>
          <w:b/>
          <w:color w:val="auto"/>
          <w:sz w:val="20"/>
          <w:szCs w:val="20"/>
        </w:rPr>
        <w:t>Figure 1:</w:t>
      </w:r>
      <w:r w:rsidRPr="00CC28B8">
        <w:rPr>
          <w:rFonts w:ascii="Arial" w:hAnsi="Arial" w:cs="Arial"/>
          <w:color w:val="auto"/>
          <w:sz w:val="20"/>
          <w:szCs w:val="20"/>
        </w:rPr>
        <w:t xml:space="preserve"> </w:t>
      </w:r>
      <w:r w:rsidRPr="00CC28B8">
        <w:rPr>
          <w:rFonts w:ascii="Arial" w:hAnsi="Arial" w:cs="Arial"/>
          <w:color w:val="auto"/>
          <w:sz w:val="20"/>
          <w:szCs w:val="20"/>
          <w:shd w:val="clear" w:color="auto" w:fill="FFFFFF"/>
        </w:rPr>
        <w:t>Comparison of age distribution between men (n=52) and women (n=96) considering pleomorphic adenomas.</w:t>
      </w:r>
    </w:p>
    <w:p w:rsidR="00B40ADD" w:rsidRPr="00351300" w:rsidRDefault="00B40ADD" w:rsidP="00285A18">
      <w:pPr>
        <w:pStyle w:val="Default"/>
        <w:rPr>
          <w:color w:val="31849B" w:themeColor="accent5" w:themeShade="BF"/>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5E7F44" w:rsidRDefault="00C35BEB" w:rsidP="00C35BEB">
      <w:pPr>
        <w:pStyle w:val="Default"/>
        <w:tabs>
          <w:tab w:val="left" w:pos="2820"/>
        </w:tabs>
        <w:rPr>
          <w:sz w:val="20"/>
          <w:szCs w:val="20"/>
        </w:rPr>
      </w:pPr>
      <w:r>
        <w:rPr>
          <w:sz w:val="20"/>
          <w:szCs w:val="20"/>
        </w:rPr>
        <w:tab/>
      </w:r>
    </w:p>
    <w:p w:rsidR="00C35BEB" w:rsidRDefault="00C35BEB"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BF1E4D" w:rsidRDefault="00BF1E4D"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C35BEB" w:rsidRDefault="00C35BEB" w:rsidP="00C35BEB">
      <w:pPr>
        <w:pStyle w:val="Default"/>
        <w:tabs>
          <w:tab w:val="left" w:pos="2820"/>
        </w:tabs>
        <w:rPr>
          <w:sz w:val="20"/>
          <w:szCs w:val="20"/>
        </w:rPr>
      </w:pPr>
    </w:p>
    <w:p w:rsidR="005E7F44" w:rsidRDefault="005E7F44"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953BB6" w:rsidRDefault="001758EA" w:rsidP="00B40ADD">
      <w:pPr>
        <w:pStyle w:val="Default"/>
        <w:rPr>
          <w:rFonts w:ascii="Arial" w:hAnsi="Arial" w:cs="Arial"/>
          <w:b/>
          <w:sz w:val="22"/>
          <w:szCs w:val="22"/>
        </w:rPr>
      </w:pPr>
      <w:r>
        <w:rPr>
          <w:rFonts w:ascii="Arial" w:hAnsi="Arial" w:cs="Arial"/>
          <w:b/>
          <w:noProof/>
          <w:sz w:val="22"/>
          <w:szCs w:val="22"/>
          <w:lang w:val="pt-PT" w:eastAsia="pt-PT"/>
        </w:rPr>
        <w:drawing>
          <wp:inline distT="0" distB="0" distL="0" distR="0">
            <wp:extent cx="3352800" cy="248602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3BB6" w:rsidRDefault="00953BB6" w:rsidP="00B40ADD">
      <w:pPr>
        <w:pStyle w:val="Default"/>
        <w:rPr>
          <w:rFonts w:ascii="Arial" w:hAnsi="Arial" w:cs="Arial"/>
          <w:b/>
          <w:sz w:val="22"/>
          <w:szCs w:val="22"/>
        </w:rPr>
      </w:pPr>
    </w:p>
    <w:p w:rsidR="005E7F44" w:rsidRPr="00CC28B8" w:rsidRDefault="00676075" w:rsidP="00285A18">
      <w:pPr>
        <w:pStyle w:val="Default"/>
        <w:rPr>
          <w:color w:val="auto"/>
          <w:sz w:val="20"/>
          <w:szCs w:val="20"/>
        </w:rPr>
      </w:pPr>
      <w:r w:rsidRPr="00CC28B8">
        <w:rPr>
          <w:rFonts w:ascii="Arial" w:hAnsi="Arial" w:cs="Arial"/>
          <w:b/>
          <w:color w:val="auto"/>
          <w:sz w:val="20"/>
          <w:szCs w:val="20"/>
        </w:rPr>
        <w:t>Figure 2:</w:t>
      </w:r>
      <w:r w:rsidRPr="00CC28B8">
        <w:rPr>
          <w:rFonts w:ascii="Arial" w:hAnsi="Arial" w:cs="Arial"/>
          <w:color w:val="auto"/>
          <w:sz w:val="20"/>
          <w:szCs w:val="20"/>
        </w:rPr>
        <w:t xml:space="preserve"> </w:t>
      </w:r>
      <w:r w:rsidRPr="00CC28B8">
        <w:rPr>
          <w:rFonts w:ascii="Arial" w:hAnsi="Arial" w:cs="Arial"/>
          <w:color w:val="auto"/>
          <w:sz w:val="20"/>
          <w:szCs w:val="20"/>
          <w:shd w:val="clear" w:color="auto" w:fill="FFFFFF"/>
        </w:rPr>
        <w:t>Comparison of age distribution between men (n=53) and women (n=8) considering Warthin tumors.</w:t>
      </w:r>
    </w:p>
    <w:p w:rsidR="005E7F44" w:rsidRDefault="005E7F44" w:rsidP="00285A18">
      <w:pPr>
        <w:pStyle w:val="Default"/>
        <w:rPr>
          <w:sz w:val="20"/>
          <w:szCs w:val="20"/>
        </w:rPr>
      </w:pPr>
    </w:p>
    <w:p w:rsidR="005E7F44" w:rsidRDefault="005E7F44" w:rsidP="00285A18">
      <w:pPr>
        <w:pStyle w:val="Default"/>
        <w:rPr>
          <w:sz w:val="20"/>
          <w:szCs w:val="20"/>
        </w:rPr>
      </w:pPr>
    </w:p>
    <w:p w:rsidR="005E7F44" w:rsidRDefault="005E7F44" w:rsidP="00285A18">
      <w:pPr>
        <w:pStyle w:val="Default"/>
        <w:rPr>
          <w:sz w:val="20"/>
          <w:szCs w:val="20"/>
        </w:rPr>
      </w:pPr>
    </w:p>
    <w:p w:rsidR="0037479E" w:rsidRDefault="0037479E" w:rsidP="00285A18">
      <w:pPr>
        <w:pStyle w:val="Default"/>
        <w:rPr>
          <w:sz w:val="20"/>
          <w:szCs w:val="20"/>
        </w:rPr>
      </w:pPr>
    </w:p>
    <w:p w:rsidR="00470AF3" w:rsidRDefault="00470AF3" w:rsidP="00285A18">
      <w:pPr>
        <w:pStyle w:val="Default"/>
        <w:rPr>
          <w:sz w:val="20"/>
          <w:szCs w:val="20"/>
        </w:rPr>
      </w:pPr>
    </w:p>
    <w:p w:rsidR="00470AF3" w:rsidRDefault="00470AF3" w:rsidP="00285A18">
      <w:pPr>
        <w:pStyle w:val="Default"/>
        <w:rPr>
          <w:sz w:val="20"/>
          <w:szCs w:val="20"/>
        </w:rPr>
      </w:pPr>
    </w:p>
    <w:p w:rsidR="0037479E" w:rsidRDefault="0037479E" w:rsidP="00285A18">
      <w:pPr>
        <w:pStyle w:val="Default"/>
        <w:rPr>
          <w:sz w:val="20"/>
          <w:szCs w:val="20"/>
        </w:rPr>
      </w:pPr>
    </w:p>
    <w:p w:rsidR="0037479E" w:rsidRDefault="0037479E"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B40ADD" w:rsidRDefault="00B40ADD" w:rsidP="00285A18">
      <w:pPr>
        <w:pStyle w:val="Default"/>
        <w:rPr>
          <w:sz w:val="20"/>
          <w:szCs w:val="20"/>
        </w:rPr>
      </w:pPr>
    </w:p>
    <w:p w:rsidR="0037479E" w:rsidRDefault="0037479E" w:rsidP="00285A18">
      <w:pPr>
        <w:pStyle w:val="Default"/>
        <w:rPr>
          <w:sz w:val="20"/>
          <w:szCs w:val="20"/>
        </w:rPr>
      </w:pPr>
    </w:p>
    <w:p w:rsidR="00FD1283" w:rsidRDefault="00FD1283" w:rsidP="00285A18">
      <w:pPr>
        <w:pStyle w:val="Default"/>
        <w:rPr>
          <w:sz w:val="20"/>
          <w:szCs w:val="20"/>
        </w:rPr>
      </w:pPr>
    </w:p>
    <w:p w:rsidR="00FD1283" w:rsidRDefault="00FD1283" w:rsidP="00285A18">
      <w:pPr>
        <w:pStyle w:val="Default"/>
        <w:rPr>
          <w:sz w:val="20"/>
          <w:szCs w:val="20"/>
        </w:rPr>
      </w:pPr>
    </w:p>
    <w:p w:rsidR="0067347E" w:rsidRDefault="0067347E" w:rsidP="00285A18">
      <w:pPr>
        <w:pStyle w:val="Default"/>
        <w:rPr>
          <w:sz w:val="20"/>
          <w:szCs w:val="20"/>
        </w:rPr>
      </w:pPr>
    </w:p>
    <w:p w:rsidR="0067347E" w:rsidRDefault="0067347E" w:rsidP="00285A18">
      <w:pPr>
        <w:pStyle w:val="Default"/>
        <w:rPr>
          <w:sz w:val="20"/>
          <w:szCs w:val="20"/>
        </w:rPr>
      </w:pPr>
    </w:p>
    <w:p w:rsidR="0067347E" w:rsidRDefault="0067347E" w:rsidP="00285A18">
      <w:pPr>
        <w:pStyle w:val="Default"/>
        <w:rPr>
          <w:sz w:val="20"/>
          <w:szCs w:val="20"/>
        </w:rPr>
      </w:pPr>
    </w:p>
    <w:p w:rsidR="00FD1283" w:rsidRDefault="00FD1283" w:rsidP="00285A18">
      <w:pPr>
        <w:pStyle w:val="Default"/>
        <w:rPr>
          <w:sz w:val="20"/>
          <w:szCs w:val="20"/>
        </w:rPr>
      </w:pPr>
    </w:p>
    <w:p w:rsidR="00FD1283" w:rsidRDefault="00FD1283" w:rsidP="00285A18">
      <w:pPr>
        <w:pStyle w:val="Default"/>
        <w:rPr>
          <w:sz w:val="20"/>
          <w:szCs w:val="20"/>
        </w:rPr>
      </w:pPr>
    </w:p>
    <w:p w:rsidR="00FD1283" w:rsidRDefault="00FD1283" w:rsidP="00285A18">
      <w:pPr>
        <w:pStyle w:val="Default"/>
        <w:rPr>
          <w:sz w:val="20"/>
          <w:szCs w:val="20"/>
        </w:rPr>
      </w:pPr>
    </w:p>
    <w:p w:rsidR="00FD1283" w:rsidRDefault="00FD1283" w:rsidP="00285A18">
      <w:pPr>
        <w:pStyle w:val="Default"/>
        <w:rPr>
          <w:sz w:val="20"/>
          <w:szCs w:val="20"/>
        </w:rPr>
      </w:pPr>
    </w:p>
    <w:p w:rsidR="001D448A" w:rsidRDefault="001D448A" w:rsidP="00285A18">
      <w:pPr>
        <w:pStyle w:val="Default"/>
        <w:rPr>
          <w:sz w:val="20"/>
          <w:szCs w:val="20"/>
        </w:rPr>
      </w:pPr>
    </w:p>
    <w:p w:rsidR="001D448A" w:rsidRDefault="001D448A"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BF1E4D" w:rsidRDefault="00BF1E4D" w:rsidP="00285A18">
      <w:pPr>
        <w:pStyle w:val="Default"/>
        <w:rPr>
          <w:sz w:val="20"/>
          <w:szCs w:val="20"/>
        </w:rPr>
      </w:pPr>
    </w:p>
    <w:p w:rsidR="001D448A" w:rsidRDefault="001D448A" w:rsidP="00285A18">
      <w:pPr>
        <w:pStyle w:val="Default"/>
        <w:rPr>
          <w:sz w:val="20"/>
          <w:szCs w:val="20"/>
        </w:rPr>
      </w:pPr>
    </w:p>
    <w:p w:rsidR="0037479E" w:rsidRDefault="001758EA" w:rsidP="00285A18">
      <w:pPr>
        <w:pStyle w:val="Default"/>
        <w:rPr>
          <w:sz w:val="20"/>
          <w:szCs w:val="20"/>
        </w:rPr>
      </w:pPr>
      <w:r>
        <w:rPr>
          <w:noProof/>
          <w:sz w:val="20"/>
          <w:szCs w:val="20"/>
          <w:lang w:val="pt-PT" w:eastAsia="pt-PT"/>
        </w:rPr>
        <w:drawing>
          <wp:inline distT="0" distB="0" distL="0" distR="0">
            <wp:extent cx="3962400" cy="28670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0ADD" w:rsidRDefault="00B40ADD" w:rsidP="00285A18">
      <w:pPr>
        <w:pStyle w:val="Default"/>
        <w:rPr>
          <w:sz w:val="20"/>
          <w:szCs w:val="20"/>
        </w:rPr>
      </w:pPr>
    </w:p>
    <w:p w:rsidR="006D16A4" w:rsidRPr="00CC28B8" w:rsidRDefault="00676075" w:rsidP="006D16A4">
      <w:pPr>
        <w:pStyle w:val="Default"/>
        <w:rPr>
          <w:color w:val="auto"/>
          <w:sz w:val="20"/>
          <w:szCs w:val="20"/>
        </w:rPr>
      </w:pPr>
      <w:r w:rsidRPr="00CC28B8">
        <w:rPr>
          <w:rFonts w:ascii="Arial" w:hAnsi="Arial" w:cs="Arial"/>
          <w:b/>
          <w:color w:val="auto"/>
          <w:sz w:val="20"/>
          <w:szCs w:val="20"/>
        </w:rPr>
        <w:t>Figure 3:</w:t>
      </w:r>
      <w:r w:rsidRPr="00CC28B8">
        <w:rPr>
          <w:rFonts w:ascii="Arial" w:hAnsi="Arial" w:cs="Arial"/>
          <w:color w:val="auto"/>
          <w:sz w:val="20"/>
          <w:szCs w:val="20"/>
        </w:rPr>
        <w:t xml:space="preserve"> </w:t>
      </w:r>
      <w:r w:rsidRPr="00CC28B8">
        <w:rPr>
          <w:rFonts w:ascii="Arial" w:hAnsi="Arial" w:cs="Arial"/>
          <w:color w:val="auto"/>
          <w:sz w:val="20"/>
          <w:szCs w:val="20"/>
          <w:shd w:val="clear" w:color="auto" w:fill="FFFFFF"/>
        </w:rPr>
        <w:t>Comparison of age distribution between men (n=23) and women (n=20) considering malignant epithelial salivary gland tumors.</w:t>
      </w:r>
    </w:p>
    <w:p w:rsidR="00B40ADD" w:rsidRPr="00CC28B8" w:rsidRDefault="00B40ADD" w:rsidP="006D16A4">
      <w:pPr>
        <w:pStyle w:val="Default"/>
        <w:rPr>
          <w:rFonts w:ascii="Times New Roman" w:hAnsi="Times New Roman"/>
          <w:color w:val="auto"/>
        </w:rPr>
      </w:pPr>
    </w:p>
    <w:p w:rsidR="00B40ADD" w:rsidRDefault="00B40ADD" w:rsidP="005B715E">
      <w:pPr>
        <w:autoSpaceDE w:val="0"/>
        <w:autoSpaceDN w:val="0"/>
        <w:adjustRightInd w:val="0"/>
        <w:spacing w:after="0" w:line="240" w:lineRule="auto"/>
        <w:rPr>
          <w:rFonts w:ascii="Times New Roman" w:hAnsi="Times New Roman"/>
          <w:sz w:val="24"/>
          <w:szCs w:val="24"/>
        </w:rPr>
      </w:pPr>
    </w:p>
    <w:p w:rsidR="00B40ADD" w:rsidRDefault="00B40ADD" w:rsidP="005B715E">
      <w:pPr>
        <w:autoSpaceDE w:val="0"/>
        <w:autoSpaceDN w:val="0"/>
        <w:adjustRightInd w:val="0"/>
        <w:spacing w:after="0" w:line="240" w:lineRule="auto"/>
        <w:rPr>
          <w:rFonts w:ascii="Times New Roman" w:hAnsi="Times New Roman"/>
          <w:sz w:val="24"/>
          <w:szCs w:val="24"/>
        </w:rPr>
      </w:pPr>
    </w:p>
    <w:p w:rsidR="00B40ADD" w:rsidRDefault="00B40ADD" w:rsidP="005B715E">
      <w:pPr>
        <w:autoSpaceDE w:val="0"/>
        <w:autoSpaceDN w:val="0"/>
        <w:adjustRightInd w:val="0"/>
        <w:spacing w:after="0" w:line="240" w:lineRule="auto"/>
        <w:rPr>
          <w:rFonts w:ascii="Times New Roman" w:hAnsi="Times New Roman"/>
          <w:sz w:val="24"/>
          <w:szCs w:val="24"/>
        </w:rPr>
      </w:pPr>
    </w:p>
    <w:p w:rsidR="005E7BBE" w:rsidRDefault="005E7BBE" w:rsidP="005B715E">
      <w:pPr>
        <w:autoSpaceDE w:val="0"/>
        <w:autoSpaceDN w:val="0"/>
        <w:adjustRightInd w:val="0"/>
        <w:spacing w:after="0" w:line="240" w:lineRule="auto"/>
        <w:rPr>
          <w:rFonts w:ascii="Times New Roman" w:hAnsi="Times New Roman"/>
          <w:sz w:val="24"/>
          <w:szCs w:val="24"/>
        </w:rPr>
      </w:pPr>
    </w:p>
    <w:p w:rsidR="005E7BBE" w:rsidRDefault="005E7BBE" w:rsidP="005B715E">
      <w:pPr>
        <w:autoSpaceDE w:val="0"/>
        <w:autoSpaceDN w:val="0"/>
        <w:adjustRightInd w:val="0"/>
        <w:spacing w:after="0" w:line="240" w:lineRule="auto"/>
        <w:rPr>
          <w:rFonts w:ascii="Times New Roman" w:hAnsi="Times New Roman"/>
          <w:sz w:val="24"/>
          <w:szCs w:val="24"/>
        </w:rPr>
      </w:pPr>
    </w:p>
    <w:p w:rsidR="005E7BBE" w:rsidRDefault="005E7BBE" w:rsidP="005B715E">
      <w:pPr>
        <w:autoSpaceDE w:val="0"/>
        <w:autoSpaceDN w:val="0"/>
        <w:adjustRightInd w:val="0"/>
        <w:spacing w:after="0" w:line="240" w:lineRule="auto"/>
        <w:rPr>
          <w:rFonts w:ascii="Times New Roman" w:hAnsi="Times New Roman"/>
          <w:sz w:val="24"/>
          <w:szCs w:val="24"/>
        </w:rPr>
      </w:pPr>
    </w:p>
    <w:p w:rsidR="005E7BBE" w:rsidRDefault="005E7BBE" w:rsidP="005B715E">
      <w:pPr>
        <w:autoSpaceDE w:val="0"/>
        <w:autoSpaceDN w:val="0"/>
        <w:adjustRightInd w:val="0"/>
        <w:spacing w:after="0" w:line="240" w:lineRule="auto"/>
        <w:rPr>
          <w:rFonts w:ascii="Times New Roman" w:hAnsi="Times New Roman"/>
          <w:sz w:val="24"/>
          <w:szCs w:val="24"/>
        </w:rPr>
      </w:pPr>
    </w:p>
    <w:p w:rsidR="005E7BBE" w:rsidRDefault="005E7BBE" w:rsidP="005B715E">
      <w:pPr>
        <w:autoSpaceDE w:val="0"/>
        <w:autoSpaceDN w:val="0"/>
        <w:adjustRightInd w:val="0"/>
        <w:spacing w:after="0" w:line="240" w:lineRule="auto"/>
        <w:rPr>
          <w:rFonts w:ascii="Times New Roman" w:hAnsi="Times New Roman"/>
          <w:sz w:val="24"/>
          <w:szCs w:val="24"/>
        </w:rPr>
      </w:pPr>
    </w:p>
    <w:p w:rsidR="005E7BBE" w:rsidRDefault="005E7BBE" w:rsidP="005B715E">
      <w:pPr>
        <w:autoSpaceDE w:val="0"/>
        <w:autoSpaceDN w:val="0"/>
        <w:adjustRightInd w:val="0"/>
        <w:spacing w:after="0" w:line="240" w:lineRule="auto"/>
        <w:rPr>
          <w:rFonts w:ascii="Times New Roman" w:hAnsi="Times New Roman"/>
          <w:sz w:val="24"/>
          <w:szCs w:val="24"/>
        </w:rPr>
      </w:pPr>
    </w:p>
    <w:p w:rsidR="00B40ADD" w:rsidRPr="005E7F44" w:rsidRDefault="00B40ADD" w:rsidP="005B715E">
      <w:pPr>
        <w:autoSpaceDE w:val="0"/>
        <w:autoSpaceDN w:val="0"/>
        <w:adjustRightInd w:val="0"/>
        <w:spacing w:after="0" w:line="240" w:lineRule="auto"/>
        <w:rPr>
          <w:rFonts w:ascii="Times New Roman" w:hAnsi="Times New Roman"/>
          <w:sz w:val="24"/>
          <w:szCs w:val="24"/>
        </w:rPr>
      </w:pPr>
    </w:p>
    <w:p w:rsidR="0043141E" w:rsidRPr="00097C6C" w:rsidRDefault="0043141E" w:rsidP="0043141E">
      <w:pPr>
        <w:autoSpaceDE w:val="0"/>
        <w:autoSpaceDN w:val="0"/>
        <w:adjustRightInd w:val="0"/>
        <w:spacing w:after="0" w:line="240" w:lineRule="auto"/>
        <w:rPr>
          <w:rFonts w:ascii="Times New Roman" w:hAnsi="Times New Roman"/>
          <w:sz w:val="24"/>
          <w:szCs w:val="24"/>
        </w:rPr>
      </w:pPr>
    </w:p>
    <w:p w:rsidR="0043141E" w:rsidRPr="00097C6C" w:rsidRDefault="0043141E" w:rsidP="0043141E">
      <w:pPr>
        <w:autoSpaceDE w:val="0"/>
        <w:autoSpaceDN w:val="0"/>
        <w:adjustRightInd w:val="0"/>
        <w:spacing w:after="0" w:line="240" w:lineRule="auto"/>
        <w:rPr>
          <w:rFonts w:ascii="Times New Roman" w:hAnsi="Times New Roman"/>
          <w:sz w:val="24"/>
          <w:szCs w:val="24"/>
        </w:rPr>
      </w:pPr>
    </w:p>
    <w:p w:rsidR="0043141E" w:rsidRPr="00097C6C" w:rsidRDefault="0043141E" w:rsidP="0043141E">
      <w:pPr>
        <w:autoSpaceDE w:val="0"/>
        <w:autoSpaceDN w:val="0"/>
        <w:adjustRightInd w:val="0"/>
        <w:spacing w:after="0" w:line="400" w:lineRule="atLeast"/>
        <w:rPr>
          <w:rFonts w:ascii="Times New Roman" w:hAnsi="Times New Roman"/>
          <w:sz w:val="24"/>
          <w:szCs w:val="24"/>
        </w:rPr>
      </w:pPr>
    </w:p>
    <w:p w:rsidR="00C727F3" w:rsidRDefault="00C727F3" w:rsidP="00C727F3">
      <w:pPr>
        <w:autoSpaceDE w:val="0"/>
        <w:autoSpaceDN w:val="0"/>
        <w:adjustRightInd w:val="0"/>
        <w:spacing w:after="0" w:line="240" w:lineRule="auto"/>
        <w:rPr>
          <w:rFonts w:ascii="Times New Roman" w:hAnsi="Times New Roman"/>
          <w:sz w:val="24"/>
          <w:szCs w:val="24"/>
        </w:rPr>
      </w:pPr>
    </w:p>
    <w:p w:rsidR="0067347E" w:rsidRDefault="0067347E" w:rsidP="00C727F3">
      <w:pPr>
        <w:autoSpaceDE w:val="0"/>
        <w:autoSpaceDN w:val="0"/>
        <w:adjustRightInd w:val="0"/>
        <w:spacing w:after="0" w:line="240" w:lineRule="auto"/>
        <w:rPr>
          <w:rFonts w:ascii="Times New Roman" w:hAnsi="Times New Roman"/>
          <w:sz w:val="24"/>
          <w:szCs w:val="24"/>
        </w:rPr>
      </w:pPr>
    </w:p>
    <w:p w:rsidR="0067347E" w:rsidRDefault="0067347E" w:rsidP="00C727F3">
      <w:pPr>
        <w:autoSpaceDE w:val="0"/>
        <w:autoSpaceDN w:val="0"/>
        <w:adjustRightInd w:val="0"/>
        <w:spacing w:after="0" w:line="240" w:lineRule="auto"/>
        <w:rPr>
          <w:rFonts w:ascii="Times New Roman" w:hAnsi="Times New Roman"/>
          <w:sz w:val="24"/>
          <w:szCs w:val="24"/>
        </w:rPr>
      </w:pPr>
    </w:p>
    <w:p w:rsidR="0067347E" w:rsidRDefault="0067347E" w:rsidP="00C727F3">
      <w:pPr>
        <w:autoSpaceDE w:val="0"/>
        <w:autoSpaceDN w:val="0"/>
        <w:adjustRightInd w:val="0"/>
        <w:spacing w:after="0" w:line="240" w:lineRule="auto"/>
        <w:rPr>
          <w:rFonts w:ascii="Times New Roman" w:hAnsi="Times New Roman"/>
          <w:sz w:val="24"/>
          <w:szCs w:val="24"/>
        </w:rPr>
      </w:pPr>
    </w:p>
    <w:p w:rsidR="0067347E" w:rsidRDefault="0067347E" w:rsidP="00C727F3">
      <w:pPr>
        <w:autoSpaceDE w:val="0"/>
        <w:autoSpaceDN w:val="0"/>
        <w:adjustRightInd w:val="0"/>
        <w:spacing w:after="0" w:line="240" w:lineRule="auto"/>
        <w:rPr>
          <w:rFonts w:ascii="Times New Roman" w:hAnsi="Times New Roman"/>
          <w:sz w:val="24"/>
          <w:szCs w:val="24"/>
        </w:rPr>
      </w:pPr>
    </w:p>
    <w:p w:rsidR="0067347E" w:rsidRDefault="0067347E" w:rsidP="00C727F3">
      <w:pPr>
        <w:autoSpaceDE w:val="0"/>
        <w:autoSpaceDN w:val="0"/>
        <w:adjustRightInd w:val="0"/>
        <w:spacing w:after="0" w:line="240" w:lineRule="auto"/>
        <w:rPr>
          <w:rFonts w:ascii="Times New Roman" w:hAnsi="Times New Roman"/>
          <w:sz w:val="24"/>
          <w:szCs w:val="24"/>
        </w:rPr>
      </w:pPr>
    </w:p>
    <w:p w:rsidR="0067347E" w:rsidRDefault="0067347E" w:rsidP="00C727F3">
      <w:pPr>
        <w:autoSpaceDE w:val="0"/>
        <w:autoSpaceDN w:val="0"/>
        <w:adjustRightInd w:val="0"/>
        <w:spacing w:after="0" w:line="240" w:lineRule="auto"/>
        <w:rPr>
          <w:rFonts w:ascii="Times New Roman" w:hAnsi="Times New Roman"/>
          <w:sz w:val="24"/>
          <w:szCs w:val="24"/>
        </w:rPr>
      </w:pPr>
    </w:p>
    <w:p w:rsidR="0067347E" w:rsidRDefault="0067347E" w:rsidP="00C727F3">
      <w:pPr>
        <w:autoSpaceDE w:val="0"/>
        <w:autoSpaceDN w:val="0"/>
        <w:adjustRightInd w:val="0"/>
        <w:spacing w:after="0" w:line="240" w:lineRule="auto"/>
        <w:rPr>
          <w:rFonts w:ascii="Times New Roman" w:hAnsi="Times New Roman"/>
          <w:sz w:val="24"/>
          <w:szCs w:val="24"/>
        </w:rPr>
      </w:pPr>
    </w:p>
    <w:p w:rsidR="0067347E" w:rsidRPr="005E7F44" w:rsidRDefault="0067347E" w:rsidP="00C727F3">
      <w:pPr>
        <w:autoSpaceDE w:val="0"/>
        <w:autoSpaceDN w:val="0"/>
        <w:adjustRightInd w:val="0"/>
        <w:spacing w:after="0" w:line="240" w:lineRule="auto"/>
        <w:rPr>
          <w:rFonts w:ascii="Times New Roman" w:hAnsi="Times New Roman"/>
          <w:sz w:val="24"/>
          <w:szCs w:val="24"/>
        </w:rPr>
      </w:pPr>
    </w:p>
    <w:p w:rsidR="00C727F3" w:rsidRPr="005E7F44" w:rsidRDefault="00C727F3" w:rsidP="00C727F3">
      <w:pPr>
        <w:autoSpaceDE w:val="0"/>
        <w:autoSpaceDN w:val="0"/>
        <w:adjustRightInd w:val="0"/>
        <w:spacing w:after="0" w:line="240" w:lineRule="auto"/>
        <w:rPr>
          <w:rFonts w:ascii="Times New Roman" w:hAnsi="Times New Roman"/>
          <w:sz w:val="24"/>
          <w:szCs w:val="24"/>
        </w:rPr>
      </w:pPr>
    </w:p>
    <w:p w:rsidR="00C727F3" w:rsidRPr="005E7F44" w:rsidRDefault="00C727F3" w:rsidP="00C727F3">
      <w:pPr>
        <w:autoSpaceDE w:val="0"/>
        <w:autoSpaceDN w:val="0"/>
        <w:adjustRightInd w:val="0"/>
        <w:spacing w:after="0" w:line="400" w:lineRule="atLeast"/>
        <w:rPr>
          <w:rFonts w:ascii="Times New Roman" w:hAnsi="Times New Roman"/>
          <w:sz w:val="24"/>
          <w:szCs w:val="24"/>
        </w:rPr>
      </w:pPr>
    </w:p>
    <w:p w:rsidR="00C727F3" w:rsidRDefault="00C727F3" w:rsidP="005B715E">
      <w:pPr>
        <w:autoSpaceDE w:val="0"/>
        <w:autoSpaceDN w:val="0"/>
        <w:adjustRightInd w:val="0"/>
        <w:spacing w:after="0" w:line="240" w:lineRule="auto"/>
        <w:rPr>
          <w:rFonts w:ascii="Times New Roman" w:hAnsi="Times New Roman"/>
          <w:sz w:val="24"/>
          <w:szCs w:val="24"/>
        </w:rPr>
      </w:pPr>
    </w:p>
    <w:p w:rsidR="00047D08" w:rsidRDefault="00047D08" w:rsidP="005B715E">
      <w:pPr>
        <w:autoSpaceDE w:val="0"/>
        <w:autoSpaceDN w:val="0"/>
        <w:adjustRightInd w:val="0"/>
        <w:spacing w:after="0" w:line="240" w:lineRule="auto"/>
        <w:rPr>
          <w:rFonts w:ascii="Times New Roman" w:hAnsi="Times New Roman"/>
          <w:sz w:val="24"/>
          <w:szCs w:val="24"/>
        </w:rPr>
      </w:pPr>
    </w:p>
    <w:p w:rsidR="00047D08" w:rsidRDefault="00047D08" w:rsidP="005B715E">
      <w:pPr>
        <w:autoSpaceDE w:val="0"/>
        <w:autoSpaceDN w:val="0"/>
        <w:adjustRightInd w:val="0"/>
        <w:spacing w:after="0" w:line="240" w:lineRule="auto"/>
        <w:rPr>
          <w:rFonts w:ascii="Times New Roman" w:hAnsi="Times New Roman"/>
          <w:sz w:val="24"/>
          <w:szCs w:val="24"/>
        </w:rPr>
      </w:pPr>
    </w:p>
    <w:p w:rsidR="00047D08" w:rsidRDefault="00047D08" w:rsidP="005B715E">
      <w:pPr>
        <w:autoSpaceDE w:val="0"/>
        <w:autoSpaceDN w:val="0"/>
        <w:adjustRightInd w:val="0"/>
        <w:spacing w:after="0" w:line="240" w:lineRule="auto"/>
        <w:rPr>
          <w:rFonts w:ascii="Times New Roman" w:hAnsi="Times New Roman"/>
          <w:sz w:val="24"/>
          <w:szCs w:val="24"/>
        </w:rPr>
      </w:pPr>
    </w:p>
    <w:p w:rsidR="00BF1E4D" w:rsidRDefault="00BF1E4D" w:rsidP="005B715E">
      <w:pPr>
        <w:autoSpaceDE w:val="0"/>
        <w:autoSpaceDN w:val="0"/>
        <w:adjustRightInd w:val="0"/>
        <w:spacing w:after="0" w:line="240" w:lineRule="auto"/>
        <w:rPr>
          <w:rFonts w:ascii="Times New Roman" w:hAnsi="Times New Roman"/>
          <w:sz w:val="24"/>
          <w:szCs w:val="24"/>
        </w:rPr>
      </w:pPr>
    </w:p>
    <w:p w:rsidR="00BF1E4D" w:rsidRDefault="00BF1E4D" w:rsidP="005B715E">
      <w:pPr>
        <w:autoSpaceDE w:val="0"/>
        <w:autoSpaceDN w:val="0"/>
        <w:adjustRightInd w:val="0"/>
        <w:spacing w:after="0" w:line="240" w:lineRule="auto"/>
        <w:rPr>
          <w:rFonts w:ascii="Times New Roman" w:hAnsi="Times New Roman"/>
          <w:sz w:val="24"/>
          <w:szCs w:val="24"/>
        </w:rPr>
      </w:pPr>
    </w:p>
    <w:p w:rsidR="0067347E" w:rsidRPr="005E7F44" w:rsidRDefault="0067347E" w:rsidP="005B715E">
      <w:pPr>
        <w:autoSpaceDE w:val="0"/>
        <w:autoSpaceDN w:val="0"/>
        <w:adjustRightInd w:val="0"/>
        <w:spacing w:after="0" w:line="240" w:lineRule="auto"/>
        <w:rPr>
          <w:rFonts w:ascii="Times New Roman" w:hAnsi="Times New Roman"/>
          <w:sz w:val="24"/>
          <w:szCs w:val="24"/>
        </w:rPr>
      </w:pPr>
    </w:p>
    <w:p w:rsidR="00566663" w:rsidRPr="00117543" w:rsidRDefault="001758EA" w:rsidP="00566663">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pt-PT" w:eastAsia="pt-PT"/>
        </w:rPr>
        <w:drawing>
          <wp:inline distT="0" distB="0" distL="0" distR="0">
            <wp:extent cx="2562225" cy="2047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62225" cy="2047875"/>
                    </a:xfrm>
                    <a:prstGeom prst="rect">
                      <a:avLst/>
                    </a:prstGeom>
                    <a:noFill/>
                    <a:ln w="9525">
                      <a:noFill/>
                      <a:miter lim="800000"/>
                      <a:headEnd/>
                      <a:tailEnd/>
                    </a:ln>
                  </pic:spPr>
                </pic:pic>
              </a:graphicData>
            </a:graphic>
          </wp:inline>
        </w:drawing>
      </w:r>
      <w:r w:rsidR="00CA57E9" w:rsidRPr="00CA57E9">
        <w:rPr>
          <w:rFonts w:ascii="Times New Roman" w:hAnsi="Times New Roman"/>
          <w:sz w:val="24"/>
          <w:szCs w:val="24"/>
        </w:rPr>
        <w:t xml:space="preserve"> </w:t>
      </w:r>
      <w:r>
        <w:rPr>
          <w:rFonts w:ascii="Times New Roman" w:hAnsi="Times New Roman"/>
          <w:noProof/>
          <w:sz w:val="24"/>
          <w:szCs w:val="24"/>
          <w:lang w:val="pt-PT" w:eastAsia="pt-PT"/>
        </w:rPr>
        <w:drawing>
          <wp:inline distT="0" distB="0" distL="0" distR="0">
            <wp:extent cx="2562225" cy="20478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562225" cy="2047875"/>
                    </a:xfrm>
                    <a:prstGeom prst="rect">
                      <a:avLst/>
                    </a:prstGeom>
                    <a:noFill/>
                    <a:ln w="9525">
                      <a:noFill/>
                      <a:miter lim="800000"/>
                      <a:headEnd/>
                      <a:tailEnd/>
                    </a:ln>
                  </pic:spPr>
                </pic:pic>
              </a:graphicData>
            </a:graphic>
          </wp:inline>
        </w:drawing>
      </w:r>
    </w:p>
    <w:p w:rsidR="005E7BBE" w:rsidRPr="005E7BBE" w:rsidRDefault="005E7BBE" w:rsidP="00FF5C9D">
      <w:pPr>
        <w:autoSpaceDE w:val="0"/>
        <w:autoSpaceDN w:val="0"/>
        <w:adjustRightInd w:val="0"/>
        <w:spacing w:after="0" w:line="240" w:lineRule="auto"/>
        <w:rPr>
          <w:rFonts w:ascii="Times New Roman" w:hAnsi="Times New Roman"/>
          <w:sz w:val="24"/>
          <w:szCs w:val="24"/>
        </w:rPr>
      </w:pPr>
      <w:r w:rsidRPr="005E7BB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w:t>
      </w:r>
    </w:p>
    <w:p w:rsidR="006B4E58" w:rsidRPr="005E7BBE" w:rsidRDefault="006B4E58" w:rsidP="00FF5C9D">
      <w:pPr>
        <w:autoSpaceDE w:val="0"/>
        <w:autoSpaceDN w:val="0"/>
        <w:adjustRightInd w:val="0"/>
        <w:spacing w:after="0" w:line="240" w:lineRule="auto"/>
        <w:rPr>
          <w:rFonts w:ascii="Times New Roman" w:hAnsi="Times New Roman"/>
          <w:sz w:val="24"/>
          <w:szCs w:val="24"/>
        </w:rPr>
      </w:pPr>
    </w:p>
    <w:p w:rsidR="0043141E" w:rsidRPr="00EF74A8" w:rsidRDefault="0043141E" w:rsidP="0043141E">
      <w:pPr>
        <w:autoSpaceDE w:val="0"/>
        <w:autoSpaceDN w:val="0"/>
        <w:adjustRightInd w:val="0"/>
        <w:spacing w:after="0" w:line="240" w:lineRule="auto"/>
        <w:rPr>
          <w:rFonts w:ascii="Arial" w:hAnsi="Arial" w:cs="Arial"/>
          <w:sz w:val="20"/>
          <w:szCs w:val="20"/>
        </w:rPr>
      </w:pPr>
      <w:r w:rsidRPr="00EF74A8">
        <w:rPr>
          <w:rFonts w:ascii="Arial" w:hAnsi="Arial" w:cs="Arial"/>
          <w:b/>
          <w:sz w:val="20"/>
          <w:szCs w:val="20"/>
        </w:rPr>
        <w:t xml:space="preserve">Figure 4: </w:t>
      </w:r>
      <w:r w:rsidR="00050FB0" w:rsidRPr="00EF74A8">
        <w:rPr>
          <w:rFonts w:ascii="Arial" w:hAnsi="Arial" w:cs="Arial"/>
          <w:sz w:val="20"/>
          <w:szCs w:val="20"/>
        </w:rPr>
        <w:t>Disease</w:t>
      </w:r>
      <w:r w:rsidR="00DF1342" w:rsidRPr="00EF74A8">
        <w:rPr>
          <w:rFonts w:ascii="Arial" w:hAnsi="Arial" w:cs="Arial"/>
          <w:sz w:val="20"/>
          <w:szCs w:val="20"/>
        </w:rPr>
        <w:t>-specific</w:t>
      </w:r>
      <w:r w:rsidR="00050FB0" w:rsidRPr="00EF74A8">
        <w:rPr>
          <w:rFonts w:ascii="Arial" w:hAnsi="Arial" w:cs="Arial"/>
          <w:sz w:val="20"/>
          <w:szCs w:val="20"/>
        </w:rPr>
        <w:t xml:space="preserve"> overall</w:t>
      </w:r>
      <w:r w:rsidRPr="00EF74A8">
        <w:rPr>
          <w:rFonts w:ascii="Arial" w:hAnsi="Arial" w:cs="Arial"/>
          <w:sz w:val="20"/>
          <w:szCs w:val="20"/>
        </w:rPr>
        <w:t xml:space="preserve"> survival </w:t>
      </w:r>
      <w:r w:rsidR="005E7BBE" w:rsidRPr="00EF74A8">
        <w:rPr>
          <w:rFonts w:ascii="Arial" w:hAnsi="Arial" w:cs="Arial"/>
          <w:sz w:val="20"/>
          <w:szCs w:val="20"/>
        </w:rPr>
        <w:t>(A)</w:t>
      </w:r>
      <w:r w:rsidR="00ED09D4" w:rsidRPr="00EF74A8">
        <w:rPr>
          <w:rFonts w:ascii="Arial" w:hAnsi="Arial" w:cs="Arial"/>
          <w:sz w:val="20"/>
          <w:szCs w:val="20"/>
        </w:rPr>
        <w:t xml:space="preserve"> and </w:t>
      </w:r>
      <w:r w:rsidR="004964B0" w:rsidRPr="00EF74A8">
        <w:rPr>
          <w:rFonts w:ascii="Arial" w:hAnsi="Arial" w:cs="Arial"/>
          <w:sz w:val="20"/>
          <w:szCs w:val="20"/>
        </w:rPr>
        <w:t>disease-</w:t>
      </w:r>
      <w:r w:rsidR="00ED09D4" w:rsidRPr="00EF74A8">
        <w:rPr>
          <w:rFonts w:ascii="Arial" w:hAnsi="Arial" w:cs="Arial"/>
          <w:sz w:val="20"/>
          <w:szCs w:val="20"/>
        </w:rPr>
        <w:t>free survi</w:t>
      </w:r>
      <w:r w:rsidR="005E7BBE" w:rsidRPr="00EF74A8">
        <w:rPr>
          <w:rFonts w:ascii="Arial" w:hAnsi="Arial" w:cs="Arial"/>
          <w:sz w:val="20"/>
          <w:szCs w:val="20"/>
        </w:rPr>
        <w:t xml:space="preserve">val (B) curves </w:t>
      </w:r>
      <w:r w:rsidRPr="00EF74A8">
        <w:rPr>
          <w:rFonts w:ascii="Arial" w:hAnsi="Arial" w:cs="Arial"/>
          <w:sz w:val="20"/>
          <w:szCs w:val="20"/>
        </w:rPr>
        <w:t>of malignant epithelial salivary gland tumors</w:t>
      </w:r>
      <w:r w:rsidR="00325814" w:rsidRPr="00EF74A8">
        <w:rPr>
          <w:rFonts w:ascii="Arial" w:hAnsi="Arial" w:cs="Arial"/>
          <w:sz w:val="20"/>
          <w:szCs w:val="20"/>
        </w:rPr>
        <w:t xml:space="preserve"> (n=43</w:t>
      </w:r>
      <w:r w:rsidR="00886D79" w:rsidRPr="00EF74A8">
        <w:rPr>
          <w:rFonts w:ascii="Arial" w:hAnsi="Arial" w:cs="Arial"/>
          <w:sz w:val="20"/>
          <w:szCs w:val="20"/>
        </w:rPr>
        <w:t>)</w:t>
      </w:r>
      <w:r w:rsidRPr="00EF74A8">
        <w:rPr>
          <w:rFonts w:ascii="Arial" w:hAnsi="Arial" w:cs="Arial"/>
          <w:sz w:val="20"/>
          <w:szCs w:val="20"/>
        </w:rPr>
        <w:t>.</w:t>
      </w:r>
    </w:p>
    <w:p w:rsidR="0043141E" w:rsidRDefault="0043141E" w:rsidP="0043141E">
      <w:pPr>
        <w:autoSpaceDE w:val="0"/>
        <w:autoSpaceDN w:val="0"/>
        <w:adjustRightInd w:val="0"/>
        <w:spacing w:after="0" w:line="240" w:lineRule="auto"/>
        <w:rPr>
          <w:rFonts w:ascii="Times New Roman" w:hAnsi="Times New Roman"/>
          <w:sz w:val="24"/>
          <w:szCs w:val="24"/>
        </w:rPr>
      </w:pPr>
    </w:p>
    <w:p w:rsidR="0043141E" w:rsidRDefault="0043141E"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A136C8" w:rsidRDefault="00A136C8" w:rsidP="0043141E">
      <w:pPr>
        <w:autoSpaceDE w:val="0"/>
        <w:autoSpaceDN w:val="0"/>
        <w:adjustRightInd w:val="0"/>
        <w:spacing w:after="0" w:line="240" w:lineRule="auto"/>
        <w:rPr>
          <w:rFonts w:ascii="Times New Roman" w:hAnsi="Times New Roman"/>
          <w:sz w:val="24"/>
          <w:szCs w:val="24"/>
        </w:rPr>
      </w:pPr>
    </w:p>
    <w:p w:rsidR="0043141E" w:rsidRDefault="0043141E" w:rsidP="0043141E">
      <w:pPr>
        <w:autoSpaceDE w:val="0"/>
        <w:autoSpaceDN w:val="0"/>
        <w:adjustRightInd w:val="0"/>
        <w:spacing w:after="0" w:line="240" w:lineRule="auto"/>
        <w:rPr>
          <w:rFonts w:ascii="Times New Roman" w:hAnsi="Times New Roman"/>
          <w:sz w:val="24"/>
          <w:szCs w:val="24"/>
        </w:rPr>
      </w:pPr>
    </w:p>
    <w:p w:rsidR="00FF5C9D" w:rsidRPr="005E7BBE" w:rsidRDefault="00FF5C9D" w:rsidP="00FF5C9D">
      <w:pPr>
        <w:autoSpaceDE w:val="0"/>
        <w:autoSpaceDN w:val="0"/>
        <w:adjustRightInd w:val="0"/>
        <w:spacing w:after="0" w:line="240" w:lineRule="auto"/>
        <w:rPr>
          <w:rFonts w:ascii="Times New Roman" w:hAnsi="Times New Roman"/>
          <w:sz w:val="24"/>
          <w:szCs w:val="24"/>
        </w:rPr>
      </w:pPr>
    </w:p>
    <w:p w:rsidR="006B4E58" w:rsidRDefault="006B4E58"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C35BEB" w:rsidRDefault="00C35BEB" w:rsidP="00FF5C9D">
      <w:pPr>
        <w:autoSpaceDE w:val="0"/>
        <w:autoSpaceDN w:val="0"/>
        <w:adjustRightInd w:val="0"/>
        <w:spacing w:after="0" w:line="240" w:lineRule="auto"/>
        <w:rPr>
          <w:rFonts w:ascii="Times New Roman" w:hAnsi="Times New Roman"/>
          <w:sz w:val="24"/>
          <w:szCs w:val="24"/>
        </w:rPr>
      </w:pPr>
    </w:p>
    <w:p w:rsidR="00BF1E4D" w:rsidRDefault="00BF1E4D" w:rsidP="00A41A60">
      <w:pPr>
        <w:autoSpaceDE w:val="0"/>
        <w:autoSpaceDN w:val="0"/>
        <w:adjustRightInd w:val="0"/>
        <w:spacing w:after="0" w:line="240" w:lineRule="auto"/>
        <w:rPr>
          <w:rFonts w:ascii="Arial" w:hAnsi="Arial" w:cs="Arial"/>
          <w:b/>
          <w:sz w:val="20"/>
          <w:szCs w:val="20"/>
        </w:rPr>
      </w:pPr>
    </w:p>
    <w:p w:rsidR="00A41A60" w:rsidRPr="00CC28B8" w:rsidRDefault="00A41A60" w:rsidP="00A41A60">
      <w:pPr>
        <w:autoSpaceDE w:val="0"/>
        <w:autoSpaceDN w:val="0"/>
        <w:adjustRightInd w:val="0"/>
        <w:spacing w:after="0" w:line="240" w:lineRule="auto"/>
        <w:rPr>
          <w:rFonts w:ascii="Arial" w:hAnsi="Arial" w:cs="Arial"/>
          <w:sz w:val="24"/>
          <w:szCs w:val="24"/>
        </w:rPr>
      </w:pPr>
      <w:r w:rsidRPr="00CC28B8">
        <w:rPr>
          <w:rFonts w:ascii="Arial" w:hAnsi="Arial" w:cs="Arial"/>
          <w:b/>
          <w:sz w:val="20"/>
          <w:szCs w:val="20"/>
        </w:rPr>
        <w:t>Table 2:</w:t>
      </w:r>
      <w:r w:rsidRPr="00CC28B8">
        <w:rPr>
          <w:rFonts w:ascii="Arial" w:hAnsi="Arial" w:cs="Arial"/>
          <w:sz w:val="20"/>
          <w:szCs w:val="20"/>
        </w:rPr>
        <w:t xml:space="preserve"> Univariate analysis of disease specific survival and free-disease survival in primary malignant epithelial SGT.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
        <w:gridCol w:w="1134"/>
        <w:gridCol w:w="1134"/>
        <w:gridCol w:w="850"/>
        <w:gridCol w:w="1418"/>
        <w:gridCol w:w="1134"/>
        <w:gridCol w:w="850"/>
      </w:tblGrid>
      <w:tr w:rsidR="00FC4FA7" w:rsidRPr="00FC2F9D" w:rsidTr="00FC2F9D">
        <w:tc>
          <w:tcPr>
            <w:tcW w:w="1668" w:type="dxa"/>
            <w:vAlign w:val="center"/>
          </w:tcPr>
          <w:p w:rsidR="00FC4FA7" w:rsidRPr="00FC2F9D" w:rsidRDefault="00FC4FA7"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Variables</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n</w:t>
            </w:r>
          </w:p>
        </w:tc>
        <w:tc>
          <w:tcPr>
            <w:tcW w:w="1134" w:type="dxa"/>
            <w:vAlign w:val="center"/>
          </w:tcPr>
          <w:p w:rsidR="000A5BD2" w:rsidRPr="00FC2F9D" w:rsidRDefault="00FC4FA7"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Death of disease</w:t>
            </w:r>
            <w:r w:rsidR="000A5BD2" w:rsidRPr="00FC2F9D">
              <w:rPr>
                <w:rFonts w:ascii="Arial" w:hAnsi="Arial" w:cs="Arial"/>
                <w:b/>
                <w:sz w:val="20"/>
                <w:szCs w:val="20"/>
              </w:rPr>
              <w:t xml:space="preserve"> </w:t>
            </w:r>
          </w:p>
          <w:p w:rsidR="00FC4FA7" w:rsidRPr="00FC2F9D" w:rsidRDefault="00FC4FA7"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n</w:t>
            </w:r>
          </w:p>
        </w:tc>
        <w:tc>
          <w:tcPr>
            <w:tcW w:w="1134" w:type="dxa"/>
            <w:vAlign w:val="center"/>
          </w:tcPr>
          <w:p w:rsidR="00FC4FA7" w:rsidRPr="00FC2F9D" w:rsidRDefault="00050FB0"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Disease</w:t>
            </w:r>
            <w:r w:rsidR="00FC4FA7" w:rsidRPr="00FC2F9D">
              <w:rPr>
                <w:rFonts w:ascii="Arial" w:hAnsi="Arial" w:cs="Arial"/>
                <w:b/>
                <w:sz w:val="20"/>
                <w:szCs w:val="20"/>
              </w:rPr>
              <w:t xml:space="preserve"> </w:t>
            </w:r>
            <w:r w:rsidRPr="00FC2F9D">
              <w:rPr>
                <w:rFonts w:ascii="Arial" w:hAnsi="Arial" w:cs="Arial"/>
                <w:b/>
                <w:sz w:val="20"/>
                <w:szCs w:val="20"/>
              </w:rPr>
              <w:t>specific</w:t>
            </w:r>
          </w:p>
          <w:p w:rsidR="00FC4FA7" w:rsidRPr="00FC2F9D" w:rsidRDefault="00FC4FA7"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survival</w:t>
            </w:r>
          </w:p>
        </w:tc>
        <w:tc>
          <w:tcPr>
            <w:tcW w:w="850" w:type="dxa"/>
            <w:vAlign w:val="center"/>
          </w:tcPr>
          <w:p w:rsidR="00FC4FA7" w:rsidRPr="00FC2F9D" w:rsidRDefault="003314B9"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p</w:t>
            </w:r>
            <w:r w:rsidRPr="00FC2F9D">
              <w:rPr>
                <w:rFonts w:ascii="Arial" w:hAnsi="Arial" w:cs="Arial"/>
                <w:b/>
                <w:sz w:val="20"/>
                <w:szCs w:val="20"/>
              </w:rPr>
              <w:br/>
            </w:r>
            <w:r w:rsidR="00D2675B" w:rsidRPr="00FC2F9D">
              <w:rPr>
                <w:rFonts w:ascii="Arial" w:hAnsi="Arial" w:cs="Arial"/>
                <w:b/>
                <w:sz w:val="16"/>
                <w:szCs w:val="16"/>
              </w:rPr>
              <w:t>(log-rank)</w:t>
            </w:r>
          </w:p>
        </w:tc>
        <w:tc>
          <w:tcPr>
            <w:tcW w:w="1418" w:type="dxa"/>
            <w:vAlign w:val="center"/>
          </w:tcPr>
          <w:p w:rsidR="00FC4FA7" w:rsidRPr="00FC2F9D" w:rsidRDefault="00FC4FA7"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Disease progression</w:t>
            </w:r>
            <w:r w:rsidR="005E0B38" w:rsidRPr="00FC2F9D">
              <w:rPr>
                <w:rFonts w:ascii="Arial" w:hAnsi="Arial" w:cs="Arial"/>
                <w:b/>
                <w:sz w:val="20"/>
                <w:szCs w:val="20"/>
              </w:rPr>
              <w:t xml:space="preserve"> </w:t>
            </w:r>
            <w:r w:rsidR="005E0B38" w:rsidRPr="00FC2F9D">
              <w:rPr>
                <w:rFonts w:ascii="Arial" w:hAnsi="Arial" w:cs="Arial"/>
                <w:b/>
                <w:sz w:val="20"/>
                <w:szCs w:val="20"/>
              </w:rPr>
              <w:br/>
              <w:t>n</w:t>
            </w:r>
          </w:p>
        </w:tc>
        <w:tc>
          <w:tcPr>
            <w:tcW w:w="1134" w:type="dxa"/>
            <w:vAlign w:val="center"/>
          </w:tcPr>
          <w:p w:rsidR="00FC4FA7" w:rsidRPr="00FC2F9D" w:rsidRDefault="001955E1"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Free-disease survival</w:t>
            </w:r>
          </w:p>
        </w:tc>
        <w:tc>
          <w:tcPr>
            <w:tcW w:w="850" w:type="dxa"/>
            <w:vAlign w:val="center"/>
          </w:tcPr>
          <w:p w:rsidR="00FC4FA7" w:rsidRPr="00FC2F9D" w:rsidRDefault="001955E1" w:rsidP="00FC2F9D">
            <w:pPr>
              <w:autoSpaceDE w:val="0"/>
              <w:autoSpaceDN w:val="0"/>
              <w:adjustRightInd w:val="0"/>
              <w:spacing w:after="0" w:line="240" w:lineRule="auto"/>
              <w:jc w:val="center"/>
              <w:rPr>
                <w:rFonts w:ascii="Arial" w:hAnsi="Arial" w:cs="Arial"/>
                <w:b/>
                <w:sz w:val="20"/>
                <w:szCs w:val="20"/>
              </w:rPr>
            </w:pPr>
            <w:r w:rsidRPr="00FC2F9D">
              <w:rPr>
                <w:rFonts w:ascii="Arial" w:hAnsi="Arial" w:cs="Arial"/>
                <w:b/>
                <w:sz w:val="20"/>
                <w:szCs w:val="20"/>
              </w:rPr>
              <w:t>p</w:t>
            </w:r>
            <w:r w:rsidRPr="00FC2F9D">
              <w:rPr>
                <w:rFonts w:ascii="Arial" w:hAnsi="Arial" w:cs="Arial"/>
                <w:b/>
                <w:sz w:val="20"/>
                <w:szCs w:val="20"/>
              </w:rPr>
              <w:br/>
            </w:r>
            <w:r w:rsidRPr="00FC2F9D">
              <w:rPr>
                <w:rFonts w:ascii="Arial" w:hAnsi="Arial" w:cs="Arial"/>
                <w:b/>
                <w:sz w:val="16"/>
                <w:szCs w:val="16"/>
              </w:rPr>
              <w:t>(log-rank)</w:t>
            </w:r>
          </w:p>
        </w:tc>
      </w:tr>
      <w:tr w:rsidR="00FC4FA7" w:rsidRPr="00FC2F9D" w:rsidTr="00FC2F9D">
        <w:tc>
          <w:tcPr>
            <w:tcW w:w="8755" w:type="dxa"/>
            <w:gridSpan w:val="8"/>
          </w:tcPr>
          <w:p w:rsidR="00FC4FA7" w:rsidRPr="00FC2F9D" w:rsidRDefault="00FC4FA7" w:rsidP="00FC2F9D">
            <w:pPr>
              <w:autoSpaceDE w:val="0"/>
              <w:autoSpaceDN w:val="0"/>
              <w:adjustRightInd w:val="0"/>
              <w:spacing w:after="0" w:line="240" w:lineRule="auto"/>
              <w:rPr>
                <w:rFonts w:ascii="Arial" w:hAnsi="Arial" w:cs="Arial"/>
                <w:b/>
                <w:sz w:val="20"/>
                <w:szCs w:val="20"/>
              </w:rPr>
            </w:pPr>
            <w:r w:rsidRPr="00FC2F9D">
              <w:rPr>
                <w:rFonts w:ascii="Arial" w:hAnsi="Arial" w:cs="Arial"/>
                <w:b/>
                <w:sz w:val="20"/>
                <w:szCs w:val="20"/>
              </w:rPr>
              <w:t>Gender</w:t>
            </w:r>
          </w:p>
        </w:tc>
      </w:tr>
      <w:tr w:rsidR="00FC4FA7" w:rsidRPr="00FC2F9D" w:rsidTr="00FC2F9D">
        <w:tc>
          <w:tcPr>
            <w:tcW w:w="1668" w:type="dxa"/>
          </w:tcPr>
          <w:p w:rsidR="00FC4FA7" w:rsidRPr="00FC2F9D" w:rsidRDefault="001A56A6" w:rsidP="00FC2F9D">
            <w:pPr>
              <w:autoSpaceDE w:val="0"/>
              <w:autoSpaceDN w:val="0"/>
              <w:adjustRightInd w:val="0"/>
              <w:spacing w:after="0" w:line="240" w:lineRule="auto"/>
              <w:rPr>
                <w:rFonts w:ascii="Arial" w:hAnsi="Arial" w:cs="Arial"/>
                <w:sz w:val="20"/>
                <w:szCs w:val="20"/>
              </w:rPr>
            </w:pPr>
            <w:r>
              <w:rPr>
                <w:rFonts w:ascii="Arial" w:hAnsi="Arial" w:cs="Arial"/>
                <w:sz w:val="20"/>
                <w:szCs w:val="20"/>
              </w:rPr>
              <w:t>Men</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23</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65.2  %</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0.035</w:t>
            </w:r>
          </w:p>
        </w:tc>
        <w:tc>
          <w:tcPr>
            <w:tcW w:w="1418"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11</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52.2 %</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0.166</w:t>
            </w:r>
          </w:p>
        </w:tc>
      </w:tr>
      <w:tr w:rsidR="00FC4FA7" w:rsidRPr="00FC2F9D" w:rsidTr="00FC2F9D">
        <w:tc>
          <w:tcPr>
            <w:tcW w:w="1668" w:type="dxa"/>
          </w:tcPr>
          <w:p w:rsidR="00FC4FA7" w:rsidRPr="00FC2F9D" w:rsidRDefault="001A56A6" w:rsidP="00FC2F9D">
            <w:pPr>
              <w:autoSpaceDE w:val="0"/>
              <w:autoSpaceDN w:val="0"/>
              <w:adjustRightInd w:val="0"/>
              <w:spacing w:after="0" w:line="240" w:lineRule="auto"/>
              <w:rPr>
                <w:rFonts w:ascii="Arial" w:hAnsi="Arial" w:cs="Arial"/>
                <w:sz w:val="20"/>
                <w:szCs w:val="20"/>
              </w:rPr>
            </w:pPr>
            <w:r>
              <w:rPr>
                <w:rFonts w:ascii="Arial" w:hAnsi="Arial" w:cs="Arial"/>
                <w:sz w:val="20"/>
                <w:szCs w:val="20"/>
              </w:rPr>
              <w:t>Women</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20</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90 %</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6</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70 %</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r w:rsidRPr="00FC2F9D">
              <w:rPr>
                <w:rFonts w:ascii="Arial" w:hAnsi="Arial" w:cs="Arial"/>
                <w:b/>
                <w:sz w:val="20"/>
                <w:szCs w:val="20"/>
              </w:rPr>
              <w:t>Age</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&lt; 60</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24</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83.3 %</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0.102</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66.6%</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0.159</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 60</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19</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68.4 %</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9</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52.6%</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r w:rsidRPr="00FC2F9D">
              <w:rPr>
                <w:rFonts w:ascii="Arial" w:hAnsi="Arial" w:cs="Arial"/>
                <w:b/>
                <w:sz w:val="20"/>
                <w:szCs w:val="20"/>
              </w:rPr>
              <w:t>Location</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i/>
                <w:sz w:val="20"/>
                <w:szCs w:val="20"/>
              </w:rPr>
              <w:t>major</w:t>
            </w:r>
            <w:r w:rsidRPr="00FC2F9D">
              <w:rPr>
                <w:rFonts w:ascii="Arial" w:hAnsi="Arial" w:cs="Arial"/>
                <w:sz w:val="20"/>
                <w:szCs w:val="20"/>
              </w:rPr>
              <w:t xml:space="preserve"> SG</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34</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73.5 %</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0.483</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14</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58.8 %</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0.965</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i/>
                <w:sz w:val="20"/>
                <w:szCs w:val="20"/>
              </w:rPr>
              <w:t>minor</w:t>
            </w:r>
            <w:r w:rsidRPr="00FC2F9D">
              <w:rPr>
                <w:rFonts w:ascii="Arial" w:hAnsi="Arial" w:cs="Arial"/>
                <w:sz w:val="20"/>
                <w:szCs w:val="20"/>
              </w:rPr>
              <w:t xml:space="preserve"> SG</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88.9 %</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3</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66.6 %</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proofErr w:type="spellStart"/>
            <w:r w:rsidRPr="00FC2F9D">
              <w:rPr>
                <w:rFonts w:ascii="Arial" w:hAnsi="Arial" w:cs="Arial"/>
                <w:b/>
                <w:sz w:val="20"/>
                <w:szCs w:val="20"/>
              </w:rPr>
              <w:t>pT</w:t>
            </w:r>
            <w:proofErr w:type="spellEnd"/>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T1</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14</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92.9%</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0.007</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92.9%</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0.002</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T2</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80%</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2</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60%</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T3</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20</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70%</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11</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45%</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T4</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3</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33.3%</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3</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proofErr w:type="spellStart"/>
            <w:r w:rsidRPr="00FC2F9D">
              <w:rPr>
                <w:rFonts w:ascii="Arial" w:hAnsi="Arial" w:cs="Arial"/>
                <w:b/>
                <w:sz w:val="20"/>
                <w:szCs w:val="20"/>
              </w:rPr>
              <w:t>pN</w:t>
            </w:r>
            <w:proofErr w:type="spellEnd"/>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N0</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19</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78.9%</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0.066</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57.9%</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0.073</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N+</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50%</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6</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25%</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b/>
                <w:sz w:val="20"/>
                <w:szCs w:val="20"/>
              </w:rPr>
              <w:t>Stage</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I</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14</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7.1%</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0.066</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7.1%</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0.006</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II</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20%</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2</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40%</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III</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18</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27.7%</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10</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55.5%</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IV</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3</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50%</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4</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66.6%</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b/>
                <w:sz w:val="20"/>
                <w:szCs w:val="20"/>
              </w:rPr>
              <w:t>Risk Stratification</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Low risk</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23</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4.3%</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0.002</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3</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13%</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&lt;0.001</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High risk</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20</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45%</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14</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70%</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r w:rsidRPr="00FC2F9D">
              <w:rPr>
                <w:rFonts w:ascii="Arial" w:hAnsi="Arial" w:cs="Arial"/>
                <w:b/>
                <w:sz w:val="20"/>
                <w:szCs w:val="20"/>
              </w:rPr>
              <w:t>Extra parenchymal extension (</w:t>
            </w:r>
            <w:r w:rsidRPr="00FC2F9D">
              <w:rPr>
                <w:rFonts w:ascii="Arial" w:hAnsi="Arial" w:cs="Arial"/>
                <w:b/>
                <w:i/>
                <w:sz w:val="20"/>
                <w:szCs w:val="20"/>
              </w:rPr>
              <w:t>major</w:t>
            </w:r>
            <w:r w:rsidRPr="00FC2F9D">
              <w:rPr>
                <w:rFonts w:ascii="Arial" w:hAnsi="Arial" w:cs="Arial"/>
                <w:b/>
                <w:sz w:val="20"/>
                <w:szCs w:val="20"/>
              </w:rPr>
              <w:t xml:space="preserve"> SGT)</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without</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12</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91.7%</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0.194</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83.4%</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0.004</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with</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22</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63.6%</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12</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45.5%</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proofErr w:type="spellStart"/>
            <w:r w:rsidRPr="00FC2F9D">
              <w:rPr>
                <w:rFonts w:ascii="Arial" w:hAnsi="Arial" w:cs="Arial"/>
                <w:b/>
                <w:sz w:val="20"/>
                <w:szCs w:val="20"/>
              </w:rPr>
              <w:t>Perineural</w:t>
            </w:r>
            <w:proofErr w:type="spellEnd"/>
            <w:r w:rsidRPr="00FC2F9D">
              <w:rPr>
                <w:rFonts w:ascii="Arial" w:hAnsi="Arial" w:cs="Arial"/>
                <w:b/>
                <w:sz w:val="20"/>
                <w:szCs w:val="20"/>
              </w:rPr>
              <w:t xml:space="preserve"> invasion</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without</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22</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90.9%</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0.0321</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77.3%</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0.017</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with</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21</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61.9%</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12</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42.9%</w:t>
            </w:r>
          </w:p>
        </w:tc>
        <w:tc>
          <w:tcPr>
            <w:tcW w:w="850" w:type="dxa"/>
            <w:vMerge/>
            <w:vAlign w:val="center"/>
          </w:tcPr>
          <w:p w:rsidR="00A301AF" w:rsidRPr="00FC2F9D" w:rsidRDefault="00A301AF" w:rsidP="00FC2F9D">
            <w:pPr>
              <w:autoSpaceDE w:val="0"/>
              <w:autoSpaceDN w:val="0"/>
              <w:adjustRightInd w:val="0"/>
              <w:spacing w:after="0" w:line="240" w:lineRule="auto"/>
              <w:jc w:val="center"/>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r w:rsidRPr="00FC2F9D">
              <w:rPr>
                <w:rFonts w:ascii="Arial" w:hAnsi="Arial" w:cs="Arial"/>
                <w:b/>
                <w:sz w:val="20"/>
                <w:szCs w:val="20"/>
              </w:rPr>
              <w:t>Vascular invasion</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without</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28</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3</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89.3%</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0.003</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78.6%</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0.001</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with</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15</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7</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53.3%</w:t>
            </w:r>
          </w:p>
        </w:tc>
        <w:tc>
          <w:tcPr>
            <w:tcW w:w="850" w:type="dxa"/>
            <w:vMerge/>
            <w:vAlign w:val="center"/>
          </w:tcPr>
          <w:p w:rsidR="00FC4FA7" w:rsidRPr="00FC2F9D" w:rsidRDefault="00FC4FA7" w:rsidP="00FC2F9D">
            <w:pPr>
              <w:autoSpaceDE w:val="0"/>
              <w:autoSpaceDN w:val="0"/>
              <w:adjustRightInd w:val="0"/>
              <w:jc w:val="center"/>
              <w:rPr>
                <w:rFonts w:ascii="Arial" w:hAnsi="Arial" w:cs="Arial"/>
                <w:sz w:val="20"/>
                <w:szCs w:val="20"/>
              </w:rPr>
            </w:pPr>
          </w:p>
        </w:tc>
        <w:tc>
          <w:tcPr>
            <w:tcW w:w="1418" w:type="dxa"/>
            <w:vAlign w:val="center"/>
          </w:tcPr>
          <w:p w:rsidR="00A301AF" w:rsidRPr="00FC2F9D" w:rsidRDefault="001955E1" w:rsidP="00FC2F9D">
            <w:pPr>
              <w:autoSpaceDE w:val="0"/>
              <w:autoSpaceDN w:val="0"/>
              <w:adjustRightInd w:val="0"/>
              <w:spacing w:after="0"/>
              <w:jc w:val="center"/>
              <w:rPr>
                <w:rFonts w:ascii="Arial" w:hAnsi="Arial" w:cs="Arial"/>
                <w:sz w:val="20"/>
                <w:szCs w:val="20"/>
              </w:rPr>
            </w:pPr>
            <w:r w:rsidRPr="00FC2F9D">
              <w:rPr>
                <w:rFonts w:ascii="Arial" w:hAnsi="Arial" w:cs="Arial"/>
                <w:sz w:val="20"/>
                <w:szCs w:val="20"/>
              </w:rPr>
              <w:t>11</w:t>
            </w:r>
          </w:p>
        </w:tc>
        <w:tc>
          <w:tcPr>
            <w:tcW w:w="1134" w:type="dxa"/>
            <w:vAlign w:val="center"/>
          </w:tcPr>
          <w:p w:rsidR="00A301AF" w:rsidRPr="00FC2F9D" w:rsidRDefault="001955E1"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26.7%</w:t>
            </w:r>
          </w:p>
        </w:tc>
        <w:tc>
          <w:tcPr>
            <w:tcW w:w="850" w:type="dxa"/>
            <w:vMerge/>
          </w:tcPr>
          <w:p w:rsidR="00A301AF" w:rsidRPr="00FC2F9D" w:rsidRDefault="00A301AF" w:rsidP="00FC2F9D">
            <w:pPr>
              <w:autoSpaceDE w:val="0"/>
              <w:autoSpaceDN w:val="0"/>
              <w:adjustRightInd w:val="0"/>
              <w:spacing w:after="0" w:line="240" w:lineRule="auto"/>
              <w:rPr>
                <w:rFonts w:ascii="Arial" w:hAnsi="Arial" w:cs="Arial"/>
                <w:sz w:val="20"/>
                <w:szCs w:val="20"/>
              </w:rPr>
            </w:pPr>
          </w:p>
        </w:tc>
      </w:tr>
      <w:tr w:rsidR="00FC4FA7" w:rsidRPr="00FC2F9D" w:rsidTr="00FC2F9D">
        <w:tc>
          <w:tcPr>
            <w:tcW w:w="8755" w:type="dxa"/>
            <w:gridSpan w:val="8"/>
          </w:tcPr>
          <w:p w:rsidR="00A301AF" w:rsidRPr="00FC2F9D" w:rsidRDefault="00FC4FA7" w:rsidP="00FC2F9D">
            <w:pPr>
              <w:autoSpaceDE w:val="0"/>
              <w:autoSpaceDN w:val="0"/>
              <w:adjustRightInd w:val="0"/>
              <w:spacing w:after="0" w:line="240" w:lineRule="auto"/>
              <w:rPr>
                <w:rFonts w:ascii="Arial" w:hAnsi="Arial" w:cs="Arial"/>
                <w:b/>
                <w:sz w:val="20"/>
                <w:szCs w:val="20"/>
              </w:rPr>
            </w:pPr>
            <w:r w:rsidRPr="00FC2F9D">
              <w:rPr>
                <w:rFonts w:ascii="Arial" w:hAnsi="Arial" w:cs="Arial"/>
                <w:b/>
                <w:sz w:val="20"/>
                <w:szCs w:val="20"/>
              </w:rPr>
              <w:t xml:space="preserve">Surgical </w:t>
            </w:r>
            <w:commentRangeStart w:id="3"/>
            <w:r w:rsidRPr="00FC2F9D">
              <w:rPr>
                <w:rFonts w:ascii="Arial" w:hAnsi="Arial" w:cs="Arial"/>
                <w:b/>
                <w:sz w:val="20"/>
                <w:szCs w:val="20"/>
              </w:rPr>
              <w:t>Margins</w:t>
            </w:r>
            <w:commentRangeEnd w:id="3"/>
            <w:r w:rsidR="0053435F">
              <w:rPr>
                <w:rStyle w:val="CommentReference"/>
              </w:rPr>
              <w:commentReference w:id="3"/>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Negative</w:t>
            </w:r>
            <w:r w:rsidR="00D2675B" w:rsidRPr="00FC2F9D">
              <w:rPr>
                <w:rFonts w:ascii="Arial" w:hAnsi="Arial" w:cs="Arial"/>
                <w:sz w:val="18"/>
                <w:szCs w:val="18"/>
              </w:rPr>
              <w:t xml:space="preserve"> (R0)</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20</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10%</w:t>
            </w:r>
          </w:p>
        </w:tc>
        <w:tc>
          <w:tcPr>
            <w:tcW w:w="850" w:type="dxa"/>
            <w:vMerge w:val="restart"/>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0.018</w:t>
            </w: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w:t>
            </w:r>
          </w:p>
        </w:tc>
        <w:tc>
          <w:tcPr>
            <w:tcW w:w="1134"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10%</w:t>
            </w:r>
          </w:p>
        </w:tc>
        <w:tc>
          <w:tcPr>
            <w:tcW w:w="850" w:type="dxa"/>
            <w:vMerge w:val="restart"/>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&lt;0.001</w:t>
            </w:r>
          </w:p>
        </w:tc>
      </w:tr>
      <w:tr w:rsidR="00FC4FA7" w:rsidRPr="00FC2F9D" w:rsidTr="00FC2F9D">
        <w:tc>
          <w:tcPr>
            <w:tcW w:w="1668" w:type="dxa"/>
          </w:tcPr>
          <w:p w:rsidR="00FC4FA7" w:rsidRPr="00FC2F9D" w:rsidRDefault="00FC4FA7" w:rsidP="00FC2F9D">
            <w:pPr>
              <w:autoSpaceDE w:val="0"/>
              <w:autoSpaceDN w:val="0"/>
              <w:adjustRightInd w:val="0"/>
              <w:spacing w:after="0" w:line="240" w:lineRule="auto"/>
              <w:rPr>
                <w:rFonts w:ascii="Arial" w:hAnsi="Arial" w:cs="Arial"/>
                <w:sz w:val="20"/>
                <w:szCs w:val="20"/>
              </w:rPr>
            </w:pPr>
            <w:r w:rsidRPr="00FC2F9D">
              <w:rPr>
                <w:rFonts w:ascii="Arial" w:hAnsi="Arial" w:cs="Arial"/>
                <w:sz w:val="20"/>
                <w:szCs w:val="20"/>
              </w:rPr>
              <w:t xml:space="preserve">Positive </w:t>
            </w:r>
            <w:r w:rsidR="00D2675B" w:rsidRPr="00FC2F9D">
              <w:rPr>
                <w:rFonts w:ascii="Arial" w:hAnsi="Arial" w:cs="Arial"/>
                <w:sz w:val="18"/>
                <w:szCs w:val="18"/>
              </w:rPr>
              <w:t>(R1/R2)</w:t>
            </w:r>
          </w:p>
        </w:tc>
        <w:tc>
          <w:tcPr>
            <w:tcW w:w="567"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23</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8</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34.8%</w:t>
            </w:r>
          </w:p>
        </w:tc>
        <w:tc>
          <w:tcPr>
            <w:tcW w:w="850" w:type="dxa"/>
            <w:vMerge/>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p>
        </w:tc>
        <w:tc>
          <w:tcPr>
            <w:tcW w:w="1418" w:type="dxa"/>
            <w:vAlign w:val="center"/>
          </w:tcPr>
          <w:p w:rsidR="00A301AF"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15</w:t>
            </w:r>
          </w:p>
        </w:tc>
        <w:tc>
          <w:tcPr>
            <w:tcW w:w="1134" w:type="dxa"/>
            <w:vAlign w:val="center"/>
          </w:tcPr>
          <w:p w:rsidR="00FC4FA7" w:rsidRPr="00FC2F9D" w:rsidRDefault="00FC4FA7" w:rsidP="00FC2F9D">
            <w:pPr>
              <w:autoSpaceDE w:val="0"/>
              <w:autoSpaceDN w:val="0"/>
              <w:adjustRightInd w:val="0"/>
              <w:spacing w:after="0" w:line="240" w:lineRule="auto"/>
              <w:jc w:val="center"/>
              <w:rPr>
                <w:rFonts w:ascii="Arial" w:hAnsi="Arial" w:cs="Arial"/>
                <w:sz w:val="20"/>
                <w:szCs w:val="20"/>
              </w:rPr>
            </w:pPr>
            <w:r w:rsidRPr="00FC2F9D">
              <w:rPr>
                <w:rFonts w:ascii="Arial" w:hAnsi="Arial" w:cs="Arial"/>
                <w:sz w:val="20"/>
                <w:szCs w:val="20"/>
              </w:rPr>
              <w:t>65.2%</w:t>
            </w:r>
          </w:p>
        </w:tc>
        <w:tc>
          <w:tcPr>
            <w:tcW w:w="850" w:type="dxa"/>
            <w:vMerge/>
          </w:tcPr>
          <w:p w:rsidR="00FC4FA7" w:rsidRPr="00FC2F9D" w:rsidRDefault="00FC4FA7" w:rsidP="00FC2F9D">
            <w:pPr>
              <w:autoSpaceDE w:val="0"/>
              <w:autoSpaceDN w:val="0"/>
              <w:adjustRightInd w:val="0"/>
              <w:spacing w:after="0" w:line="240" w:lineRule="auto"/>
              <w:rPr>
                <w:rFonts w:ascii="Arial" w:hAnsi="Arial" w:cs="Arial"/>
                <w:sz w:val="20"/>
                <w:szCs w:val="20"/>
              </w:rPr>
            </w:pPr>
          </w:p>
        </w:tc>
      </w:tr>
    </w:tbl>
    <w:p w:rsidR="003314B9" w:rsidRDefault="003314B9" w:rsidP="00FC4FA7">
      <w:pPr>
        <w:autoSpaceDE w:val="0"/>
        <w:autoSpaceDN w:val="0"/>
        <w:adjustRightInd w:val="0"/>
        <w:spacing w:after="0" w:line="240" w:lineRule="auto"/>
        <w:rPr>
          <w:rFonts w:ascii="Arial" w:hAnsi="Arial" w:cs="Arial"/>
          <w:b/>
          <w:sz w:val="20"/>
          <w:szCs w:val="20"/>
        </w:rPr>
      </w:pPr>
    </w:p>
    <w:p w:rsidR="00506D97" w:rsidRPr="00EA73FE" w:rsidRDefault="00506D97" w:rsidP="00E62DCD">
      <w:pPr>
        <w:spacing w:after="0" w:line="240" w:lineRule="auto"/>
        <w:rPr>
          <w:rFonts w:ascii="Arial" w:hAnsi="Arial" w:cs="Arial"/>
        </w:rPr>
      </w:pPr>
    </w:p>
    <w:sectPr w:rsidR="00506D97" w:rsidRPr="00EA73FE" w:rsidSect="00393F2A">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sé Manuel Lopes" w:date="2018-05-11T08:34:00Z" w:initials="JML">
    <w:p w:rsidR="00CC28B8" w:rsidRPr="0053435F" w:rsidRDefault="00CC28B8">
      <w:pPr>
        <w:pStyle w:val="CommentText"/>
        <w:rPr>
          <w:lang w:val="pt-PT"/>
        </w:rPr>
      </w:pPr>
      <w:r>
        <w:rPr>
          <w:rStyle w:val="CommentReference"/>
        </w:rPr>
        <w:annotationRef/>
      </w:r>
      <w:r>
        <w:rPr>
          <w:lang w:val="pt-PT"/>
        </w:rPr>
        <w:t>Este asterisco não está explicado no rodapé. Verificar/corrigir.</w:t>
      </w:r>
    </w:p>
  </w:comment>
  <w:comment w:id="2" w:author="José Manuel Lopes" w:date="2017-03-17T11:04:00Z" w:initials="JML">
    <w:p w:rsidR="00CC28B8" w:rsidRPr="00117543" w:rsidRDefault="00CC28B8">
      <w:pPr>
        <w:pStyle w:val="CommentText"/>
        <w:rPr>
          <w:lang w:val="pt-PT"/>
        </w:rPr>
      </w:pPr>
      <w:r>
        <w:rPr>
          <w:rStyle w:val="CommentReference"/>
        </w:rPr>
        <w:annotationRef/>
      </w:r>
      <w:r w:rsidRPr="00117543">
        <w:rPr>
          <w:lang w:val="pt-PT"/>
        </w:rPr>
        <w:t>completar significado em inglês</w:t>
      </w:r>
    </w:p>
  </w:comment>
  <w:comment w:id="3" w:author="José Manuel Lopes" w:date="2018-05-11T08:36:00Z" w:initials="JML">
    <w:p w:rsidR="00CC28B8" w:rsidRPr="0053435F" w:rsidRDefault="00CC28B8">
      <w:pPr>
        <w:pStyle w:val="CommentText"/>
        <w:rPr>
          <w:lang w:val="pt-PT"/>
        </w:rPr>
      </w:pPr>
      <w:r>
        <w:rPr>
          <w:rStyle w:val="CommentReference"/>
        </w:rPr>
        <w:annotationRef/>
      </w:r>
      <w:r>
        <w:rPr>
          <w:lang w:val="pt-PT"/>
        </w:rPr>
        <w:t>idem comentário anterior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6A" w:rsidRDefault="00264D6A" w:rsidP="000F1A37">
      <w:pPr>
        <w:spacing w:after="0" w:line="240" w:lineRule="auto"/>
      </w:pPr>
      <w:r>
        <w:separator/>
      </w:r>
    </w:p>
  </w:endnote>
  <w:endnote w:type="continuationSeparator" w:id="0">
    <w:p w:rsidR="00264D6A" w:rsidRDefault="00264D6A" w:rsidP="000F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ecilia-RomanS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6A" w:rsidRDefault="00264D6A" w:rsidP="000F1A37">
      <w:pPr>
        <w:spacing w:after="0" w:line="240" w:lineRule="auto"/>
      </w:pPr>
      <w:r>
        <w:separator/>
      </w:r>
    </w:p>
  </w:footnote>
  <w:footnote w:type="continuationSeparator" w:id="0">
    <w:p w:rsidR="00264D6A" w:rsidRDefault="00264D6A" w:rsidP="000F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61C91"/>
    <w:multiLevelType w:val="multilevel"/>
    <w:tmpl w:val="A3C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trackRevisions/>
  <w:defaultTabStop w:val="708"/>
  <w:hyphenationZone w:val="425"/>
  <w:characterSpacingControl w:val="doNotCompress"/>
  <w:footnotePr>
    <w:footnote w:id="-1"/>
    <w:footnote w:id="0"/>
  </w:footnotePr>
  <w:endnotePr>
    <w:endnote w:id="-1"/>
    <w:endnote w:id="0"/>
  </w:endnotePr>
  <w:compat/>
  <w:rsids>
    <w:rsidRoot w:val="00285A18"/>
    <w:rsid w:val="000002A5"/>
    <w:rsid w:val="00000498"/>
    <w:rsid w:val="00012B21"/>
    <w:rsid w:val="000175E1"/>
    <w:rsid w:val="00031B22"/>
    <w:rsid w:val="000342FF"/>
    <w:rsid w:val="0003436A"/>
    <w:rsid w:val="000361D8"/>
    <w:rsid w:val="000411F0"/>
    <w:rsid w:val="00047824"/>
    <w:rsid w:val="00047D08"/>
    <w:rsid w:val="00050FB0"/>
    <w:rsid w:val="0005179E"/>
    <w:rsid w:val="00051DB3"/>
    <w:rsid w:val="000629B7"/>
    <w:rsid w:val="000668D5"/>
    <w:rsid w:val="00070A2A"/>
    <w:rsid w:val="00076EDB"/>
    <w:rsid w:val="000817D1"/>
    <w:rsid w:val="0008324E"/>
    <w:rsid w:val="00086C76"/>
    <w:rsid w:val="00087148"/>
    <w:rsid w:val="0008730D"/>
    <w:rsid w:val="00090F2A"/>
    <w:rsid w:val="000953A2"/>
    <w:rsid w:val="000971CC"/>
    <w:rsid w:val="00097C6C"/>
    <w:rsid w:val="000A3C77"/>
    <w:rsid w:val="000A5BD2"/>
    <w:rsid w:val="000B3C8C"/>
    <w:rsid w:val="000B4475"/>
    <w:rsid w:val="000D2BBB"/>
    <w:rsid w:val="000E39E3"/>
    <w:rsid w:val="000F1A37"/>
    <w:rsid w:val="000F2C71"/>
    <w:rsid w:val="00100964"/>
    <w:rsid w:val="0011162C"/>
    <w:rsid w:val="00114394"/>
    <w:rsid w:val="001151BC"/>
    <w:rsid w:val="00117543"/>
    <w:rsid w:val="0012427B"/>
    <w:rsid w:val="00133ADD"/>
    <w:rsid w:val="00145A1C"/>
    <w:rsid w:val="00146AC7"/>
    <w:rsid w:val="001508F8"/>
    <w:rsid w:val="0015342A"/>
    <w:rsid w:val="001536C7"/>
    <w:rsid w:val="00160A87"/>
    <w:rsid w:val="001744E2"/>
    <w:rsid w:val="001758EA"/>
    <w:rsid w:val="0018226A"/>
    <w:rsid w:val="001879C3"/>
    <w:rsid w:val="001903D0"/>
    <w:rsid w:val="001955E1"/>
    <w:rsid w:val="00195756"/>
    <w:rsid w:val="0019736B"/>
    <w:rsid w:val="001A56A6"/>
    <w:rsid w:val="001A6BB0"/>
    <w:rsid w:val="001A70EF"/>
    <w:rsid w:val="001B777F"/>
    <w:rsid w:val="001C30C4"/>
    <w:rsid w:val="001C73A2"/>
    <w:rsid w:val="001D448A"/>
    <w:rsid w:val="001D5B28"/>
    <w:rsid w:val="001E4849"/>
    <w:rsid w:val="001E6B00"/>
    <w:rsid w:val="001F05A9"/>
    <w:rsid w:val="00204036"/>
    <w:rsid w:val="00205B21"/>
    <w:rsid w:val="00211091"/>
    <w:rsid w:val="00216BB9"/>
    <w:rsid w:val="00224E4F"/>
    <w:rsid w:val="00225B16"/>
    <w:rsid w:val="0022773D"/>
    <w:rsid w:val="00227756"/>
    <w:rsid w:val="00227926"/>
    <w:rsid w:val="00227CDA"/>
    <w:rsid w:val="002353AA"/>
    <w:rsid w:val="00244165"/>
    <w:rsid w:val="002443BA"/>
    <w:rsid w:val="00250685"/>
    <w:rsid w:val="00257AAA"/>
    <w:rsid w:val="00264D6A"/>
    <w:rsid w:val="00265BD5"/>
    <w:rsid w:val="00276AAD"/>
    <w:rsid w:val="00284386"/>
    <w:rsid w:val="00285A18"/>
    <w:rsid w:val="002925ED"/>
    <w:rsid w:val="00297BBE"/>
    <w:rsid w:val="002A54D2"/>
    <w:rsid w:val="002A5EC4"/>
    <w:rsid w:val="002B155C"/>
    <w:rsid w:val="002C5FC9"/>
    <w:rsid w:val="002E0D9D"/>
    <w:rsid w:val="002F2CB1"/>
    <w:rsid w:val="002F4371"/>
    <w:rsid w:val="002F73DD"/>
    <w:rsid w:val="00303641"/>
    <w:rsid w:val="00305156"/>
    <w:rsid w:val="00323E26"/>
    <w:rsid w:val="00325814"/>
    <w:rsid w:val="003314B9"/>
    <w:rsid w:val="00337059"/>
    <w:rsid w:val="00344BB5"/>
    <w:rsid w:val="0034582F"/>
    <w:rsid w:val="00351300"/>
    <w:rsid w:val="0035544F"/>
    <w:rsid w:val="0036508E"/>
    <w:rsid w:val="00371CAC"/>
    <w:rsid w:val="00372B7F"/>
    <w:rsid w:val="0037479E"/>
    <w:rsid w:val="00381613"/>
    <w:rsid w:val="00390B06"/>
    <w:rsid w:val="00393F2A"/>
    <w:rsid w:val="003950AA"/>
    <w:rsid w:val="003A7665"/>
    <w:rsid w:val="003B56BB"/>
    <w:rsid w:val="003B6CC3"/>
    <w:rsid w:val="003C5A19"/>
    <w:rsid w:val="003D57CB"/>
    <w:rsid w:val="003E42FB"/>
    <w:rsid w:val="003E4322"/>
    <w:rsid w:val="003F3340"/>
    <w:rsid w:val="003F4AB5"/>
    <w:rsid w:val="0040007F"/>
    <w:rsid w:val="00402ABF"/>
    <w:rsid w:val="00407F1E"/>
    <w:rsid w:val="00411C88"/>
    <w:rsid w:val="00415BE4"/>
    <w:rsid w:val="0043141E"/>
    <w:rsid w:val="004339E6"/>
    <w:rsid w:val="00433C44"/>
    <w:rsid w:val="004367C5"/>
    <w:rsid w:val="004440CA"/>
    <w:rsid w:val="0044684B"/>
    <w:rsid w:val="00446BA7"/>
    <w:rsid w:val="00462469"/>
    <w:rsid w:val="0047019C"/>
    <w:rsid w:val="00470AF3"/>
    <w:rsid w:val="00470EC6"/>
    <w:rsid w:val="00472F44"/>
    <w:rsid w:val="00473192"/>
    <w:rsid w:val="00476CF0"/>
    <w:rsid w:val="0048738F"/>
    <w:rsid w:val="004964B0"/>
    <w:rsid w:val="004A0AC2"/>
    <w:rsid w:val="004A28C7"/>
    <w:rsid w:val="004A301A"/>
    <w:rsid w:val="004A319A"/>
    <w:rsid w:val="004A6AE1"/>
    <w:rsid w:val="004B0B3D"/>
    <w:rsid w:val="004B22F2"/>
    <w:rsid w:val="004C51AA"/>
    <w:rsid w:val="004C55B1"/>
    <w:rsid w:val="004C6C27"/>
    <w:rsid w:val="004D03F7"/>
    <w:rsid w:val="004D1CFB"/>
    <w:rsid w:val="004D2F95"/>
    <w:rsid w:val="004D377A"/>
    <w:rsid w:val="004D37FD"/>
    <w:rsid w:val="004D4616"/>
    <w:rsid w:val="004D55DC"/>
    <w:rsid w:val="004E17E6"/>
    <w:rsid w:val="004E4656"/>
    <w:rsid w:val="004F3025"/>
    <w:rsid w:val="004F3B44"/>
    <w:rsid w:val="00506D97"/>
    <w:rsid w:val="00507C66"/>
    <w:rsid w:val="0051095F"/>
    <w:rsid w:val="005115EB"/>
    <w:rsid w:val="00520DBF"/>
    <w:rsid w:val="005241E4"/>
    <w:rsid w:val="0053435F"/>
    <w:rsid w:val="00546D3E"/>
    <w:rsid w:val="00566663"/>
    <w:rsid w:val="00571280"/>
    <w:rsid w:val="00595E44"/>
    <w:rsid w:val="005A0762"/>
    <w:rsid w:val="005A329A"/>
    <w:rsid w:val="005B2506"/>
    <w:rsid w:val="005B6E0B"/>
    <w:rsid w:val="005B715E"/>
    <w:rsid w:val="005B7877"/>
    <w:rsid w:val="005C27F8"/>
    <w:rsid w:val="005C2EB2"/>
    <w:rsid w:val="005C4CB2"/>
    <w:rsid w:val="005C5DB4"/>
    <w:rsid w:val="005C6CBB"/>
    <w:rsid w:val="005E0B38"/>
    <w:rsid w:val="005E39B2"/>
    <w:rsid w:val="005E7BBE"/>
    <w:rsid w:val="005E7F44"/>
    <w:rsid w:val="005F6407"/>
    <w:rsid w:val="006127CE"/>
    <w:rsid w:val="006312C7"/>
    <w:rsid w:val="00653D0A"/>
    <w:rsid w:val="00656002"/>
    <w:rsid w:val="006564EA"/>
    <w:rsid w:val="0065667F"/>
    <w:rsid w:val="00657363"/>
    <w:rsid w:val="0066190C"/>
    <w:rsid w:val="00661F33"/>
    <w:rsid w:val="00663411"/>
    <w:rsid w:val="0067347E"/>
    <w:rsid w:val="006756C0"/>
    <w:rsid w:val="00676075"/>
    <w:rsid w:val="006848AA"/>
    <w:rsid w:val="00691696"/>
    <w:rsid w:val="006923F6"/>
    <w:rsid w:val="00695B3D"/>
    <w:rsid w:val="006967D8"/>
    <w:rsid w:val="006A70D1"/>
    <w:rsid w:val="006B012F"/>
    <w:rsid w:val="006B4E58"/>
    <w:rsid w:val="006C6917"/>
    <w:rsid w:val="006D16A4"/>
    <w:rsid w:val="006E1FF2"/>
    <w:rsid w:val="006E5391"/>
    <w:rsid w:val="006F34BC"/>
    <w:rsid w:val="007006B8"/>
    <w:rsid w:val="00704389"/>
    <w:rsid w:val="00705F31"/>
    <w:rsid w:val="007072EC"/>
    <w:rsid w:val="00707F78"/>
    <w:rsid w:val="007129B4"/>
    <w:rsid w:val="00713852"/>
    <w:rsid w:val="00713EC7"/>
    <w:rsid w:val="00714BEC"/>
    <w:rsid w:val="0072012C"/>
    <w:rsid w:val="00720956"/>
    <w:rsid w:val="007223E4"/>
    <w:rsid w:val="00725154"/>
    <w:rsid w:val="00731AEB"/>
    <w:rsid w:val="007336E8"/>
    <w:rsid w:val="0073400F"/>
    <w:rsid w:val="00734777"/>
    <w:rsid w:val="00737729"/>
    <w:rsid w:val="007415C7"/>
    <w:rsid w:val="00743B35"/>
    <w:rsid w:val="00756271"/>
    <w:rsid w:val="0075643A"/>
    <w:rsid w:val="007607BE"/>
    <w:rsid w:val="00766407"/>
    <w:rsid w:val="00766A6F"/>
    <w:rsid w:val="00767145"/>
    <w:rsid w:val="007740D0"/>
    <w:rsid w:val="00774C17"/>
    <w:rsid w:val="00785C33"/>
    <w:rsid w:val="00787B3B"/>
    <w:rsid w:val="00793D3F"/>
    <w:rsid w:val="00797EE1"/>
    <w:rsid w:val="007A5FF0"/>
    <w:rsid w:val="007A73D8"/>
    <w:rsid w:val="007B3180"/>
    <w:rsid w:val="007D0CE3"/>
    <w:rsid w:val="007D2C0F"/>
    <w:rsid w:val="007E2C98"/>
    <w:rsid w:val="007E3250"/>
    <w:rsid w:val="007E4AC5"/>
    <w:rsid w:val="007E73DD"/>
    <w:rsid w:val="00803E76"/>
    <w:rsid w:val="008041B2"/>
    <w:rsid w:val="00804598"/>
    <w:rsid w:val="0080528E"/>
    <w:rsid w:val="0080699B"/>
    <w:rsid w:val="00810680"/>
    <w:rsid w:val="0081341E"/>
    <w:rsid w:val="00815FC4"/>
    <w:rsid w:val="0082183B"/>
    <w:rsid w:val="00825DE0"/>
    <w:rsid w:val="008300BA"/>
    <w:rsid w:val="00833124"/>
    <w:rsid w:val="00835030"/>
    <w:rsid w:val="008574E1"/>
    <w:rsid w:val="008657D9"/>
    <w:rsid w:val="00870EC2"/>
    <w:rsid w:val="00874DE9"/>
    <w:rsid w:val="00875ABA"/>
    <w:rsid w:val="00876856"/>
    <w:rsid w:val="00885F01"/>
    <w:rsid w:val="008861A8"/>
    <w:rsid w:val="00886D79"/>
    <w:rsid w:val="0089566F"/>
    <w:rsid w:val="008A0D97"/>
    <w:rsid w:val="008B2993"/>
    <w:rsid w:val="008B34B7"/>
    <w:rsid w:val="008B3A2C"/>
    <w:rsid w:val="008B4235"/>
    <w:rsid w:val="008B56F5"/>
    <w:rsid w:val="008B7448"/>
    <w:rsid w:val="008C223C"/>
    <w:rsid w:val="008C3D72"/>
    <w:rsid w:val="008D4190"/>
    <w:rsid w:val="008D4ED6"/>
    <w:rsid w:val="008D63CD"/>
    <w:rsid w:val="008E102D"/>
    <w:rsid w:val="008E11BB"/>
    <w:rsid w:val="008E1D86"/>
    <w:rsid w:val="008E372C"/>
    <w:rsid w:val="00923666"/>
    <w:rsid w:val="00927CC2"/>
    <w:rsid w:val="0093094C"/>
    <w:rsid w:val="00932228"/>
    <w:rsid w:val="00937C1D"/>
    <w:rsid w:val="00946F07"/>
    <w:rsid w:val="009511DB"/>
    <w:rsid w:val="00953709"/>
    <w:rsid w:val="00953BB6"/>
    <w:rsid w:val="0095579E"/>
    <w:rsid w:val="0095658E"/>
    <w:rsid w:val="00957E33"/>
    <w:rsid w:val="0096041F"/>
    <w:rsid w:val="00961006"/>
    <w:rsid w:val="00965CFA"/>
    <w:rsid w:val="00967D6E"/>
    <w:rsid w:val="00981893"/>
    <w:rsid w:val="0099356A"/>
    <w:rsid w:val="009950B7"/>
    <w:rsid w:val="00997CBC"/>
    <w:rsid w:val="009A2BB5"/>
    <w:rsid w:val="009B6980"/>
    <w:rsid w:val="009C1DA1"/>
    <w:rsid w:val="009C4F69"/>
    <w:rsid w:val="009D13E3"/>
    <w:rsid w:val="009D64F5"/>
    <w:rsid w:val="009E3C33"/>
    <w:rsid w:val="00A136C8"/>
    <w:rsid w:val="00A13C1C"/>
    <w:rsid w:val="00A147C8"/>
    <w:rsid w:val="00A174B2"/>
    <w:rsid w:val="00A22046"/>
    <w:rsid w:val="00A301AF"/>
    <w:rsid w:val="00A3308B"/>
    <w:rsid w:val="00A41A60"/>
    <w:rsid w:val="00A47AAD"/>
    <w:rsid w:val="00A51103"/>
    <w:rsid w:val="00A5177F"/>
    <w:rsid w:val="00A52FD5"/>
    <w:rsid w:val="00A53BCC"/>
    <w:rsid w:val="00A57BF8"/>
    <w:rsid w:val="00A652B9"/>
    <w:rsid w:val="00A67706"/>
    <w:rsid w:val="00A72281"/>
    <w:rsid w:val="00A80004"/>
    <w:rsid w:val="00A87246"/>
    <w:rsid w:val="00A94475"/>
    <w:rsid w:val="00A964B2"/>
    <w:rsid w:val="00AA4832"/>
    <w:rsid w:val="00AA7DB3"/>
    <w:rsid w:val="00AC0064"/>
    <w:rsid w:val="00AC1A93"/>
    <w:rsid w:val="00AD063F"/>
    <w:rsid w:val="00AD19DC"/>
    <w:rsid w:val="00AD3258"/>
    <w:rsid w:val="00AF3E22"/>
    <w:rsid w:val="00B04108"/>
    <w:rsid w:val="00B0719F"/>
    <w:rsid w:val="00B10DB1"/>
    <w:rsid w:val="00B1116E"/>
    <w:rsid w:val="00B13C91"/>
    <w:rsid w:val="00B14A48"/>
    <w:rsid w:val="00B1568D"/>
    <w:rsid w:val="00B2123D"/>
    <w:rsid w:val="00B26D13"/>
    <w:rsid w:val="00B26EF4"/>
    <w:rsid w:val="00B33A00"/>
    <w:rsid w:val="00B346F5"/>
    <w:rsid w:val="00B35CDA"/>
    <w:rsid w:val="00B40ADD"/>
    <w:rsid w:val="00B45F06"/>
    <w:rsid w:val="00B6021C"/>
    <w:rsid w:val="00B6080B"/>
    <w:rsid w:val="00B61B3F"/>
    <w:rsid w:val="00B704F4"/>
    <w:rsid w:val="00B73085"/>
    <w:rsid w:val="00B748FE"/>
    <w:rsid w:val="00B776A6"/>
    <w:rsid w:val="00B8159E"/>
    <w:rsid w:val="00B8381B"/>
    <w:rsid w:val="00B84304"/>
    <w:rsid w:val="00B87388"/>
    <w:rsid w:val="00B93E1F"/>
    <w:rsid w:val="00B957E1"/>
    <w:rsid w:val="00BB0467"/>
    <w:rsid w:val="00BB5E07"/>
    <w:rsid w:val="00BB7B45"/>
    <w:rsid w:val="00BC1C0B"/>
    <w:rsid w:val="00BC2D30"/>
    <w:rsid w:val="00BD2E64"/>
    <w:rsid w:val="00BE1721"/>
    <w:rsid w:val="00BE40C0"/>
    <w:rsid w:val="00BF1E4D"/>
    <w:rsid w:val="00BF56BD"/>
    <w:rsid w:val="00BF5AEF"/>
    <w:rsid w:val="00C0104A"/>
    <w:rsid w:val="00C02B9F"/>
    <w:rsid w:val="00C0491B"/>
    <w:rsid w:val="00C13FBE"/>
    <w:rsid w:val="00C15720"/>
    <w:rsid w:val="00C21A45"/>
    <w:rsid w:val="00C2485A"/>
    <w:rsid w:val="00C24911"/>
    <w:rsid w:val="00C35BEB"/>
    <w:rsid w:val="00C403D8"/>
    <w:rsid w:val="00C41399"/>
    <w:rsid w:val="00C46140"/>
    <w:rsid w:val="00C46640"/>
    <w:rsid w:val="00C52A19"/>
    <w:rsid w:val="00C54228"/>
    <w:rsid w:val="00C62797"/>
    <w:rsid w:val="00C63344"/>
    <w:rsid w:val="00C727F3"/>
    <w:rsid w:val="00C74A7F"/>
    <w:rsid w:val="00C834C2"/>
    <w:rsid w:val="00C9212C"/>
    <w:rsid w:val="00CA0AEC"/>
    <w:rsid w:val="00CA57E9"/>
    <w:rsid w:val="00CA5C69"/>
    <w:rsid w:val="00CA7B05"/>
    <w:rsid w:val="00CB2CAD"/>
    <w:rsid w:val="00CC2511"/>
    <w:rsid w:val="00CC28B8"/>
    <w:rsid w:val="00CE1728"/>
    <w:rsid w:val="00CE5768"/>
    <w:rsid w:val="00CE74FE"/>
    <w:rsid w:val="00CF1263"/>
    <w:rsid w:val="00CF2B04"/>
    <w:rsid w:val="00CF5012"/>
    <w:rsid w:val="00D017CA"/>
    <w:rsid w:val="00D10062"/>
    <w:rsid w:val="00D2675B"/>
    <w:rsid w:val="00D339BC"/>
    <w:rsid w:val="00D36BA6"/>
    <w:rsid w:val="00D477DE"/>
    <w:rsid w:val="00D50719"/>
    <w:rsid w:val="00D531B3"/>
    <w:rsid w:val="00D550F0"/>
    <w:rsid w:val="00D628FA"/>
    <w:rsid w:val="00D62CF8"/>
    <w:rsid w:val="00D70CAB"/>
    <w:rsid w:val="00D73BC4"/>
    <w:rsid w:val="00D811DF"/>
    <w:rsid w:val="00D84652"/>
    <w:rsid w:val="00D90165"/>
    <w:rsid w:val="00D948F9"/>
    <w:rsid w:val="00D95E93"/>
    <w:rsid w:val="00DA18CA"/>
    <w:rsid w:val="00DA1DF6"/>
    <w:rsid w:val="00DA5207"/>
    <w:rsid w:val="00DB0C29"/>
    <w:rsid w:val="00DB1BB4"/>
    <w:rsid w:val="00DB7C3F"/>
    <w:rsid w:val="00DC18E0"/>
    <w:rsid w:val="00DC6243"/>
    <w:rsid w:val="00DD2B0B"/>
    <w:rsid w:val="00DE0D51"/>
    <w:rsid w:val="00DE26D6"/>
    <w:rsid w:val="00DE3F6A"/>
    <w:rsid w:val="00DF1198"/>
    <w:rsid w:val="00DF1342"/>
    <w:rsid w:val="00DF2A99"/>
    <w:rsid w:val="00E14373"/>
    <w:rsid w:val="00E15C34"/>
    <w:rsid w:val="00E17B3C"/>
    <w:rsid w:val="00E2035B"/>
    <w:rsid w:val="00E26857"/>
    <w:rsid w:val="00E30221"/>
    <w:rsid w:val="00E35D59"/>
    <w:rsid w:val="00E365EB"/>
    <w:rsid w:val="00E42499"/>
    <w:rsid w:val="00E430B7"/>
    <w:rsid w:val="00E4773B"/>
    <w:rsid w:val="00E52A4E"/>
    <w:rsid w:val="00E551A8"/>
    <w:rsid w:val="00E60266"/>
    <w:rsid w:val="00E61A67"/>
    <w:rsid w:val="00E62B29"/>
    <w:rsid w:val="00E62BA7"/>
    <w:rsid w:val="00E62DCD"/>
    <w:rsid w:val="00E6676A"/>
    <w:rsid w:val="00E76E14"/>
    <w:rsid w:val="00E80375"/>
    <w:rsid w:val="00E80FDC"/>
    <w:rsid w:val="00E8436D"/>
    <w:rsid w:val="00E86B86"/>
    <w:rsid w:val="00E919FA"/>
    <w:rsid w:val="00EA00FB"/>
    <w:rsid w:val="00EA07EE"/>
    <w:rsid w:val="00EA0992"/>
    <w:rsid w:val="00EA19E0"/>
    <w:rsid w:val="00EA6921"/>
    <w:rsid w:val="00EA6F42"/>
    <w:rsid w:val="00EA73FE"/>
    <w:rsid w:val="00EB11CA"/>
    <w:rsid w:val="00EB6F48"/>
    <w:rsid w:val="00EC22DB"/>
    <w:rsid w:val="00ED07D9"/>
    <w:rsid w:val="00ED09D4"/>
    <w:rsid w:val="00ED3D4F"/>
    <w:rsid w:val="00EE5A72"/>
    <w:rsid w:val="00EF32F6"/>
    <w:rsid w:val="00EF5065"/>
    <w:rsid w:val="00EF5A19"/>
    <w:rsid w:val="00EF74A8"/>
    <w:rsid w:val="00F169C4"/>
    <w:rsid w:val="00F23CD3"/>
    <w:rsid w:val="00F27DA4"/>
    <w:rsid w:val="00F36473"/>
    <w:rsid w:val="00F37670"/>
    <w:rsid w:val="00F42DCC"/>
    <w:rsid w:val="00F47251"/>
    <w:rsid w:val="00F50185"/>
    <w:rsid w:val="00F511BC"/>
    <w:rsid w:val="00F5467E"/>
    <w:rsid w:val="00F557DD"/>
    <w:rsid w:val="00F57EAD"/>
    <w:rsid w:val="00F611EC"/>
    <w:rsid w:val="00F64335"/>
    <w:rsid w:val="00F6717B"/>
    <w:rsid w:val="00F72CAC"/>
    <w:rsid w:val="00F74F4A"/>
    <w:rsid w:val="00F85363"/>
    <w:rsid w:val="00F85D1D"/>
    <w:rsid w:val="00F87D4A"/>
    <w:rsid w:val="00F91270"/>
    <w:rsid w:val="00F91AC9"/>
    <w:rsid w:val="00F9267B"/>
    <w:rsid w:val="00F94C81"/>
    <w:rsid w:val="00FA374F"/>
    <w:rsid w:val="00FB0A85"/>
    <w:rsid w:val="00FC2F9D"/>
    <w:rsid w:val="00FC4FA7"/>
    <w:rsid w:val="00FD1283"/>
    <w:rsid w:val="00FD232A"/>
    <w:rsid w:val="00FF3893"/>
    <w:rsid w:val="00FF5C9D"/>
    <w:rsid w:val="00FF623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78"/>
    <w:pPr>
      <w:spacing w:after="200" w:line="276" w:lineRule="auto"/>
    </w:pPr>
    <w:rPr>
      <w:sz w:val="22"/>
      <w:szCs w:val="22"/>
      <w:lang w:val="en-US" w:eastAsia="en-US"/>
    </w:rPr>
  </w:style>
  <w:style w:type="paragraph" w:styleId="Heading1">
    <w:name w:val="heading 1"/>
    <w:basedOn w:val="Normal"/>
    <w:link w:val="Heading1Char"/>
    <w:uiPriority w:val="9"/>
    <w:qFormat/>
    <w:rsid w:val="001879C3"/>
    <w:pPr>
      <w:spacing w:before="100" w:beforeAutospacing="1" w:after="100" w:afterAutospacing="1" w:line="240" w:lineRule="auto"/>
      <w:outlineLvl w:val="0"/>
    </w:pPr>
    <w:rPr>
      <w:rFonts w:ascii="Times New Roman" w:hAnsi="Times New Roman"/>
      <w:b/>
      <w:bCs/>
      <w:kern w:val="36"/>
      <w:sz w:val="48"/>
      <w:szCs w:val="48"/>
      <w:lang w:val="pt-PT" w:eastAsia="pt-PT"/>
    </w:rPr>
  </w:style>
  <w:style w:type="paragraph" w:styleId="Heading2">
    <w:name w:val="heading 2"/>
    <w:basedOn w:val="Normal"/>
    <w:link w:val="Heading2Char"/>
    <w:uiPriority w:val="9"/>
    <w:qFormat/>
    <w:rsid w:val="001879C3"/>
    <w:pPr>
      <w:spacing w:before="100" w:beforeAutospacing="1" w:after="100" w:afterAutospacing="1" w:line="240" w:lineRule="auto"/>
      <w:outlineLvl w:val="1"/>
    </w:pPr>
    <w:rPr>
      <w:rFonts w:ascii="Times New Roman" w:hAnsi="Times New Roman"/>
      <w:b/>
      <w:bCs/>
      <w:sz w:val="36"/>
      <w:szCs w:val="36"/>
      <w:lang w:val="pt-PT" w:eastAsia="pt-PT"/>
    </w:rPr>
  </w:style>
  <w:style w:type="paragraph" w:styleId="Heading3">
    <w:name w:val="heading 3"/>
    <w:basedOn w:val="Normal"/>
    <w:next w:val="Normal"/>
    <w:link w:val="Heading3Char"/>
    <w:uiPriority w:val="9"/>
    <w:unhideWhenUsed/>
    <w:qFormat/>
    <w:rsid w:val="0080528E"/>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A18"/>
    <w:pPr>
      <w:autoSpaceDE w:val="0"/>
      <w:autoSpaceDN w:val="0"/>
      <w:adjustRightInd w:val="0"/>
    </w:pPr>
    <w:rPr>
      <w:rFonts w:cs="Calibri"/>
      <w:color w:val="000000"/>
      <w:sz w:val="24"/>
      <w:szCs w:val="24"/>
      <w:lang w:val="en-US" w:eastAsia="en-US"/>
    </w:rPr>
  </w:style>
  <w:style w:type="character" w:customStyle="1" w:styleId="label">
    <w:name w:val="label"/>
    <w:basedOn w:val="DefaultParagraphFont"/>
    <w:rsid w:val="00285A18"/>
  </w:style>
  <w:style w:type="paragraph" w:styleId="NormalWeb">
    <w:name w:val="Normal (Web)"/>
    <w:basedOn w:val="Normal"/>
    <w:uiPriority w:val="99"/>
    <w:semiHidden/>
    <w:unhideWhenUsed/>
    <w:rsid w:val="00285A18"/>
    <w:pPr>
      <w:spacing w:before="100" w:beforeAutospacing="1" w:after="100" w:afterAutospacing="1" w:line="240" w:lineRule="auto"/>
    </w:pPr>
    <w:rPr>
      <w:rFonts w:ascii="Times New Roman" w:hAnsi="Times New Roman"/>
      <w:sz w:val="24"/>
      <w:szCs w:val="24"/>
      <w:lang w:eastAsia="pt-PT"/>
    </w:rPr>
  </w:style>
  <w:style w:type="paragraph" w:styleId="BalloonText">
    <w:name w:val="Balloon Text"/>
    <w:basedOn w:val="Normal"/>
    <w:link w:val="BalloonTextChar"/>
    <w:uiPriority w:val="99"/>
    <w:semiHidden/>
    <w:unhideWhenUsed/>
    <w:rsid w:val="00285A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85A18"/>
    <w:rPr>
      <w:rFonts w:ascii="Tahoma" w:hAnsi="Tahoma" w:cs="Tahoma"/>
      <w:sz w:val="16"/>
      <w:szCs w:val="16"/>
    </w:rPr>
  </w:style>
  <w:style w:type="table" w:styleId="TableGrid">
    <w:name w:val="Table Grid"/>
    <w:basedOn w:val="TableNormal"/>
    <w:uiPriority w:val="59"/>
    <w:rsid w:val="0087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9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t-PT"/>
    </w:rPr>
  </w:style>
  <w:style w:type="character" w:customStyle="1" w:styleId="HTMLPreformattedChar">
    <w:name w:val="HTML Preformatted Char"/>
    <w:link w:val="HTMLPreformatted"/>
    <w:uiPriority w:val="99"/>
    <w:rsid w:val="002925ED"/>
    <w:rPr>
      <w:rFonts w:ascii="Courier New" w:eastAsia="Times New Roman" w:hAnsi="Courier New" w:cs="Courier New"/>
      <w:sz w:val="20"/>
      <w:szCs w:val="20"/>
      <w:lang w:eastAsia="pt-PT"/>
    </w:rPr>
  </w:style>
  <w:style w:type="character" w:customStyle="1" w:styleId="apple-converted-space">
    <w:name w:val="apple-converted-space"/>
    <w:basedOn w:val="DefaultParagraphFont"/>
    <w:rsid w:val="00A5177F"/>
  </w:style>
  <w:style w:type="paragraph" w:styleId="PlainText">
    <w:name w:val="Plain Text"/>
    <w:basedOn w:val="Normal"/>
    <w:link w:val="PlainTextChar"/>
    <w:uiPriority w:val="99"/>
    <w:unhideWhenUsed/>
    <w:rsid w:val="00FD232A"/>
    <w:pPr>
      <w:spacing w:after="0" w:line="240" w:lineRule="auto"/>
    </w:pPr>
    <w:rPr>
      <w:rFonts w:ascii="Consolas" w:hAnsi="Consolas"/>
      <w:sz w:val="21"/>
      <w:szCs w:val="21"/>
    </w:rPr>
  </w:style>
  <w:style w:type="character" w:customStyle="1" w:styleId="PlainTextChar">
    <w:name w:val="Plain Text Char"/>
    <w:link w:val="PlainText"/>
    <w:uiPriority w:val="99"/>
    <w:rsid w:val="00FD232A"/>
    <w:rPr>
      <w:rFonts w:ascii="Consolas" w:hAnsi="Consolas"/>
      <w:sz w:val="21"/>
      <w:szCs w:val="21"/>
    </w:rPr>
  </w:style>
  <w:style w:type="paragraph" w:styleId="EndnoteText">
    <w:name w:val="endnote text"/>
    <w:basedOn w:val="Normal"/>
    <w:link w:val="EndnoteTextChar"/>
    <w:uiPriority w:val="99"/>
    <w:semiHidden/>
    <w:unhideWhenUsed/>
    <w:rsid w:val="000F1A37"/>
    <w:pPr>
      <w:spacing w:after="0" w:line="240" w:lineRule="auto"/>
    </w:pPr>
    <w:rPr>
      <w:sz w:val="20"/>
      <w:szCs w:val="20"/>
    </w:rPr>
  </w:style>
  <w:style w:type="character" w:customStyle="1" w:styleId="EndnoteTextChar">
    <w:name w:val="Endnote Text Char"/>
    <w:link w:val="EndnoteText"/>
    <w:uiPriority w:val="99"/>
    <w:semiHidden/>
    <w:rsid w:val="000F1A37"/>
    <w:rPr>
      <w:sz w:val="20"/>
      <w:szCs w:val="20"/>
    </w:rPr>
  </w:style>
  <w:style w:type="character" w:styleId="EndnoteReference">
    <w:name w:val="endnote reference"/>
    <w:uiPriority w:val="99"/>
    <w:semiHidden/>
    <w:unhideWhenUsed/>
    <w:rsid w:val="000F1A37"/>
    <w:rPr>
      <w:vertAlign w:val="superscript"/>
    </w:rPr>
  </w:style>
  <w:style w:type="character" w:styleId="CommentReference">
    <w:name w:val="annotation reference"/>
    <w:uiPriority w:val="99"/>
    <w:semiHidden/>
    <w:unhideWhenUsed/>
    <w:rsid w:val="00265BD5"/>
    <w:rPr>
      <w:sz w:val="16"/>
      <w:szCs w:val="16"/>
    </w:rPr>
  </w:style>
  <w:style w:type="paragraph" w:styleId="CommentText">
    <w:name w:val="annotation text"/>
    <w:basedOn w:val="Normal"/>
    <w:link w:val="CommentTextChar"/>
    <w:uiPriority w:val="99"/>
    <w:semiHidden/>
    <w:unhideWhenUsed/>
    <w:rsid w:val="00265BD5"/>
    <w:pPr>
      <w:spacing w:line="240" w:lineRule="auto"/>
    </w:pPr>
    <w:rPr>
      <w:sz w:val="20"/>
      <w:szCs w:val="20"/>
    </w:rPr>
  </w:style>
  <w:style w:type="character" w:customStyle="1" w:styleId="CommentTextChar">
    <w:name w:val="Comment Text Char"/>
    <w:link w:val="CommentText"/>
    <w:uiPriority w:val="99"/>
    <w:semiHidden/>
    <w:rsid w:val="00265BD5"/>
    <w:rPr>
      <w:sz w:val="20"/>
      <w:szCs w:val="20"/>
    </w:rPr>
  </w:style>
  <w:style w:type="paragraph" w:styleId="CommentSubject">
    <w:name w:val="annotation subject"/>
    <w:basedOn w:val="CommentText"/>
    <w:next w:val="CommentText"/>
    <w:link w:val="CommentSubjectChar"/>
    <w:uiPriority w:val="99"/>
    <w:semiHidden/>
    <w:unhideWhenUsed/>
    <w:rsid w:val="00265BD5"/>
    <w:rPr>
      <w:b/>
      <w:bCs/>
    </w:rPr>
  </w:style>
  <w:style w:type="character" w:customStyle="1" w:styleId="CommentSubjectChar">
    <w:name w:val="Comment Subject Char"/>
    <w:link w:val="CommentSubject"/>
    <w:uiPriority w:val="99"/>
    <w:semiHidden/>
    <w:rsid w:val="00265BD5"/>
    <w:rPr>
      <w:b/>
      <w:bCs/>
      <w:sz w:val="20"/>
      <w:szCs w:val="20"/>
    </w:rPr>
  </w:style>
  <w:style w:type="paragraph" w:styleId="Revision">
    <w:name w:val="Revision"/>
    <w:hidden/>
    <w:uiPriority w:val="99"/>
    <w:semiHidden/>
    <w:rsid w:val="00265BD5"/>
    <w:rPr>
      <w:sz w:val="22"/>
      <w:szCs w:val="22"/>
      <w:lang w:val="en-US" w:eastAsia="en-US"/>
    </w:rPr>
  </w:style>
  <w:style w:type="character" w:customStyle="1" w:styleId="author">
    <w:name w:val="author"/>
    <w:basedOn w:val="DefaultParagraphFont"/>
    <w:rsid w:val="00EC22DB"/>
  </w:style>
  <w:style w:type="character" w:styleId="Hyperlink">
    <w:name w:val="Hyperlink"/>
    <w:uiPriority w:val="99"/>
    <w:semiHidden/>
    <w:unhideWhenUsed/>
    <w:rsid w:val="00EC22DB"/>
    <w:rPr>
      <w:color w:val="0000FF"/>
      <w:u w:val="single"/>
    </w:rPr>
  </w:style>
  <w:style w:type="character" w:customStyle="1" w:styleId="a-color-secondary">
    <w:name w:val="a-color-secondary"/>
    <w:basedOn w:val="DefaultParagraphFont"/>
    <w:rsid w:val="00EC22DB"/>
  </w:style>
  <w:style w:type="paragraph" w:styleId="ListParagraph">
    <w:name w:val="List Paragraph"/>
    <w:basedOn w:val="Normal"/>
    <w:uiPriority w:val="34"/>
    <w:qFormat/>
    <w:rsid w:val="00663411"/>
    <w:pPr>
      <w:spacing w:after="160" w:line="259" w:lineRule="auto"/>
      <w:ind w:left="720"/>
      <w:contextualSpacing/>
    </w:pPr>
    <w:rPr>
      <w:rFonts w:hAnsi="Times New Roman"/>
      <w:lang w:val="pt-PT" w:eastAsia="pt-PT"/>
    </w:rPr>
  </w:style>
  <w:style w:type="character" w:styleId="Strong">
    <w:name w:val="Strong"/>
    <w:uiPriority w:val="22"/>
    <w:qFormat/>
    <w:rsid w:val="006F34BC"/>
    <w:rPr>
      <w:b/>
      <w:bCs/>
    </w:rPr>
  </w:style>
  <w:style w:type="character" w:customStyle="1" w:styleId="Heading1Char">
    <w:name w:val="Heading 1 Char"/>
    <w:link w:val="Heading1"/>
    <w:uiPriority w:val="9"/>
    <w:rsid w:val="001879C3"/>
    <w:rPr>
      <w:rFonts w:ascii="Times New Roman" w:eastAsia="Times New Roman" w:hAnsi="Times New Roman" w:cs="Times New Roman"/>
      <w:b/>
      <w:bCs/>
      <w:kern w:val="36"/>
      <w:sz w:val="48"/>
      <w:szCs w:val="48"/>
      <w:lang w:val="pt-PT" w:eastAsia="pt-PT"/>
    </w:rPr>
  </w:style>
  <w:style w:type="character" w:customStyle="1" w:styleId="Heading2Char">
    <w:name w:val="Heading 2 Char"/>
    <w:link w:val="Heading2"/>
    <w:uiPriority w:val="9"/>
    <w:rsid w:val="001879C3"/>
    <w:rPr>
      <w:rFonts w:ascii="Times New Roman" w:eastAsia="Times New Roman" w:hAnsi="Times New Roman" w:cs="Times New Roman"/>
      <w:b/>
      <w:bCs/>
      <w:sz w:val="36"/>
      <w:szCs w:val="36"/>
      <w:lang w:val="pt-PT" w:eastAsia="pt-PT"/>
    </w:rPr>
  </w:style>
  <w:style w:type="character" w:customStyle="1" w:styleId="refauthors">
    <w:name w:val="refauthors"/>
    <w:basedOn w:val="DefaultParagraphFont"/>
    <w:rsid w:val="001879C3"/>
  </w:style>
  <w:style w:type="character" w:customStyle="1" w:styleId="reftitle">
    <w:name w:val="reftitle"/>
    <w:basedOn w:val="DefaultParagraphFont"/>
    <w:rsid w:val="001879C3"/>
  </w:style>
  <w:style w:type="character" w:customStyle="1" w:styleId="refed">
    <w:name w:val="refed"/>
    <w:basedOn w:val="DefaultParagraphFont"/>
    <w:rsid w:val="001879C3"/>
  </w:style>
  <w:style w:type="character" w:customStyle="1" w:styleId="refpublishername">
    <w:name w:val="refpublishername"/>
    <w:basedOn w:val="DefaultParagraphFont"/>
    <w:rsid w:val="001879C3"/>
  </w:style>
  <w:style w:type="character" w:customStyle="1" w:styleId="refpublisherloc">
    <w:name w:val="refpublisherloc"/>
    <w:basedOn w:val="DefaultParagraphFont"/>
    <w:rsid w:val="001879C3"/>
  </w:style>
  <w:style w:type="character" w:customStyle="1" w:styleId="refdate">
    <w:name w:val="refdate"/>
    <w:basedOn w:val="DefaultParagraphFont"/>
    <w:rsid w:val="001879C3"/>
  </w:style>
  <w:style w:type="character" w:customStyle="1" w:styleId="Heading3Char">
    <w:name w:val="Heading 3 Char"/>
    <w:link w:val="Heading3"/>
    <w:uiPriority w:val="9"/>
    <w:rsid w:val="0080528E"/>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divs>
    <w:div w:id="28725393">
      <w:bodyDiv w:val="1"/>
      <w:marLeft w:val="0"/>
      <w:marRight w:val="0"/>
      <w:marTop w:val="0"/>
      <w:marBottom w:val="0"/>
      <w:divBdr>
        <w:top w:val="none" w:sz="0" w:space="0" w:color="auto"/>
        <w:left w:val="none" w:sz="0" w:space="0" w:color="auto"/>
        <w:bottom w:val="none" w:sz="0" w:space="0" w:color="auto"/>
        <w:right w:val="none" w:sz="0" w:space="0" w:color="auto"/>
      </w:divBdr>
    </w:div>
    <w:div w:id="143934816">
      <w:bodyDiv w:val="1"/>
      <w:marLeft w:val="0"/>
      <w:marRight w:val="0"/>
      <w:marTop w:val="0"/>
      <w:marBottom w:val="0"/>
      <w:divBdr>
        <w:top w:val="none" w:sz="0" w:space="0" w:color="auto"/>
        <w:left w:val="none" w:sz="0" w:space="0" w:color="auto"/>
        <w:bottom w:val="none" w:sz="0" w:space="0" w:color="auto"/>
        <w:right w:val="none" w:sz="0" w:space="0" w:color="auto"/>
      </w:divBdr>
    </w:div>
    <w:div w:id="180898596">
      <w:bodyDiv w:val="1"/>
      <w:marLeft w:val="0"/>
      <w:marRight w:val="0"/>
      <w:marTop w:val="0"/>
      <w:marBottom w:val="0"/>
      <w:divBdr>
        <w:top w:val="none" w:sz="0" w:space="0" w:color="auto"/>
        <w:left w:val="none" w:sz="0" w:space="0" w:color="auto"/>
        <w:bottom w:val="none" w:sz="0" w:space="0" w:color="auto"/>
        <w:right w:val="none" w:sz="0" w:space="0" w:color="auto"/>
      </w:divBdr>
    </w:div>
    <w:div w:id="309133491">
      <w:bodyDiv w:val="1"/>
      <w:marLeft w:val="0"/>
      <w:marRight w:val="0"/>
      <w:marTop w:val="0"/>
      <w:marBottom w:val="0"/>
      <w:divBdr>
        <w:top w:val="none" w:sz="0" w:space="0" w:color="auto"/>
        <w:left w:val="none" w:sz="0" w:space="0" w:color="auto"/>
        <w:bottom w:val="none" w:sz="0" w:space="0" w:color="auto"/>
        <w:right w:val="none" w:sz="0" w:space="0" w:color="auto"/>
      </w:divBdr>
    </w:div>
    <w:div w:id="349339599">
      <w:bodyDiv w:val="1"/>
      <w:marLeft w:val="0"/>
      <w:marRight w:val="0"/>
      <w:marTop w:val="0"/>
      <w:marBottom w:val="0"/>
      <w:divBdr>
        <w:top w:val="none" w:sz="0" w:space="0" w:color="auto"/>
        <w:left w:val="none" w:sz="0" w:space="0" w:color="auto"/>
        <w:bottom w:val="none" w:sz="0" w:space="0" w:color="auto"/>
        <w:right w:val="none" w:sz="0" w:space="0" w:color="auto"/>
      </w:divBdr>
      <w:divsChild>
        <w:div w:id="43724640">
          <w:marLeft w:val="0"/>
          <w:marRight w:val="0"/>
          <w:marTop w:val="0"/>
          <w:marBottom w:val="0"/>
          <w:divBdr>
            <w:top w:val="none" w:sz="0" w:space="0" w:color="auto"/>
            <w:left w:val="none" w:sz="0" w:space="0" w:color="auto"/>
            <w:bottom w:val="none" w:sz="0" w:space="0" w:color="auto"/>
            <w:right w:val="none" w:sz="0" w:space="0" w:color="auto"/>
          </w:divBdr>
        </w:div>
      </w:divsChild>
    </w:div>
    <w:div w:id="594362218">
      <w:bodyDiv w:val="1"/>
      <w:marLeft w:val="0"/>
      <w:marRight w:val="0"/>
      <w:marTop w:val="0"/>
      <w:marBottom w:val="0"/>
      <w:divBdr>
        <w:top w:val="none" w:sz="0" w:space="0" w:color="auto"/>
        <w:left w:val="none" w:sz="0" w:space="0" w:color="auto"/>
        <w:bottom w:val="none" w:sz="0" w:space="0" w:color="auto"/>
        <w:right w:val="none" w:sz="0" w:space="0" w:color="auto"/>
      </w:divBdr>
    </w:div>
    <w:div w:id="905650412">
      <w:bodyDiv w:val="1"/>
      <w:marLeft w:val="0"/>
      <w:marRight w:val="0"/>
      <w:marTop w:val="0"/>
      <w:marBottom w:val="0"/>
      <w:divBdr>
        <w:top w:val="none" w:sz="0" w:space="0" w:color="auto"/>
        <w:left w:val="none" w:sz="0" w:space="0" w:color="auto"/>
        <w:bottom w:val="none" w:sz="0" w:space="0" w:color="auto"/>
        <w:right w:val="none" w:sz="0" w:space="0" w:color="auto"/>
      </w:divBdr>
    </w:div>
    <w:div w:id="971059691">
      <w:bodyDiv w:val="1"/>
      <w:marLeft w:val="0"/>
      <w:marRight w:val="0"/>
      <w:marTop w:val="0"/>
      <w:marBottom w:val="0"/>
      <w:divBdr>
        <w:top w:val="none" w:sz="0" w:space="0" w:color="auto"/>
        <w:left w:val="none" w:sz="0" w:space="0" w:color="auto"/>
        <w:bottom w:val="none" w:sz="0" w:space="0" w:color="auto"/>
        <w:right w:val="none" w:sz="0" w:space="0" w:color="auto"/>
      </w:divBdr>
    </w:div>
    <w:div w:id="1273396944">
      <w:bodyDiv w:val="1"/>
      <w:marLeft w:val="0"/>
      <w:marRight w:val="0"/>
      <w:marTop w:val="0"/>
      <w:marBottom w:val="0"/>
      <w:divBdr>
        <w:top w:val="none" w:sz="0" w:space="0" w:color="auto"/>
        <w:left w:val="none" w:sz="0" w:space="0" w:color="auto"/>
        <w:bottom w:val="none" w:sz="0" w:space="0" w:color="auto"/>
        <w:right w:val="none" w:sz="0" w:space="0" w:color="auto"/>
      </w:divBdr>
    </w:div>
    <w:div w:id="1355887310">
      <w:bodyDiv w:val="1"/>
      <w:marLeft w:val="0"/>
      <w:marRight w:val="0"/>
      <w:marTop w:val="0"/>
      <w:marBottom w:val="0"/>
      <w:divBdr>
        <w:top w:val="none" w:sz="0" w:space="0" w:color="auto"/>
        <w:left w:val="none" w:sz="0" w:space="0" w:color="auto"/>
        <w:bottom w:val="none" w:sz="0" w:space="0" w:color="auto"/>
        <w:right w:val="none" w:sz="0" w:space="0" w:color="auto"/>
      </w:divBdr>
    </w:div>
    <w:div w:id="1365862321">
      <w:bodyDiv w:val="1"/>
      <w:marLeft w:val="0"/>
      <w:marRight w:val="0"/>
      <w:marTop w:val="0"/>
      <w:marBottom w:val="0"/>
      <w:divBdr>
        <w:top w:val="none" w:sz="0" w:space="0" w:color="auto"/>
        <w:left w:val="none" w:sz="0" w:space="0" w:color="auto"/>
        <w:bottom w:val="none" w:sz="0" w:space="0" w:color="auto"/>
        <w:right w:val="none" w:sz="0" w:space="0" w:color="auto"/>
      </w:divBdr>
      <w:divsChild>
        <w:div w:id="1542403368">
          <w:marLeft w:val="0"/>
          <w:marRight w:val="0"/>
          <w:marTop w:val="0"/>
          <w:marBottom w:val="0"/>
          <w:divBdr>
            <w:top w:val="none" w:sz="0" w:space="0" w:color="auto"/>
            <w:left w:val="none" w:sz="0" w:space="0" w:color="auto"/>
            <w:bottom w:val="none" w:sz="0" w:space="0" w:color="auto"/>
            <w:right w:val="none" w:sz="0" w:space="0" w:color="auto"/>
          </w:divBdr>
        </w:div>
      </w:divsChild>
    </w:div>
    <w:div w:id="1443919081">
      <w:bodyDiv w:val="1"/>
      <w:marLeft w:val="0"/>
      <w:marRight w:val="0"/>
      <w:marTop w:val="0"/>
      <w:marBottom w:val="0"/>
      <w:divBdr>
        <w:top w:val="none" w:sz="0" w:space="0" w:color="auto"/>
        <w:left w:val="none" w:sz="0" w:space="0" w:color="auto"/>
        <w:bottom w:val="none" w:sz="0" w:space="0" w:color="auto"/>
        <w:right w:val="none" w:sz="0" w:space="0" w:color="auto"/>
      </w:divBdr>
    </w:div>
    <w:div w:id="1702901433">
      <w:bodyDiv w:val="1"/>
      <w:marLeft w:val="0"/>
      <w:marRight w:val="0"/>
      <w:marTop w:val="0"/>
      <w:marBottom w:val="0"/>
      <w:divBdr>
        <w:top w:val="none" w:sz="0" w:space="0" w:color="auto"/>
        <w:left w:val="none" w:sz="0" w:space="0" w:color="auto"/>
        <w:bottom w:val="none" w:sz="0" w:space="0" w:color="auto"/>
        <w:right w:val="none" w:sz="0" w:space="0" w:color="auto"/>
      </w:divBdr>
    </w:div>
    <w:div w:id="1737389332">
      <w:bodyDiv w:val="1"/>
      <w:marLeft w:val="0"/>
      <w:marRight w:val="0"/>
      <w:marTop w:val="0"/>
      <w:marBottom w:val="0"/>
      <w:divBdr>
        <w:top w:val="none" w:sz="0" w:space="0" w:color="auto"/>
        <w:left w:val="none" w:sz="0" w:space="0" w:color="auto"/>
        <w:bottom w:val="none" w:sz="0" w:space="0" w:color="auto"/>
        <w:right w:val="none" w:sz="0" w:space="0" w:color="auto"/>
      </w:divBdr>
    </w:div>
    <w:div w:id="1824421832">
      <w:bodyDiv w:val="1"/>
      <w:marLeft w:val="0"/>
      <w:marRight w:val="0"/>
      <w:marTop w:val="0"/>
      <w:marBottom w:val="0"/>
      <w:divBdr>
        <w:top w:val="none" w:sz="0" w:space="0" w:color="auto"/>
        <w:left w:val="none" w:sz="0" w:space="0" w:color="auto"/>
        <w:bottom w:val="none" w:sz="0" w:space="0" w:color="auto"/>
        <w:right w:val="none" w:sz="0" w:space="0" w:color="auto"/>
      </w:divBdr>
    </w:div>
    <w:div w:id="1832478829">
      <w:bodyDiv w:val="1"/>
      <w:marLeft w:val="0"/>
      <w:marRight w:val="0"/>
      <w:marTop w:val="0"/>
      <w:marBottom w:val="0"/>
      <w:divBdr>
        <w:top w:val="none" w:sz="0" w:space="0" w:color="auto"/>
        <w:left w:val="none" w:sz="0" w:space="0" w:color="auto"/>
        <w:bottom w:val="none" w:sz="0" w:space="0" w:color="auto"/>
        <w:right w:val="none" w:sz="0" w:space="0" w:color="auto"/>
      </w:divBdr>
    </w:div>
    <w:div w:id="2081903189">
      <w:bodyDiv w:val="1"/>
      <w:marLeft w:val="0"/>
      <w:marRight w:val="0"/>
      <w:marTop w:val="0"/>
      <w:marBottom w:val="0"/>
      <w:divBdr>
        <w:top w:val="none" w:sz="0" w:space="0" w:color="auto"/>
        <w:left w:val="none" w:sz="0" w:space="0" w:color="auto"/>
        <w:bottom w:val="none" w:sz="0" w:space="0" w:color="auto"/>
        <w:right w:val="none" w:sz="0" w:space="0" w:color="auto"/>
      </w:divBdr>
      <w:divsChild>
        <w:div w:id="241987203">
          <w:marLeft w:val="0"/>
          <w:marRight w:val="0"/>
          <w:marTop w:val="0"/>
          <w:marBottom w:val="0"/>
          <w:divBdr>
            <w:top w:val="none" w:sz="0" w:space="0" w:color="auto"/>
            <w:left w:val="none" w:sz="0" w:space="0" w:color="auto"/>
            <w:bottom w:val="none" w:sz="0" w:space="0" w:color="auto"/>
            <w:right w:val="none" w:sz="0" w:space="0" w:color="auto"/>
          </w:divBdr>
        </w:div>
        <w:div w:id="407462012">
          <w:marLeft w:val="0"/>
          <w:marRight w:val="0"/>
          <w:marTop w:val="0"/>
          <w:marBottom w:val="0"/>
          <w:divBdr>
            <w:top w:val="none" w:sz="0" w:space="0" w:color="auto"/>
            <w:left w:val="none" w:sz="0" w:space="0" w:color="auto"/>
            <w:bottom w:val="none" w:sz="0" w:space="0" w:color="auto"/>
            <w:right w:val="none" w:sz="0" w:space="0" w:color="auto"/>
          </w:divBdr>
        </w:div>
        <w:div w:id="1073352945">
          <w:marLeft w:val="0"/>
          <w:marRight w:val="0"/>
          <w:marTop w:val="0"/>
          <w:marBottom w:val="0"/>
          <w:divBdr>
            <w:top w:val="none" w:sz="0" w:space="0" w:color="auto"/>
            <w:left w:val="none" w:sz="0" w:space="0" w:color="auto"/>
            <w:bottom w:val="none" w:sz="0" w:space="0" w:color="auto"/>
            <w:right w:val="none" w:sz="0" w:space="0" w:color="auto"/>
          </w:divBdr>
        </w:div>
        <w:div w:id="1203398096">
          <w:marLeft w:val="0"/>
          <w:marRight w:val="0"/>
          <w:marTop w:val="0"/>
          <w:marBottom w:val="0"/>
          <w:divBdr>
            <w:top w:val="none" w:sz="0" w:space="0" w:color="auto"/>
            <w:left w:val="none" w:sz="0" w:space="0" w:color="auto"/>
            <w:bottom w:val="none" w:sz="0" w:space="0" w:color="auto"/>
            <w:right w:val="none" w:sz="0" w:space="0" w:color="auto"/>
          </w:divBdr>
        </w:div>
        <w:div w:id="205615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staging.org/"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repositorio.hff.min-saude.pt/bitstream/10400.10/1405/1/Rev%20Port%20Otorrinol%20Cirur%20Cerv%20Fac.%202013%20Set%2c%2051%283%29%20%20157-160.pdf"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hart>
    <c:plotArea>
      <c:layout/>
      <c:barChart>
        <c:barDir val="col"/>
        <c:grouping val="clustered"/>
        <c:ser>
          <c:idx val="0"/>
          <c:order val="0"/>
          <c:tx>
            <c:strRef>
              <c:f>Sheet1!$B$1</c:f>
              <c:strCache>
                <c:ptCount val="1"/>
                <c:pt idx="0">
                  <c:v>men</c:v>
                </c:pt>
              </c:strCache>
            </c:strRef>
          </c:tx>
          <c:spPr>
            <a:solidFill>
              <a:schemeClr val="accent1">
                <a:lumMod val="75000"/>
              </a:schemeClr>
            </a:solidFill>
            <a:ln>
              <a:solidFill>
                <a:schemeClr val="accent5">
                  <a:lumMod val="75000"/>
                </a:schemeClr>
              </a:solidFill>
            </a:ln>
          </c:spPr>
          <c:cat>
            <c:strRef>
              <c:f>Sheet1!$A$2:$A$8</c:f>
              <c:strCache>
                <c:ptCount val="7"/>
                <c:pt idx="0">
                  <c:v>≤19</c:v>
                </c:pt>
                <c:pt idx="1">
                  <c:v>20-29</c:v>
                </c:pt>
                <c:pt idx="2">
                  <c:v>30-39</c:v>
                </c:pt>
                <c:pt idx="3">
                  <c:v>40-49</c:v>
                </c:pt>
                <c:pt idx="4">
                  <c:v>50-59</c:v>
                </c:pt>
                <c:pt idx="5">
                  <c:v>60-69</c:v>
                </c:pt>
                <c:pt idx="6">
                  <c:v>≥70</c:v>
                </c:pt>
              </c:strCache>
            </c:strRef>
          </c:cat>
          <c:val>
            <c:numRef>
              <c:f>Sheet1!$B$2:$B$8</c:f>
              <c:numCache>
                <c:formatCode>General</c:formatCode>
                <c:ptCount val="7"/>
                <c:pt idx="0">
                  <c:v>1.3513513513513521E-2</c:v>
                </c:pt>
                <c:pt idx="1">
                  <c:v>4.0540540540540543E-2</c:v>
                </c:pt>
                <c:pt idx="2">
                  <c:v>0.11486486486486468</c:v>
                </c:pt>
                <c:pt idx="3">
                  <c:v>6.0810810810810932E-2</c:v>
                </c:pt>
                <c:pt idx="4">
                  <c:v>5.4054054054054092E-2</c:v>
                </c:pt>
                <c:pt idx="5">
                  <c:v>3.3783783783783786E-2</c:v>
                </c:pt>
                <c:pt idx="6">
                  <c:v>3.3783783783783786E-2</c:v>
                </c:pt>
              </c:numCache>
            </c:numRef>
          </c:val>
        </c:ser>
        <c:ser>
          <c:idx val="1"/>
          <c:order val="1"/>
          <c:tx>
            <c:strRef>
              <c:f>Sheet1!$C$1</c:f>
              <c:strCache>
                <c:ptCount val="1"/>
                <c:pt idx="0">
                  <c:v>women</c:v>
                </c:pt>
              </c:strCache>
            </c:strRef>
          </c:tx>
          <c:spPr>
            <a:solidFill>
              <a:srgbClr val="CC0066"/>
            </a:solidFill>
            <a:ln>
              <a:solidFill>
                <a:schemeClr val="accent3">
                  <a:lumMod val="60000"/>
                  <a:lumOff val="40000"/>
                </a:schemeClr>
              </a:solidFill>
            </a:ln>
          </c:spPr>
          <c:cat>
            <c:strRef>
              <c:f>Sheet1!$A$2:$A$8</c:f>
              <c:strCache>
                <c:ptCount val="7"/>
                <c:pt idx="0">
                  <c:v>≤19</c:v>
                </c:pt>
                <c:pt idx="1">
                  <c:v>20-29</c:v>
                </c:pt>
                <c:pt idx="2">
                  <c:v>30-39</c:v>
                </c:pt>
                <c:pt idx="3">
                  <c:v>40-49</c:v>
                </c:pt>
                <c:pt idx="4">
                  <c:v>50-59</c:v>
                </c:pt>
                <c:pt idx="5">
                  <c:v>60-69</c:v>
                </c:pt>
                <c:pt idx="6">
                  <c:v>≥70</c:v>
                </c:pt>
              </c:strCache>
            </c:strRef>
          </c:cat>
          <c:val>
            <c:numRef>
              <c:f>Sheet1!$C$2:$C$8</c:f>
              <c:numCache>
                <c:formatCode>General</c:formatCode>
                <c:ptCount val="7"/>
                <c:pt idx="0">
                  <c:v>3.3783783783783786E-2</c:v>
                </c:pt>
                <c:pt idx="1">
                  <c:v>6.0810810810810932E-2</c:v>
                </c:pt>
                <c:pt idx="2">
                  <c:v>0.14189189189189241</c:v>
                </c:pt>
                <c:pt idx="3">
                  <c:v>0.13513513513513545</c:v>
                </c:pt>
                <c:pt idx="4">
                  <c:v>0.12837837837837837</c:v>
                </c:pt>
                <c:pt idx="5">
                  <c:v>9.4594594594594975E-2</c:v>
                </c:pt>
                <c:pt idx="6">
                  <c:v>5.4054054054054092E-2</c:v>
                </c:pt>
              </c:numCache>
            </c:numRef>
          </c:val>
        </c:ser>
        <c:axId val="191224448"/>
        <c:axId val="200147712"/>
      </c:barChart>
      <c:catAx>
        <c:axId val="191224448"/>
        <c:scaling>
          <c:orientation val="minMax"/>
        </c:scaling>
        <c:axPos val="b"/>
        <c:title>
          <c:tx>
            <c:rich>
              <a:bodyPr/>
              <a:lstStyle/>
              <a:p>
                <a:pPr>
                  <a:defRPr sz="1099" b="1" i="0" u="none" strike="noStrike" baseline="0">
                    <a:solidFill>
                      <a:srgbClr val="000000"/>
                    </a:solidFill>
                    <a:latin typeface="Calibri"/>
                    <a:ea typeface="Calibri"/>
                    <a:cs typeface="Calibri"/>
                  </a:defRPr>
                </a:pPr>
                <a:r>
                  <a:rPr lang="pt-PT"/>
                  <a:t>age (years)</a:t>
                </a:r>
              </a:p>
            </c:rich>
          </c:tx>
        </c:title>
        <c:numFmt formatCode="General" sourceLinked="1"/>
        <c:tickLblPos val="nextTo"/>
        <c:txPr>
          <a:bodyPr/>
          <a:lstStyle/>
          <a:p>
            <a:pPr>
              <a:defRPr sz="999"/>
            </a:pPr>
            <a:endParaRPr lang="pt-PT"/>
          </a:p>
        </c:txPr>
        <c:crossAx val="200147712"/>
        <c:crosses val="autoZero"/>
        <c:auto val="1"/>
        <c:lblAlgn val="ctr"/>
        <c:lblOffset val="100"/>
      </c:catAx>
      <c:valAx>
        <c:axId val="200147712"/>
        <c:scaling>
          <c:orientation val="minMax"/>
        </c:scaling>
        <c:axPos val="l"/>
        <c:majorGridlines/>
        <c:numFmt formatCode="0%" sourceLinked="0"/>
        <c:tickLblPos val="nextTo"/>
        <c:txPr>
          <a:bodyPr/>
          <a:lstStyle/>
          <a:p>
            <a:pPr>
              <a:defRPr sz="999"/>
            </a:pPr>
            <a:endParaRPr lang="pt-PT"/>
          </a:p>
        </c:txPr>
        <c:crossAx val="191224448"/>
        <c:crosses val="autoZero"/>
        <c:crossBetween val="between"/>
      </c:valAx>
      <c:spPr>
        <a:solidFill>
          <a:schemeClr val="bg1">
            <a:lumMod val="95000"/>
          </a:schemeClr>
        </a:solidFill>
      </c:spPr>
    </c:plotArea>
    <c:legend>
      <c:legendPos val="b"/>
      <c:txPr>
        <a:bodyPr/>
        <a:lstStyle/>
        <a:p>
          <a:pPr>
            <a:defRPr sz="1199"/>
          </a:pPr>
          <a:endParaRPr lang="pt-PT"/>
        </a:p>
      </c:txPr>
    </c:legend>
    <c:plotVisOnly val="1"/>
    <c:dispBlanksAs val="gap"/>
  </c:chart>
  <c:txPr>
    <a:bodyPr/>
    <a:lstStyle/>
    <a:p>
      <a:pPr>
        <a:defRPr sz="1798"/>
      </a:pPr>
      <a:endParaRPr lang="pt-P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plotArea>
      <c:layout>
        <c:manualLayout>
          <c:layoutTarget val="inner"/>
          <c:xMode val="edge"/>
          <c:yMode val="edge"/>
          <c:x val="0.18185076865391817"/>
          <c:y val="5.6073331742623113E-2"/>
          <c:w val="0.77624446944132064"/>
          <c:h val="0.61879941143721251"/>
        </c:manualLayout>
      </c:layout>
      <c:barChart>
        <c:barDir val="col"/>
        <c:grouping val="clustered"/>
        <c:ser>
          <c:idx val="0"/>
          <c:order val="0"/>
          <c:tx>
            <c:strRef>
              <c:f>Sheet1!$B$1</c:f>
              <c:strCache>
                <c:ptCount val="1"/>
                <c:pt idx="0">
                  <c:v>men</c:v>
                </c:pt>
              </c:strCache>
            </c:strRef>
          </c:tx>
          <c:spPr>
            <a:solidFill>
              <a:schemeClr val="accent1">
                <a:lumMod val="75000"/>
              </a:schemeClr>
            </a:solidFill>
            <a:ln>
              <a:solidFill>
                <a:schemeClr val="accent1">
                  <a:lumMod val="75000"/>
                </a:schemeClr>
              </a:solidFill>
            </a:ln>
          </c:spPr>
          <c:cat>
            <c:strRef>
              <c:f>Sheet1!$A$2:$A$8</c:f>
              <c:strCache>
                <c:ptCount val="7"/>
                <c:pt idx="0">
                  <c:v>≤19</c:v>
                </c:pt>
                <c:pt idx="1">
                  <c:v>20-29</c:v>
                </c:pt>
                <c:pt idx="2">
                  <c:v>30-39</c:v>
                </c:pt>
                <c:pt idx="3">
                  <c:v>40-49</c:v>
                </c:pt>
                <c:pt idx="4">
                  <c:v>50-59</c:v>
                </c:pt>
                <c:pt idx="5">
                  <c:v>60-69</c:v>
                </c:pt>
                <c:pt idx="6">
                  <c:v>≥70</c:v>
                </c:pt>
              </c:strCache>
            </c:strRef>
          </c:cat>
          <c:val>
            <c:numRef>
              <c:f>Sheet1!$B$2:$B$8</c:f>
              <c:numCache>
                <c:formatCode>General</c:formatCode>
                <c:ptCount val="7"/>
                <c:pt idx="0">
                  <c:v>0</c:v>
                </c:pt>
                <c:pt idx="1">
                  <c:v>0</c:v>
                </c:pt>
                <c:pt idx="2">
                  <c:v>3.2786885245901641E-2</c:v>
                </c:pt>
                <c:pt idx="3">
                  <c:v>0.1475409836065574</c:v>
                </c:pt>
                <c:pt idx="4">
                  <c:v>0.31147540983606642</c:v>
                </c:pt>
                <c:pt idx="5">
                  <c:v>0.29508196721311553</c:v>
                </c:pt>
                <c:pt idx="6">
                  <c:v>8.1967213114754051E-2</c:v>
                </c:pt>
              </c:numCache>
            </c:numRef>
          </c:val>
        </c:ser>
        <c:ser>
          <c:idx val="1"/>
          <c:order val="1"/>
          <c:tx>
            <c:strRef>
              <c:f>Sheet1!$C$1</c:f>
              <c:strCache>
                <c:ptCount val="1"/>
                <c:pt idx="0">
                  <c:v>women</c:v>
                </c:pt>
              </c:strCache>
            </c:strRef>
          </c:tx>
          <c:spPr>
            <a:solidFill>
              <a:srgbClr val="CC0066"/>
            </a:solidFill>
            <a:ln>
              <a:solidFill>
                <a:schemeClr val="accent3">
                  <a:lumMod val="60000"/>
                  <a:lumOff val="40000"/>
                </a:schemeClr>
              </a:solidFill>
            </a:ln>
          </c:spPr>
          <c:cat>
            <c:strRef>
              <c:f>Sheet1!$A$2:$A$8</c:f>
              <c:strCache>
                <c:ptCount val="7"/>
                <c:pt idx="0">
                  <c:v>≤19</c:v>
                </c:pt>
                <c:pt idx="1">
                  <c:v>20-29</c:v>
                </c:pt>
                <c:pt idx="2">
                  <c:v>30-39</c:v>
                </c:pt>
                <c:pt idx="3">
                  <c:v>40-49</c:v>
                </c:pt>
                <c:pt idx="4">
                  <c:v>50-59</c:v>
                </c:pt>
                <c:pt idx="5">
                  <c:v>60-69</c:v>
                </c:pt>
                <c:pt idx="6">
                  <c:v>≥70</c:v>
                </c:pt>
              </c:strCache>
            </c:strRef>
          </c:cat>
          <c:val>
            <c:numRef>
              <c:f>Sheet1!$C$2:$C$8</c:f>
              <c:numCache>
                <c:formatCode>General</c:formatCode>
                <c:ptCount val="7"/>
                <c:pt idx="0">
                  <c:v>0</c:v>
                </c:pt>
                <c:pt idx="1">
                  <c:v>0</c:v>
                </c:pt>
                <c:pt idx="2">
                  <c:v>0</c:v>
                </c:pt>
                <c:pt idx="3">
                  <c:v>3.2786885245901641E-2</c:v>
                </c:pt>
                <c:pt idx="4">
                  <c:v>8.1967213114754051E-2</c:v>
                </c:pt>
                <c:pt idx="5">
                  <c:v>0</c:v>
                </c:pt>
                <c:pt idx="6">
                  <c:v>1.6393442622950821E-2</c:v>
                </c:pt>
              </c:numCache>
            </c:numRef>
          </c:val>
        </c:ser>
        <c:axId val="188584704"/>
        <c:axId val="188586624"/>
      </c:barChart>
      <c:catAx>
        <c:axId val="188584704"/>
        <c:scaling>
          <c:orientation val="minMax"/>
        </c:scaling>
        <c:axPos val="b"/>
        <c:title>
          <c:tx>
            <c:rich>
              <a:bodyPr/>
              <a:lstStyle/>
              <a:p>
                <a:pPr>
                  <a:defRPr sz="1049" b="1" i="0" u="none" strike="noStrike" baseline="0">
                    <a:solidFill>
                      <a:srgbClr val="000000"/>
                    </a:solidFill>
                    <a:latin typeface="Calibri"/>
                    <a:ea typeface="Calibri"/>
                    <a:cs typeface="Calibri"/>
                  </a:defRPr>
                </a:pPr>
                <a:r>
                  <a:rPr lang="pt-PT"/>
                  <a:t>age (years)</a:t>
                </a:r>
              </a:p>
            </c:rich>
          </c:tx>
        </c:title>
        <c:numFmt formatCode="General" sourceLinked="1"/>
        <c:tickLblPos val="nextTo"/>
        <c:txPr>
          <a:bodyPr/>
          <a:lstStyle/>
          <a:p>
            <a:pPr>
              <a:defRPr sz="999"/>
            </a:pPr>
            <a:endParaRPr lang="pt-PT"/>
          </a:p>
        </c:txPr>
        <c:crossAx val="188586624"/>
        <c:crosses val="autoZero"/>
        <c:auto val="1"/>
        <c:lblAlgn val="ctr"/>
        <c:lblOffset val="100"/>
      </c:catAx>
      <c:valAx>
        <c:axId val="188586624"/>
        <c:scaling>
          <c:orientation val="minMax"/>
        </c:scaling>
        <c:axPos val="l"/>
        <c:majorGridlines/>
        <c:numFmt formatCode="0%" sourceLinked="0"/>
        <c:tickLblPos val="nextTo"/>
        <c:txPr>
          <a:bodyPr/>
          <a:lstStyle/>
          <a:p>
            <a:pPr>
              <a:defRPr sz="999"/>
            </a:pPr>
            <a:endParaRPr lang="pt-PT"/>
          </a:p>
        </c:txPr>
        <c:crossAx val="188584704"/>
        <c:crosses val="autoZero"/>
        <c:crossBetween val="between"/>
      </c:valAx>
      <c:spPr>
        <a:solidFill>
          <a:schemeClr val="bg1">
            <a:lumMod val="95000"/>
          </a:schemeClr>
        </a:solidFill>
      </c:spPr>
    </c:plotArea>
    <c:legend>
      <c:legendPos val="b"/>
      <c:legendEntry>
        <c:idx val="0"/>
        <c:txPr>
          <a:bodyPr/>
          <a:lstStyle/>
          <a:p>
            <a:pPr>
              <a:defRPr sz="1198"/>
            </a:pPr>
            <a:endParaRPr lang="pt-PT"/>
          </a:p>
        </c:txPr>
      </c:legendEntry>
      <c:legendEntry>
        <c:idx val="1"/>
        <c:txPr>
          <a:bodyPr/>
          <a:lstStyle/>
          <a:p>
            <a:pPr>
              <a:defRPr sz="1198"/>
            </a:pPr>
            <a:endParaRPr lang="pt-PT"/>
          </a:p>
        </c:txPr>
      </c:legendEntry>
    </c:legend>
    <c:plotVisOnly val="1"/>
    <c:dispBlanksAs val="gap"/>
  </c:chart>
  <c:txPr>
    <a:bodyPr/>
    <a:lstStyle/>
    <a:p>
      <a:pPr>
        <a:defRPr sz="1798"/>
      </a:pPr>
      <a:endParaRPr lang="pt-P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chart>
    <c:plotArea>
      <c:layout/>
      <c:barChart>
        <c:barDir val="col"/>
        <c:grouping val="clustered"/>
        <c:ser>
          <c:idx val="0"/>
          <c:order val="0"/>
          <c:tx>
            <c:strRef>
              <c:f>Sheet1!$B$1</c:f>
              <c:strCache>
                <c:ptCount val="1"/>
                <c:pt idx="0">
                  <c:v>men</c:v>
                </c:pt>
              </c:strCache>
            </c:strRef>
          </c:tx>
          <c:spPr>
            <a:solidFill>
              <a:schemeClr val="accent1">
                <a:lumMod val="75000"/>
              </a:schemeClr>
            </a:solidFill>
            <a:ln>
              <a:solidFill>
                <a:schemeClr val="accent5">
                  <a:lumMod val="75000"/>
                </a:schemeClr>
              </a:solidFill>
            </a:ln>
          </c:spPr>
          <c:cat>
            <c:strRef>
              <c:f>Sheet1!$A$2:$A$8</c:f>
              <c:strCache>
                <c:ptCount val="7"/>
                <c:pt idx="0">
                  <c:v>≤19</c:v>
                </c:pt>
                <c:pt idx="1">
                  <c:v>20-29</c:v>
                </c:pt>
                <c:pt idx="2">
                  <c:v>30-39</c:v>
                </c:pt>
                <c:pt idx="3">
                  <c:v>40-49</c:v>
                </c:pt>
                <c:pt idx="4">
                  <c:v>50-59</c:v>
                </c:pt>
                <c:pt idx="5">
                  <c:v>60-69</c:v>
                </c:pt>
                <c:pt idx="6">
                  <c:v>≥70</c:v>
                </c:pt>
              </c:strCache>
            </c:strRef>
          </c:cat>
          <c:val>
            <c:numRef>
              <c:f>Sheet1!$B$2:$B$8</c:f>
              <c:numCache>
                <c:formatCode>General</c:formatCode>
                <c:ptCount val="7"/>
                <c:pt idx="0">
                  <c:v>0</c:v>
                </c:pt>
                <c:pt idx="1">
                  <c:v>2.3255813953488372E-2</c:v>
                </c:pt>
                <c:pt idx="2">
                  <c:v>9.3023255813953501E-2</c:v>
                </c:pt>
                <c:pt idx="3">
                  <c:v>4.6511627906976896E-2</c:v>
                </c:pt>
                <c:pt idx="4">
                  <c:v>0.11627906976744186</c:v>
                </c:pt>
                <c:pt idx="5">
                  <c:v>0.16279069767441864</c:v>
                </c:pt>
                <c:pt idx="6">
                  <c:v>9.3023255813953501E-2</c:v>
                </c:pt>
              </c:numCache>
            </c:numRef>
          </c:val>
        </c:ser>
        <c:ser>
          <c:idx val="1"/>
          <c:order val="1"/>
          <c:tx>
            <c:strRef>
              <c:f>Sheet1!$C$1</c:f>
              <c:strCache>
                <c:ptCount val="1"/>
                <c:pt idx="0">
                  <c:v>women</c:v>
                </c:pt>
              </c:strCache>
            </c:strRef>
          </c:tx>
          <c:spPr>
            <a:solidFill>
              <a:srgbClr val="CC0066"/>
            </a:solidFill>
            <a:ln>
              <a:solidFill>
                <a:schemeClr val="accent3">
                  <a:lumMod val="60000"/>
                  <a:lumOff val="40000"/>
                </a:schemeClr>
              </a:solidFill>
            </a:ln>
          </c:spPr>
          <c:cat>
            <c:strRef>
              <c:f>Sheet1!$A$2:$A$8</c:f>
              <c:strCache>
                <c:ptCount val="7"/>
                <c:pt idx="0">
                  <c:v>≤19</c:v>
                </c:pt>
                <c:pt idx="1">
                  <c:v>20-29</c:v>
                </c:pt>
                <c:pt idx="2">
                  <c:v>30-39</c:v>
                </c:pt>
                <c:pt idx="3">
                  <c:v>40-49</c:v>
                </c:pt>
                <c:pt idx="4">
                  <c:v>50-59</c:v>
                </c:pt>
                <c:pt idx="5">
                  <c:v>60-69</c:v>
                </c:pt>
                <c:pt idx="6">
                  <c:v>≥70</c:v>
                </c:pt>
              </c:strCache>
            </c:strRef>
          </c:cat>
          <c:val>
            <c:numRef>
              <c:f>Sheet1!$C$2:$C$8</c:f>
              <c:numCache>
                <c:formatCode>General</c:formatCode>
                <c:ptCount val="7"/>
                <c:pt idx="0">
                  <c:v>4.6511627906976896E-2</c:v>
                </c:pt>
                <c:pt idx="1">
                  <c:v>2.3255813953488372E-2</c:v>
                </c:pt>
                <c:pt idx="2">
                  <c:v>0.11627906976744186</c:v>
                </c:pt>
                <c:pt idx="3">
                  <c:v>2.3255813953488372E-2</c:v>
                </c:pt>
                <c:pt idx="4">
                  <c:v>6.9767441860465268E-2</c:v>
                </c:pt>
                <c:pt idx="5">
                  <c:v>2.3255813953488372E-2</c:v>
                </c:pt>
                <c:pt idx="6">
                  <c:v>0.16279069767441864</c:v>
                </c:pt>
              </c:numCache>
            </c:numRef>
          </c:val>
        </c:ser>
        <c:axId val="191102336"/>
        <c:axId val="202126848"/>
      </c:barChart>
      <c:catAx>
        <c:axId val="191102336"/>
        <c:scaling>
          <c:orientation val="minMax"/>
        </c:scaling>
        <c:axPos val="b"/>
        <c:title>
          <c:tx>
            <c:rich>
              <a:bodyPr/>
              <a:lstStyle/>
              <a:p>
                <a:pPr>
                  <a:defRPr sz="1050" b="1" i="0" u="none" strike="noStrike" baseline="0">
                    <a:solidFill>
                      <a:srgbClr val="000000"/>
                    </a:solidFill>
                    <a:latin typeface="Calibri"/>
                    <a:ea typeface="Calibri"/>
                    <a:cs typeface="Calibri"/>
                  </a:defRPr>
                </a:pPr>
                <a:r>
                  <a:rPr lang="pt-PT"/>
                  <a:t>age (years)</a:t>
                </a:r>
              </a:p>
            </c:rich>
          </c:tx>
        </c:title>
        <c:numFmt formatCode="General" sourceLinked="1"/>
        <c:tickLblPos val="nextTo"/>
        <c:txPr>
          <a:bodyPr/>
          <a:lstStyle/>
          <a:p>
            <a:pPr>
              <a:defRPr sz="1000"/>
            </a:pPr>
            <a:endParaRPr lang="pt-PT"/>
          </a:p>
        </c:txPr>
        <c:crossAx val="202126848"/>
        <c:crosses val="autoZero"/>
        <c:auto val="1"/>
        <c:lblAlgn val="ctr"/>
        <c:lblOffset val="100"/>
      </c:catAx>
      <c:valAx>
        <c:axId val="202126848"/>
        <c:scaling>
          <c:orientation val="minMax"/>
        </c:scaling>
        <c:axPos val="l"/>
        <c:majorGridlines/>
        <c:numFmt formatCode="0%" sourceLinked="0"/>
        <c:tickLblPos val="nextTo"/>
        <c:txPr>
          <a:bodyPr/>
          <a:lstStyle/>
          <a:p>
            <a:pPr>
              <a:defRPr sz="1050"/>
            </a:pPr>
            <a:endParaRPr lang="pt-PT"/>
          </a:p>
        </c:txPr>
        <c:crossAx val="191102336"/>
        <c:crosses val="autoZero"/>
        <c:crossBetween val="between"/>
      </c:valAx>
      <c:spPr>
        <a:solidFill>
          <a:schemeClr val="bg1">
            <a:lumMod val="95000"/>
          </a:schemeClr>
        </a:solidFill>
      </c:spPr>
    </c:plotArea>
    <c:legend>
      <c:legendPos val="b"/>
      <c:txPr>
        <a:bodyPr/>
        <a:lstStyle/>
        <a:p>
          <a:pPr>
            <a:defRPr sz="1100"/>
          </a:pPr>
          <a:endParaRPr lang="pt-PT"/>
        </a:p>
      </c:txPr>
    </c:legend>
    <c:plotVisOnly val="1"/>
    <c:dispBlanksAs val="gap"/>
  </c:chart>
  <c:txPr>
    <a:bodyPr/>
    <a:lstStyle/>
    <a:p>
      <a:pPr>
        <a:defRPr sz="1800"/>
      </a:pPr>
      <a:endParaRPr lang="pt-PT"/>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Oli13</b:Tag>
    <b:SourceType>JournalArticle</b:SourceType>
    <b:Guid>{5E18C733-A23B-4E57-B783-566EC16B53DF}</b:Guid>
    <b:Author>
      <b:Author>
        <b:NameList>
          <b:Person>
            <b:Last>Oliveira F</b:Last>
            <b:First>Costa</b:First>
            <b:Middle>E, Pereira S, Pacheco R, Magalhães M</b:Middle>
          </b:Person>
        </b:NameList>
      </b:Author>
    </b:Author>
    <b:Title>Tumores das glândulas parótidas - casuística dos últimos 10 anos do serviço de ORL do IPO de Lisboa</b:Title>
    <b:Year>2013</b:Year>
    <b:JournalName>Revista Portuguesa de Otorrinilaringologia e Cirurgia Maxilofacial</b:JournalName>
    <b:Pages>vol 51, n.º3 (157-160)</b:Pages>
    <b:RefOrder>1</b:RefOrder>
  </b:Source>
</b:Sources>
</file>

<file path=customXml/itemProps1.xml><?xml version="1.0" encoding="utf-8"?>
<ds:datastoreItem xmlns:ds="http://schemas.openxmlformats.org/officeDocument/2006/customXml" ds:itemID="{0923EE06-B494-4315-80F2-2640E7CD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13089</Words>
  <Characters>70685</Characters>
  <Application>Microsoft Office Word</Application>
  <DocSecurity>0</DocSecurity>
  <Lines>589</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83607</CharactersWithSpaces>
  <SharedDoc>false</SharedDoc>
  <HLinks>
    <vt:vector size="12" baseType="variant">
      <vt:variant>
        <vt:i4>7864367</vt:i4>
      </vt:variant>
      <vt:variant>
        <vt:i4>32</vt:i4>
      </vt:variant>
      <vt:variant>
        <vt:i4>0</vt:i4>
      </vt:variant>
      <vt:variant>
        <vt:i4>5</vt:i4>
      </vt:variant>
      <vt:variant>
        <vt:lpwstr>http://repositorio.hff.min-saude.pt/bitstream/10400.10/1405/1/Rev Port Otorrinol Cirur Cerv Fac. 2013 Set%2c 51%283%29  157-160.pdf</vt:lpwstr>
      </vt:variant>
      <vt:variant>
        <vt:lpwstr/>
      </vt:variant>
      <vt:variant>
        <vt:i4>3539004</vt:i4>
      </vt:variant>
      <vt:variant>
        <vt:i4>6</vt:i4>
      </vt:variant>
      <vt:variant>
        <vt:i4>0</vt:i4>
      </vt:variant>
      <vt:variant>
        <vt:i4>5</vt:i4>
      </vt:variant>
      <vt:variant>
        <vt:lpwstr>https://www.cancerstaging.org/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Lopes</dc:creator>
  <cp:lastModifiedBy>José Manuel Lopes</cp:lastModifiedBy>
  <cp:revision>7</cp:revision>
  <cp:lastPrinted>2017-08-20T17:57:00Z</cp:lastPrinted>
  <dcterms:created xsi:type="dcterms:W3CDTF">2018-05-12T11:13:00Z</dcterms:created>
  <dcterms:modified xsi:type="dcterms:W3CDTF">2018-08-13T10:17:00Z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5292ee21-13b4-3a8f-9256-ecae184fed6e</vt:lpwstr>
  </property>
  <property fmtid="{D5CDD505-2E9C-101B-9397-08002B2CF9AE}" pid="4" name="Mendeley Citation Style_1">
    <vt:lpwstr>http://www.zotero.org/styles/acta-medica</vt:lpwstr>
  </property>
  <property fmtid="{D5CDD505-2E9C-101B-9397-08002B2CF9AE}" pid="5" name="Mendeley Recent Style Id 0_1">
    <vt:lpwstr>http://www.zotero.org/styles/acta-medica</vt:lpwstr>
  </property>
  <property fmtid="{D5CDD505-2E9C-101B-9397-08002B2CF9AE}" pid="6" name="Mendeley Recent Style Name 0_1">
    <vt:lpwstr>Acta Medica</vt:lpwstr>
  </property>
  <property fmtid="{D5CDD505-2E9C-101B-9397-08002B2CF9AE}" pid="7" name="Mendeley Recent Style Id 1_1">
    <vt:lpwstr>http://www.zotero.org/styles/american-journal-of-surgical-pathology</vt:lpwstr>
  </property>
  <property fmtid="{D5CDD505-2E9C-101B-9397-08002B2CF9AE}" pid="8" name="Mendeley Recent Style Name 1_1">
    <vt:lpwstr>American Journal of Surgical Pathology</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