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43799C" w:rsidRDefault="00B13631" w:rsidP="00A90221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  <w:lang w:eastAsia="pt-PT"/>
        </w:rPr>
      </w:pPr>
      <w:r w:rsidRPr="0043799C">
        <w:rPr>
          <w:rFonts w:ascii="Helvetica" w:eastAsia="Times New Roman" w:hAnsi="Helvetica" w:cs="Times New Roman"/>
          <w:b/>
          <w:color w:val="000000"/>
          <w:sz w:val="18"/>
          <w:szCs w:val="18"/>
          <w:lang w:eastAsia="pt-PT"/>
        </w:rPr>
        <w:t>Resposta às alterações propostas pelos revisores</w:t>
      </w:r>
    </w:p>
    <w:p w:rsidR="00B13631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B13631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6540AC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Revisor B: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REVISÃO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“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Tympanic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membrane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haematoma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in a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riva</w:t>
      </w:r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roxaban-treated</w:t>
      </w:r>
      <w:proofErr w:type="spellEnd"/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patient</w:t>
      </w:r>
      <w:proofErr w:type="spellEnd"/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: a case </w:t>
      </w:r>
      <w:proofErr w:type="spellStart"/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report</w:t>
      </w:r>
      <w:proofErr w:type="spellEnd"/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”</w:t>
      </w:r>
      <w:r w:rsidR="00885DF5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Relevância: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Manuscrito é importante para a prática clínica de forma geral? NÃO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Pode ajudar os médicos a aperfeiçoar a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sua prática e consequentemente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abordar de forma mais eficiente as pessoas com as várias doenças? NÃO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 xml:space="preserve">Comenta factores clínicos, científicos, 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sociais, políticos e económicos </w:t>
      </w:r>
      <w:r w:rsidR="00A9022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que afectam a saúde? SIM</w:t>
      </w:r>
      <w:r w:rsidR="00A9022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Originalidade: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O que é que este manuscrito acres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centa à literatura existente? 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comprovar-se o nexo de causalidade, é um dado clínico raro e original.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Má conduta: identifique plágio, imprec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isão de dados, fraude, viés e 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duplicação de publicação. NÃO APLICAVÉL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 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Estrutura do Manuscrito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Título: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É informativo e curto? SIM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Reflecte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o conteúdo de forma sucinta? SIM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 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Resumo: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Reflecte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o conteúdo do manuscrito? SIM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É estruturado? SIM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Resume o conteúdo de forma eficiente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? NÃO: A relação de causalidade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entre a hemorragia timpânica espontân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ea e a administração do fármaco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Rivaroxaban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não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está claramente invocada pelos autores. Devem-se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harmonizar os conceitos evitando expr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essões diferentes como “efeitos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indesejáveis” e “efeito adverso”. As 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palavras-chave selecionadas têm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que ser exatamente iguais às que figuram no resumo.</w:t>
      </w:r>
    </w:p>
    <w:p w:rsidR="006540AC" w:rsidRDefault="006540AC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6540AC" w:rsidRDefault="006540AC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O início recente da toma de </w:t>
      </w:r>
      <w:proofErr w:type="spellStart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rivaroxabano</w:t>
      </w:r>
      <w:proofErr w:type="spellEnd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pode associar-se aos achados clínicos uma vez que a otalgia era ligeira, não associada a outras queixas otológicas, a membrana timpânica não </w:t>
      </w:r>
      <w:r w:rsidR="00722D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apresenta mais 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nenhuma alteração e não há contexto de traumatismo. A instituição deste fármaco constituiu o único evento de novo na história clínica da doente, pelo que a relação temporal é plausível. 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Introdução: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s obje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tivos são claramente mencionados? NÃO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</w:p>
    <w:p w:rsidR="006540AC" w:rsidRPr="006540AC" w:rsidRDefault="005233BF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O obje</w:t>
      </w:r>
      <w:r w:rsidR="006540AC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tivo do artigo passa por ale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rtar para um possível efeito adverso</w:t>
      </w:r>
      <w:r w:rsidR="006540AC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do fármaco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,</w:t>
      </w:r>
      <w:r w:rsidR="006540AC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nomeadamente na comunidade ORL. </w:t>
      </w:r>
    </w:p>
    <w:p w:rsidR="005233BF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Justifica a relevância do estudo? NÃO. Farm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acologicamente deve-se destacar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 “mecanismo de ação” em vez do 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“princípio de ação”. A raridade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deste evento adverso não destacada na introdução. Existem várias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publicações a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reportar riscos, classificação e estatísticas 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hemorragias associadas aos fármacos. Par</w:t>
      </w:r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ece-me importante enunciar esse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dado na Introdução com referência a </w:t>
      </w:r>
      <w:proofErr w:type="spellStart"/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epistaxis</w:t>
      </w:r>
      <w:proofErr w:type="spellEnd"/>
      <w:r w:rsidR="0043799C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, hematoma subcutâneo,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hematúria, sangue no tracto gastrintestinal, etc.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lastRenderedPageBreak/>
        <w:br/>
        <w:t>(podem aproveitar a REF. 5 da bibliografia).</w:t>
      </w:r>
    </w:p>
    <w:p w:rsidR="005233BF" w:rsidRDefault="005233BF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5A7851" w:rsidRDefault="005233BF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No estudo (ref5) 42.9% dos doentes referiu a ocorrência de episódios de hemorragia nos 3 dias seguinte</w:t>
      </w:r>
      <w:r w:rsidR="005A785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s a ú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ltima toma</w:t>
      </w:r>
      <w:r w:rsidR="005A785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do fármaco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. Destes, 58.9% foram eventos </w:t>
      </w:r>
      <w:proofErr w:type="spellStart"/>
      <w:r w:rsidRPr="005A7851">
        <w:rPr>
          <w:rFonts w:ascii="Helvetica" w:eastAsia="Times New Roman" w:hAnsi="Helvetica" w:cs="Times New Roman"/>
          <w:i/>
          <w:color w:val="4472C4" w:themeColor="accent1"/>
          <w:sz w:val="18"/>
          <w:szCs w:val="18"/>
          <w:lang w:eastAsia="pt-PT"/>
        </w:rPr>
        <w:t>minor</w:t>
      </w:r>
      <w:proofErr w:type="spellEnd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, </w:t>
      </w:r>
      <w:r w:rsidR="005A785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sem necessidade de administração de complexo pro-</w:t>
      </w:r>
      <w:proofErr w:type="spellStart"/>
      <w:r w:rsidR="005A785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trombínico</w:t>
      </w:r>
      <w:proofErr w:type="spellEnd"/>
      <w:r w:rsidR="005A785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ou cirurgia, 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tais como a hemorragia timp</w:t>
      </w:r>
      <w:r w:rsidR="008C3C73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ânica mencionada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neste </w:t>
      </w:r>
      <w:r w:rsidR="005A785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caso clínico.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</w:t>
      </w:r>
      <w:r w:rsidR="00D20CE7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Os autores não encontraram referência a</w:t>
      </w:r>
      <w:r w:rsidR="00A02305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hemorragia timpânica como efei</w:t>
      </w:r>
      <w:r w:rsidR="00D20CE7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to adverso do fármaco na literatura.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 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Métodos: NÃO EXISTE ESTE CAPÍTULO NO ARTIGO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Descreve como os objectivos foram realizad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os? Trata-se da descrição de um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caso clínico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O desenho de estudo e metodologia são apropriados para os objectivos?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Há falhas metodológicas?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Há rigor na estatística?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A metodologia nos manuscritos de caráter epidemiológico são adequados?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 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Resultados: NÃO EXISTE ESTE CAPÍTULO NO ARTIGO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A apresentação e análise dos dados é rigorosa?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São claros e convincentes?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Os quadros e tabelas são legíveis, elab</w:t>
      </w:r>
      <w:r w:rsidR="00722D9D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orados de forma correcta?</w:t>
      </w:r>
      <w:r w:rsidR="00722D9D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Discu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ssão: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Explica as implicações dos achados? SIM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Examina limitações? NÃO: Não é equacio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nada a hipótese de se tratar de uma miringite bolhosa. Os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sintomas descri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tos são sobreponíveis. Da mesma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forma que se investigaram outras possíveis 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origens de hemorragia também se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devem investigar concomitâncias clínic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as da miringite. Se juntarmos a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frequência clínica da miringite c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om a raridade de uma hemorragia espontânea do tímpano nos doentes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anticoagulados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e a aus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ência de outras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hemorragias muito mais comuns associa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das a estes fármacos é legítimo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perguntar se a entidade clínica em qu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estão deve ser considerada como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evento adverso do fármaco.</w:t>
      </w:r>
    </w:p>
    <w:p w:rsidR="00D20CE7" w:rsidRDefault="00D20CE7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D20CE7" w:rsidRPr="00D20CE7" w:rsidRDefault="00D20CE7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 w:rsidRPr="00D20CE7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Limitações:</w:t>
      </w:r>
    </w:p>
    <w:p w:rsidR="005A7851" w:rsidRPr="00D20CE7" w:rsidRDefault="005A7851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</w:p>
    <w:p w:rsidR="005A7851" w:rsidRPr="008C3C73" w:rsidRDefault="005A7851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 w:rsidRPr="00D20CE7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Os sinais e 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sintomas apresentados poderiam corresponder a uma miringite, no entanto a otalgia ligeira e o aspeto saudável da membrana timpânica</w:t>
      </w:r>
      <w:r w:rsidR="00C95DAF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,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não apontavam para esse diagnóstico. </w:t>
      </w:r>
      <w:r w:rsidR="00C95DAF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Não foi identificada otite media aguda, tal como se pode observar na imagem. </w:t>
      </w:r>
      <w:r w:rsidR="008204D3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A doente não apresent</w:t>
      </w:r>
      <w:r w:rsidR="00C95DAF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ou sintomatologia sistémica, como febre, astenia ou mialgias. 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A ocorrência </w:t>
      </w:r>
      <w:r w:rsidR="0077224A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de</w:t>
      </w:r>
      <w:r w:rsidR="006C0D54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eventos hemorrágicos pode ocorrer isoladamente. 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Identifica áreas que necessitam mais estudo? NÃO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Conclusão: NÃO EXISTE ESTE CAPÍTULO NO ARTIGO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Considerando o objetivo enunciado (“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Our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go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al</w:t>
      </w:r>
      <w:proofErr w:type="spellEnd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is</w:t>
      </w:r>
      <w:proofErr w:type="spellEnd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to </w:t>
      </w:r>
      <w:proofErr w:type="spellStart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alert</w:t>
      </w:r>
      <w:proofErr w:type="spellEnd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for a </w:t>
      </w:r>
      <w:proofErr w:type="spellStart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presumable</w:t>
      </w:r>
      <w:proofErr w:type="spellEnd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side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effect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of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this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drug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in ENT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clini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cal</w:t>
      </w:r>
      <w:proofErr w:type="spellEnd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practise</w:t>
      </w:r>
      <w:proofErr w:type="spellEnd"/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”) não há uma clara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resposta ao 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mesmo no texto final do artigo.</w:t>
      </w:r>
    </w:p>
    <w:p w:rsidR="00722D9D" w:rsidRDefault="005A7851" w:rsidP="00D20CE7">
      <w:pPr>
        <w:pStyle w:val="NormalWeb"/>
        <w:rPr>
          <w:rFonts w:ascii="Helvetica" w:hAnsi="Helvetica"/>
          <w:color w:val="000000"/>
          <w:sz w:val="18"/>
          <w:szCs w:val="18"/>
        </w:rPr>
      </w:pPr>
      <w:r w:rsidRPr="00022EB8">
        <w:rPr>
          <w:rFonts w:ascii="Helvetica" w:hAnsi="Helvetica"/>
          <w:color w:val="4472C4" w:themeColor="accent1"/>
          <w:sz w:val="18"/>
          <w:szCs w:val="18"/>
        </w:rPr>
        <w:t>Ainda n</w:t>
      </w:r>
      <w:r w:rsidR="00022EB8" w:rsidRPr="00022EB8">
        <w:rPr>
          <w:rFonts w:ascii="Helvetica" w:hAnsi="Helvetica"/>
          <w:color w:val="4472C4" w:themeColor="accent1"/>
          <w:sz w:val="18"/>
          <w:szCs w:val="18"/>
        </w:rPr>
        <w:t>ão se encontra estabelecida</w:t>
      </w:r>
      <w:r w:rsidRPr="00022EB8">
        <w:rPr>
          <w:rFonts w:ascii="Helvetica" w:hAnsi="Helvetica"/>
          <w:color w:val="4472C4" w:themeColor="accent1"/>
          <w:sz w:val="18"/>
          <w:szCs w:val="18"/>
        </w:rPr>
        <w:t xml:space="preserve"> na literatura a verdadeira extensão dos efeitos adversos deste fármaco, pelo que o objetivo se encontra respondido com a </w:t>
      </w:r>
      <w:r w:rsidR="00022EB8" w:rsidRPr="00022EB8">
        <w:rPr>
          <w:rFonts w:ascii="Helvetica" w:hAnsi="Helvetica"/>
          <w:color w:val="4472C4" w:themeColor="accent1"/>
          <w:sz w:val="18"/>
          <w:szCs w:val="18"/>
        </w:rPr>
        <w:t xml:space="preserve">exposição deste caso clínico. </w:t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  <w:t>Referências:</w:t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  <w:t>A literatura existente foi considerada de forma apropriada? SIM</w:t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  <w:t>Seguem o estilo da AMP? SIM</w:t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  <w:t>A principal finalidade da revisão pelos p</w:t>
      </w:r>
      <w:r w:rsidR="00755B4A">
        <w:rPr>
          <w:rFonts w:ascii="Helvetica" w:hAnsi="Helvetica"/>
          <w:color w:val="000000"/>
          <w:sz w:val="18"/>
          <w:szCs w:val="18"/>
        </w:rPr>
        <w:t>ares é garantir a exa</w:t>
      </w:r>
      <w:r w:rsidR="00610827">
        <w:rPr>
          <w:rFonts w:ascii="Helvetica" w:hAnsi="Helvetica"/>
          <w:color w:val="000000"/>
          <w:sz w:val="18"/>
          <w:szCs w:val="18"/>
        </w:rPr>
        <w:t xml:space="preserve">tidão dos </w:t>
      </w:r>
      <w:r w:rsidR="00B13631" w:rsidRPr="00B13631">
        <w:rPr>
          <w:rFonts w:ascii="Helvetica" w:hAnsi="Helvetica"/>
          <w:color w:val="000000"/>
          <w:sz w:val="18"/>
          <w:szCs w:val="18"/>
        </w:rPr>
        <w:t>manuscrito</w:t>
      </w:r>
      <w:r w:rsidR="00755B4A">
        <w:rPr>
          <w:rFonts w:ascii="Helvetica" w:hAnsi="Helvetica"/>
          <w:color w:val="000000"/>
          <w:sz w:val="18"/>
          <w:szCs w:val="18"/>
        </w:rPr>
        <w:t>s</w:t>
      </w:r>
      <w:r w:rsidR="00B13631" w:rsidRPr="00B13631">
        <w:rPr>
          <w:rFonts w:ascii="Helvetica" w:hAnsi="Helvetica"/>
          <w:color w:val="000000"/>
          <w:sz w:val="18"/>
          <w:szCs w:val="18"/>
        </w:rPr>
        <w:t>, por isso as referências devem ser verificadas.</w:t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</w:r>
      <w:r w:rsidR="00B13631" w:rsidRPr="00B13631">
        <w:rPr>
          <w:rFonts w:ascii="Helvetica" w:hAnsi="Helvetica"/>
          <w:color w:val="000000"/>
          <w:sz w:val="18"/>
          <w:szCs w:val="18"/>
        </w:rPr>
        <w:br/>
        <w:t>Os artigos citados possuem, de facto, a informação descrita</w:t>
      </w:r>
      <w:r w:rsidR="00722D9D">
        <w:rPr>
          <w:rFonts w:ascii="Helvetica" w:hAnsi="Helvetica"/>
          <w:color w:val="000000"/>
          <w:sz w:val="18"/>
          <w:szCs w:val="18"/>
        </w:rPr>
        <w:t xml:space="preserve"> no manuscrito? </w:t>
      </w:r>
      <w:r w:rsidR="00B13631" w:rsidRPr="00B13631">
        <w:rPr>
          <w:rFonts w:ascii="Helvetica" w:hAnsi="Helvetica"/>
          <w:color w:val="000000"/>
          <w:sz w:val="18"/>
          <w:szCs w:val="18"/>
        </w:rPr>
        <w:t xml:space="preserve">SIM </w:t>
      </w:r>
    </w:p>
    <w:p w:rsidR="00D20CE7" w:rsidRDefault="00B13631" w:rsidP="00D20CE7">
      <w:pPr>
        <w:pStyle w:val="NormalWeb"/>
        <w:rPr>
          <w:rFonts w:ascii="AdvOTd40fda3b.B" w:hAnsi="AdvOTd40fda3b.B"/>
          <w:sz w:val="32"/>
          <w:szCs w:val="32"/>
        </w:rPr>
      </w:pPr>
      <w:r w:rsidRPr="00B13631">
        <w:rPr>
          <w:rFonts w:ascii="Helvetica" w:hAnsi="Helvetica"/>
          <w:color w:val="000000"/>
          <w:sz w:val="18"/>
          <w:szCs w:val="18"/>
        </w:rPr>
        <w:t>Algum artigo recente ou relevante foi omitido? NÃO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A percentagem de referências recentes é adequada? SIM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 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Tabelas / Figuras: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A sua mensagem é bem clara sem ser n</w:t>
      </w:r>
      <w:r w:rsidR="00722D9D">
        <w:rPr>
          <w:rFonts w:ascii="Helvetica" w:hAnsi="Helvetica"/>
          <w:color w:val="000000"/>
          <w:sz w:val="18"/>
          <w:szCs w:val="18"/>
        </w:rPr>
        <w:t xml:space="preserve">ecessário a referência no texto </w:t>
      </w:r>
      <w:r w:rsidRPr="00B13631">
        <w:rPr>
          <w:rFonts w:ascii="Helvetica" w:hAnsi="Helvetica"/>
          <w:color w:val="000000"/>
          <w:sz w:val="18"/>
          <w:szCs w:val="18"/>
        </w:rPr>
        <w:t>principal? SIM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Estão claramente identificadas e legíveis? SIM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Todas as abreviaturas e acrónimos estão</w:t>
      </w:r>
      <w:r w:rsidR="00722D9D">
        <w:rPr>
          <w:rFonts w:ascii="Helvetica" w:hAnsi="Helvetica"/>
          <w:color w:val="000000"/>
          <w:sz w:val="18"/>
          <w:szCs w:val="18"/>
        </w:rPr>
        <w:t xml:space="preserve"> definidos nas notas de rodapé? </w:t>
      </w:r>
      <w:r w:rsidRPr="00B13631">
        <w:rPr>
          <w:rFonts w:ascii="Helvetica" w:hAnsi="Helvetica"/>
          <w:color w:val="000000"/>
          <w:sz w:val="18"/>
          <w:szCs w:val="18"/>
        </w:rPr>
        <w:t>NÃO APLICAVÉL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 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Agradecimentos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Identifica a fonte de financiamento? NÃO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Identifica conflitos de interesse? NÃO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="006C0D54" w:rsidRPr="006C0D54">
        <w:rPr>
          <w:rFonts w:ascii="Helvetica" w:hAnsi="Helvetica"/>
          <w:color w:val="4472C4" w:themeColor="accent1"/>
          <w:sz w:val="18"/>
          <w:szCs w:val="18"/>
        </w:rPr>
        <w:t>Os autores declaram não ter qualquer conflito de interesse referente ao presente artigo.</w:t>
      </w:r>
      <w:r w:rsidR="006C0D54" w:rsidRPr="006C0D54">
        <w:rPr>
          <w:rFonts w:ascii="AdvOTd40fda3b.B" w:hAnsi="AdvOTd40fda3b.B"/>
          <w:sz w:val="32"/>
          <w:szCs w:val="32"/>
        </w:rPr>
        <w:t xml:space="preserve"> </w:t>
      </w:r>
    </w:p>
    <w:p w:rsidR="00D20CE7" w:rsidRPr="00D20CE7" w:rsidRDefault="006C0D54" w:rsidP="00D20CE7">
      <w:pPr>
        <w:pStyle w:val="NormalWeb"/>
        <w:rPr>
          <w:rFonts w:ascii="AdvOTd40fda3b.B" w:hAnsi="AdvOTd40fda3b.B"/>
          <w:sz w:val="32"/>
          <w:szCs w:val="32"/>
        </w:rPr>
      </w:pPr>
      <w:r w:rsidRPr="006C0D54">
        <w:rPr>
          <w:rFonts w:ascii="Helvetica" w:hAnsi="Helvetica"/>
          <w:color w:val="4472C4" w:themeColor="accent1"/>
          <w:sz w:val="18"/>
          <w:szCs w:val="18"/>
        </w:rPr>
        <w:t>Os autores declaram</w:t>
      </w:r>
      <w:r>
        <w:rPr>
          <w:rFonts w:ascii="Helvetica" w:hAnsi="Helvetica"/>
          <w:color w:val="4472C4" w:themeColor="accent1"/>
          <w:sz w:val="18"/>
          <w:szCs w:val="18"/>
        </w:rPr>
        <w:t xml:space="preserve"> não ter recebido quaisquer subsídios ou bolsas para a elaboração deste artigo. </w:t>
      </w:r>
    </w:p>
    <w:p w:rsidR="00022EB8" w:rsidRPr="00722D9D" w:rsidRDefault="00B13631" w:rsidP="00722D9D">
      <w:pPr>
        <w:pStyle w:val="NormalWeb"/>
      </w:pPr>
      <w:r w:rsidRPr="00B13631">
        <w:rPr>
          <w:rFonts w:ascii="Helvetica" w:hAnsi="Helvetica"/>
          <w:color w:val="000000"/>
          <w:sz w:val="18"/>
          <w:szCs w:val="18"/>
        </w:rPr>
        <w:br/>
        <w:t>Extensão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O manuscrito pode ser encurtado sem eliminar aspectos fundamentais? NÃO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 xml:space="preserve">As figuras/tabelas podem ser </w:t>
      </w:r>
      <w:r w:rsidR="00D20CE7">
        <w:rPr>
          <w:rFonts w:ascii="Helvetica" w:hAnsi="Helvetica"/>
          <w:color w:val="000000"/>
          <w:sz w:val="18"/>
          <w:szCs w:val="18"/>
        </w:rPr>
        <w:t>eliminadas ou melhoradas? NÃO</w:t>
      </w:r>
      <w:r w:rsidR="00D20CE7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 xml:space="preserve">Apresentação: o manuscrito é apresentado </w:t>
      </w:r>
      <w:r w:rsidR="00D20CE7">
        <w:rPr>
          <w:rFonts w:ascii="Helvetica" w:hAnsi="Helvetica"/>
          <w:color w:val="000000"/>
          <w:sz w:val="18"/>
          <w:szCs w:val="18"/>
        </w:rPr>
        <w:t xml:space="preserve">de uma forma clara e lógica? Se </w:t>
      </w:r>
      <w:r w:rsidRPr="00B13631">
        <w:rPr>
          <w:rFonts w:ascii="Helvetica" w:hAnsi="Helvetica"/>
          <w:color w:val="000000"/>
          <w:sz w:val="18"/>
          <w:szCs w:val="18"/>
        </w:rPr>
        <w:t>não, pode ser melhorado? Como? SIM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>Recomendação de publicação: Acha que o ma</w:t>
      </w:r>
      <w:r w:rsidR="00610827">
        <w:rPr>
          <w:rFonts w:ascii="Helvetica" w:hAnsi="Helvetica"/>
          <w:color w:val="000000"/>
          <w:sz w:val="18"/>
          <w:szCs w:val="18"/>
        </w:rPr>
        <w:t xml:space="preserve">nuscrito deve ser publicado na </w:t>
      </w:r>
      <w:r w:rsidR="00D20CE7">
        <w:rPr>
          <w:rFonts w:ascii="Helvetica" w:hAnsi="Helvetica"/>
          <w:color w:val="000000"/>
          <w:sz w:val="18"/>
          <w:szCs w:val="18"/>
        </w:rPr>
        <w:t xml:space="preserve">AMP? Porquê? Porque </w:t>
      </w:r>
      <w:r w:rsidRPr="00B13631">
        <w:rPr>
          <w:rFonts w:ascii="Helvetica" w:hAnsi="Helvetica"/>
          <w:color w:val="000000"/>
          <w:sz w:val="18"/>
          <w:szCs w:val="18"/>
        </w:rPr>
        <w:t>não?</w:t>
      </w:r>
      <w:r w:rsidRPr="00B13631">
        <w:rPr>
          <w:rFonts w:ascii="Helvetica" w:hAnsi="Helvetica"/>
          <w:color w:val="000000"/>
          <w:sz w:val="18"/>
          <w:szCs w:val="18"/>
        </w:rPr>
        <w:br/>
      </w:r>
      <w:r w:rsidRPr="00B13631">
        <w:rPr>
          <w:rFonts w:ascii="Helvetica" w:hAnsi="Helvetica"/>
          <w:color w:val="000000"/>
          <w:sz w:val="18"/>
          <w:szCs w:val="18"/>
        </w:rPr>
        <w:br/>
        <w:t xml:space="preserve">NÃO. Por se tratar de um possível </w:t>
      </w:r>
      <w:r w:rsidR="00610827">
        <w:rPr>
          <w:rFonts w:ascii="Helvetica" w:hAnsi="Helvetica"/>
          <w:color w:val="000000"/>
          <w:sz w:val="18"/>
          <w:szCs w:val="18"/>
        </w:rPr>
        <w:t xml:space="preserve">evento adverso de um fármaco, o </w:t>
      </w:r>
      <w:r w:rsidRPr="00B13631">
        <w:rPr>
          <w:rFonts w:ascii="Helvetica" w:hAnsi="Helvetica"/>
          <w:color w:val="000000"/>
          <w:sz w:val="18"/>
          <w:szCs w:val="18"/>
        </w:rPr>
        <w:t>procedimento protocolar consiste em com</w:t>
      </w:r>
      <w:r w:rsidR="00610827">
        <w:rPr>
          <w:rFonts w:ascii="Helvetica" w:hAnsi="Helvetica"/>
          <w:color w:val="000000"/>
          <w:sz w:val="18"/>
          <w:szCs w:val="18"/>
        </w:rPr>
        <w:t xml:space="preserve">unicar à Direção Geral da Saúde </w:t>
      </w:r>
      <w:r w:rsidRPr="00B13631">
        <w:rPr>
          <w:rFonts w:ascii="Helvetica" w:hAnsi="Helvetica"/>
          <w:color w:val="000000"/>
          <w:sz w:val="18"/>
          <w:szCs w:val="18"/>
        </w:rPr>
        <w:t>(DGS) através do Sistema Nacional de Notificação de Incidentes –</w:t>
      </w:r>
      <w:r w:rsidRPr="00B13631">
        <w:rPr>
          <w:rFonts w:ascii="Helvetica" w:hAnsi="Helvetica"/>
          <w:color w:val="000000"/>
          <w:sz w:val="18"/>
          <w:szCs w:val="18"/>
        </w:rPr>
        <w:br/>
        <w:t>NOTIFICA, a potencial relação ou nexo. Sug</w:t>
      </w:r>
      <w:r w:rsidR="0043799C">
        <w:rPr>
          <w:rFonts w:ascii="Helvetica" w:hAnsi="Helvetica"/>
          <w:color w:val="000000"/>
          <w:sz w:val="18"/>
          <w:szCs w:val="18"/>
        </w:rPr>
        <w:t xml:space="preserve">iro fortemente que os autores o </w:t>
      </w:r>
      <w:r w:rsidRPr="00B13631">
        <w:rPr>
          <w:rFonts w:ascii="Helvetica" w:hAnsi="Helvetica"/>
          <w:color w:val="000000"/>
          <w:sz w:val="18"/>
          <w:szCs w:val="18"/>
        </w:rPr>
        <w:t xml:space="preserve">façam pois, se o parecer da DGS for </w:t>
      </w:r>
      <w:proofErr w:type="spellStart"/>
      <w:r w:rsidRPr="00B13631">
        <w:rPr>
          <w:rFonts w:ascii="Helvetica" w:hAnsi="Helvetica"/>
          <w:color w:val="000000"/>
          <w:sz w:val="18"/>
          <w:szCs w:val="18"/>
        </w:rPr>
        <w:t>fa</w:t>
      </w:r>
      <w:r w:rsidR="00610827">
        <w:rPr>
          <w:rFonts w:ascii="Helvetica" w:hAnsi="Helvetica"/>
          <w:color w:val="000000"/>
          <w:sz w:val="18"/>
          <w:szCs w:val="18"/>
        </w:rPr>
        <w:t>voravél</w:t>
      </w:r>
      <w:proofErr w:type="spellEnd"/>
      <w:r w:rsidR="00610827">
        <w:rPr>
          <w:rFonts w:ascii="Helvetica" w:hAnsi="Helvetica"/>
          <w:color w:val="000000"/>
          <w:sz w:val="18"/>
          <w:szCs w:val="18"/>
        </w:rPr>
        <w:t xml:space="preserve"> à relação </w:t>
      </w:r>
      <w:proofErr w:type="spellStart"/>
      <w:r w:rsidR="00610827">
        <w:rPr>
          <w:rFonts w:ascii="Helvetica" w:hAnsi="Helvetica"/>
          <w:color w:val="000000"/>
          <w:sz w:val="18"/>
          <w:szCs w:val="18"/>
        </w:rPr>
        <w:t>Rivaroxaban</w:t>
      </w:r>
      <w:proofErr w:type="spellEnd"/>
      <w:r w:rsidR="00610827">
        <w:rPr>
          <w:rFonts w:ascii="Helvetica" w:hAnsi="Helvetica"/>
          <w:color w:val="000000"/>
          <w:sz w:val="18"/>
          <w:szCs w:val="18"/>
        </w:rPr>
        <w:t xml:space="preserve"> – </w:t>
      </w:r>
      <w:r w:rsidRPr="00B13631">
        <w:rPr>
          <w:rFonts w:ascii="Helvetica" w:hAnsi="Helvetica"/>
          <w:color w:val="000000"/>
          <w:sz w:val="18"/>
          <w:szCs w:val="18"/>
        </w:rPr>
        <w:t>Hemorragia timpânica, então o art</w:t>
      </w:r>
      <w:r w:rsidR="00610827">
        <w:rPr>
          <w:rFonts w:ascii="Helvetica" w:hAnsi="Helvetica"/>
          <w:color w:val="000000"/>
          <w:sz w:val="18"/>
          <w:szCs w:val="18"/>
        </w:rPr>
        <w:t xml:space="preserve">igo poderá ser apresentado para </w:t>
      </w:r>
      <w:r w:rsidRPr="00B13631">
        <w:rPr>
          <w:rFonts w:ascii="Helvetica" w:hAnsi="Helvetica"/>
          <w:color w:val="000000"/>
          <w:sz w:val="18"/>
          <w:szCs w:val="18"/>
        </w:rPr>
        <w:t xml:space="preserve">publicação, trazendo para a prática clínica </w:t>
      </w:r>
      <w:r w:rsidR="00610827">
        <w:rPr>
          <w:rFonts w:ascii="Helvetica" w:hAnsi="Helvetica"/>
          <w:color w:val="000000"/>
          <w:sz w:val="18"/>
          <w:szCs w:val="18"/>
        </w:rPr>
        <w:t>um evento raro e que importa valorizar e divulga</w:t>
      </w:r>
      <w:r w:rsidRPr="00B13631">
        <w:rPr>
          <w:rFonts w:ascii="Helvetica" w:hAnsi="Helvetica"/>
          <w:color w:val="000000"/>
          <w:sz w:val="18"/>
          <w:szCs w:val="18"/>
        </w:rPr>
        <w:t>r, sobretudo na comunidade otorrinolaringológica.</w:t>
      </w:r>
    </w:p>
    <w:p w:rsidR="00722D9D" w:rsidRDefault="00022EB8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Os autores não comunicaram este caso clínico à DGS.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 xml:space="preserve">Prioridade de publicação: em que ranking 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colocaria o manuscrito quanto à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prioridade de publicação? Nos primeiros 10%? Ver resposta anterior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------------------------------------------------------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----------------------------------------------------</w:t>
      </w:r>
    </w:p>
    <w:p w:rsidR="00610827" w:rsidRPr="00722D9D" w:rsidRDefault="00B13631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Revisor C: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 xml:space="preserve">Relevância: O tema do presente trabalho 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é atual, uma vez que aborda uma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possível complicação do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Rivaroxabano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, fá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rmaco pertencente a um grupo 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anticoagulantes orais cada vez mais utilizad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 nos dias de hoje. No entanto,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 complicação apresentada é expectáv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el e decorrente do mecanismo 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ação do fármaco e não se acompan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ha de repercussões otológicas 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longo-prazo.  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Originalidade: Este artigo é a primeir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 descrição na literatura de um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caso clínico de hematoma timpâni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co no contexto da utilização de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Rivaroxabano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Má conduta: Não existe evidência de prát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ica de má conduta por parte dos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autores.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Estrutura do Manuscrito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Título: Informativo. Reflete o conteúdo do artigo de forma sucinta.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Resumo: O resumo reflete o conteúdo do man</w:t>
      </w:r>
      <w:r w:rsidR="0061082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uscrito. É estruturado, claro 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conciso.  </w:t>
      </w:r>
    </w:p>
    <w:p w:rsidR="00022EB8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Introdução: Os autores apresentam o ra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cional para a descrição do caso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clínico de forma estruturada e 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consubstanciada por referências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bibliográficas válidas. No entanto, os a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utores, no final da introdução,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devem justificar qual a razão pela qual o c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aso deve ser publicado, isto é,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qual a sua mensagem educativa para o público mais generalista da AMP.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</w:p>
    <w:p w:rsidR="00022EB8" w:rsidRPr="00022EB8" w:rsidRDefault="00E7059D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O objetivo deste artigo consiste em apresentar uma possível complicação da utilização de fármacos </w:t>
      </w:r>
      <w:proofErr w:type="spellStart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anti-coagulantes</w:t>
      </w:r>
      <w:proofErr w:type="spellEnd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que deve ser do conhecimento da comunidade médica. </w:t>
      </w:r>
    </w:p>
    <w:p w:rsidR="00022EB8" w:rsidRDefault="00022EB8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920837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Descrição do caso clínico: A descrição do cas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 clínico é realizada 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forma adequada, breve e clara. Os autores 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salientam os achados relevantes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para transmitir a mensagem do cas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 clínico. A Figura submetida é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ilustrativa dos achados e apresen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ta qualidade para publicação. 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confidencialidade dos dados encontra-se assegurada.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Discussão: Os autores definem a mensagem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que o caso clínico encerra, no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entanto a mesma apresenta algumas limitações.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Embora de acordo com a literatura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doentes com terapêutica prévia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anticoagulante com Varfarina tenham maior proba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bilidade de apresentar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micro-hemorragias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cerebrais (p=.03), os n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ovos anticoagulantes orais (não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antagonistas da vitamina K) não mos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traram aumentar a incidência de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micro-hemorragia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cerebral (Saito 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 </w:t>
      </w:r>
      <w:proofErr w:type="spellStart"/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et</w:t>
      </w:r>
      <w:proofErr w:type="spellEnd"/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al, 2015). Estes resultados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contrariam, portanto, a hipótese colocada pelos autores.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Por outro lado, os novos anticoagulant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es orais foram associados a uma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redução significativa de hemorragia majo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r comparativamente à Varfarina,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principalmente pela redução de ocorrênci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 de AVC hemorrágico (</w:t>
      </w:r>
      <w:proofErr w:type="spellStart"/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Ntaios</w:t>
      </w:r>
      <w:proofErr w:type="spellEnd"/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et</w:t>
      </w:r>
      <w:proofErr w:type="spellEnd"/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al, 2017).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É necessária, deste modo, uma revisão ma</w:t>
      </w:r>
      <w:r w:rsidR="00022EB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is rigorosa da literatura e uma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reformulação da discussão por parte dos autores.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Adicionalmente, a extrapolação realizad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 pelos autores, que comparam 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risco de hemorragia timpânica à de </w:t>
      </w:r>
      <w:proofErr w:type="spellStart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micro-hemorragia</w:t>
      </w:r>
      <w:proofErr w:type="spellEnd"/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cerebral par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ece-me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desadequada.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No entanto, o trabalho tem grande potenci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al para trazer citações, um vez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que se trata de uma complicação não anter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iormente descrita de um fármaco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 uso generalizado.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De forma a valorizar o trabalho, os autores podem enfatizar na disc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ussão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que a otoscopia é uma técnica de di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agnóstico que a maior parte dos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médicos deve saber realizar e que, port</w:t>
      </w:r>
      <w:r w:rsidR="00D20CE7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anto, a maior parte dos médicos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pode detetar esta complicação.</w:t>
      </w:r>
    </w:p>
    <w:p w:rsidR="00920837" w:rsidRDefault="00920837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8C3C73" w:rsidRDefault="008C3C73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O facto de estes fármacos apresentar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em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menor risco hemorrágico, nomeadamente cerebral, do que a varfarina, não os exclui de apresentarem esse risco. Deste modo, a sua administração deve ser parcimoniosa, particularmente em doentes com características demenciais/idosos, uma vez que 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se desconhece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se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estes f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ármacos se encontram</w:t>
      </w: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isentos de 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risco de </w:t>
      </w:r>
      <w:proofErr w:type="spellStart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micro-hemorragia</w:t>
      </w:r>
      <w:proofErr w:type="spellEnd"/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cerebral.</w:t>
      </w:r>
    </w:p>
    <w:p w:rsidR="008C3C73" w:rsidRDefault="008C3C73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No entanto, uma vez que se trata de facto de uma extrapolaç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ão</w:t>
      </w:r>
      <w:r w:rsidR="00E527C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, os autores </w:t>
      </w:r>
      <w:r w:rsidR="00E7059D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removem a</w:t>
      </w:r>
      <w:r w:rsidR="00E527C1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mesma da discussão. </w:t>
      </w:r>
    </w:p>
    <w:p w:rsidR="008C3C73" w:rsidRDefault="008C3C73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</w:p>
    <w:p w:rsidR="00BF4EBB" w:rsidRDefault="00920837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920837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A otoscopia é um gesto médico</w:t>
      </w:r>
      <w:r w:rsidR="00D20CE7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 xml:space="preserve"> essencial e acessível, que permite a deteção de alterações na membrana timpânica. Este gesto deve ser praticado pelos médicos generalistas de forma expedita, permitindo-lhes detetar complicações como a hemorragia timpânica.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Referências: A literatura existente foi co</w:t>
      </w:r>
      <w:r w:rsidR="00866FBF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nsiderada de forma apropriada e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cumpre o limite máximo de 15 referências.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No entanto, são necessárias algumas corr</w:t>
      </w:r>
      <w:r w:rsidR="00866FBF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eções, pois não seguem o estilo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da AMP (os autores devem rever as normas de publicação).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Quanto às referências dos artigos cient</w:t>
      </w:r>
      <w:r w:rsidR="00866FBF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íficos impressos: (1) devem ser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listados todos os autores até seis</w:t>
      </w:r>
      <w:r w:rsidR="00866FBF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nomes e, caso esse número seja 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ultrapassado, devem ser listados os primeiros 6 autores, seguidos de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et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al.;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(2) não deve ser referido o fascículo (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issue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) nem o </w:t>
      </w:r>
      <w:proofErr w:type="spellStart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doi</w:t>
      </w:r>
      <w:proofErr w:type="spellEnd"/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: da publicação;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(3) as páginas também não estão referidas corretamente.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</w:p>
    <w:p w:rsidR="00BF4EBB" w:rsidRPr="00BF4EBB" w:rsidRDefault="00BF4EBB" w:rsidP="00B13631">
      <w:pPr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</w:pPr>
      <w:r w:rsidRPr="00BF4EBB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As correções necessárias nas referências encontram-se realizadas no artigo revisto</w:t>
      </w:r>
      <w:r w:rsidR="004405C0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, enviado em anexo</w:t>
      </w:r>
      <w:bookmarkStart w:id="0" w:name="_GoBack"/>
      <w:bookmarkEnd w:id="0"/>
      <w:r w:rsidRPr="00BF4EBB">
        <w:rPr>
          <w:rFonts w:ascii="Helvetica" w:eastAsia="Times New Roman" w:hAnsi="Helvetica" w:cs="Times New Roman"/>
          <w:color w:val="4472C4" w:themeColor="accent1"/>
          <w:sz w:val="18"/>
          <w:szCs w:val="18"/>
          <w:lang w:eastAsia="pt-PT"/>
        </w:rPr>
        <w:t>.</w:t>
      </w:r>
    </w:p>
    <w:p w:rsidR="003028EC" w:rsidRDefault="00B13631" w:rsidP="00B13631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Figuras: A figura apresentada é clara</w:t>
      </w:r>
      <w:r w:rsidR="00755B4A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e legível. A sua referência no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texto está feita corretamente.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Agradecimentos: Os autores não identif</w:t>
      </w:r>
      <w:r w:rsidR="00755B4A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icam ou excluem a utilização de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alguma fonte de financiamento ou a existê</w:t>
      </w:r>
      <w:r w:rsidR="00755B4A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ncia de conflitos de interesse. </w:t>
      </w:r>
      <w:r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Devem fazê-lo de forma clara.</w:t>
      </w:r>
    </w:p>
    <w:p w:rsidR="00D20CE7" w:rsidRDefault="00D20CE7" w:rsidP="00D20CE7">
      <w:pPr>
        <w:pStyle w:val="NormalWeb"/>
        <w:rPr>
          <w:rFonts w:ascii="AdvOTd40fda3b.B" w:hAnsi="AdvOTd40fda3b.B"/>
          <w:sz w:val="32"/>
          <w:szCs w:val="32"/>
        </w:rPr>
      </w:pPr>
      <w:r w:rsidRPr="006C0D54">
        <w:rPr>
          <w:rFonts w:ascii="Helvetica" w:hAnsi="Helvetica"/>
          <w:color w:val="4472C4" w:themeColor="accent1"/>
          <w:sz w:val="18"/>
          <w:szCs w:val="18"/>
        </w:rPr>
        <w:t>Os autores declaram não ter qualquer conflito de interesse referente ao presente artigo.</w:t>
      </w:r>
      <w:r w:rsidRPr="006C0D54">
        <w:rPr>
          <w:rFonts w:ascii="AdvOTd40fda3b.B" w:hAnsi="AdvOTd40fda3b.B"/>
          <w:sz w:val="32"/>
          <w:szCs w:val="32"/>
        </w:rPr>
        <w:t xml:space="preserve"> </w:t>
      </w:r>
    </w:p>
    <w:p w:rsidR="00B13631" w:rsidRPr="00B13631" w:rsidRDefault="00D20CE7" w:rsidP="00D20CE7">
      <w:pPr>
        <w:rPr>
          <w:rFonts w:ascii="Times New Roman" w:eastAsia="Times New Roman" w:hAnsi="Times New Roman" w:cs="Times New Roman"/>
          <w:lang w:eastAsia="pt-PT"/>
        </w:rPr>
      </w:pPr>
      <w:r w:rsidRPr="006C0D54">
        <w:rPr>
          <w:rFonts w:ascii="Helvetica" w:hAnsi="Helvetica"/>
          <w:color w:val="4472C4" w:themeColor="accent1"/>
          <w:sz w:val="18"/>
          <w:szCs w:val="18"/>
        </w:rPr>
        <w:t>Os autores declaram</w:t>
      </w:r>
      <w:r>
        <w:rPr>
          <w:rFonts w:ascii="Helvetica" w:hAnsi="Helvetica"/>
          <w:color w:val="4472C4" w:themeColor="accent1"/>
          <w:sz w:val="18"/>
          <w:szCs w:val="18"/>
        </w:rPr>
        <w:t xml:space="preserve"> não ter recebido quaisquer subsídios ou bolsas para a elaboração deste artigo.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Extensão: O manuscrito apresenta uma extensão adequada.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Apresentação: O manuscrito é apresentado de uma forma clara e lógica.</w:t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="00B13631" w:rsidRPr="00B13631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Recomendação de publicação: Aceitação condicionada a alterações.</w:t>
      </w:r>
    </w:p>
    <w:p w:rsidR="009F69F5" w:rsidRDefault="009F69F5"/>
    <w:sectPr w:rsidR="009F69F5" w:rsidSect="001558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d40fda3b.B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B13631"/>
    <w:rsid w:val="00022EB8"/>
    <w:rsid w:val="001558F3"/>
    <w:rsid w:val="003028EC"/>
    <w:rsid w:val="00345AE9"/>
    <w:rsid w:val="0043799C"/>
    <w:rsid w:val="004405C0"/>
    <w:rsid w:val="00454D84"/>
    <w:rsid w:val="005233BF"/>
    <w:rsid w:val="0054410C"/>
    <w:rsid w:val="005A7851"/>
    <w:rsid w:val="00610827"/>
    <w:rsid w:val="006540AC"/>
    <w:rsid w:val="00675998"/>
    <w:rsid w:val="006C0D54"/>
    <w:rsid w:val="00722D9D"/>
    <w:rsid w:val="00755B4A"/>
    <w:rsid w:val="0077224A"/>
    <w:rsid w:val="008204D3"/>
    <w:rsid w:val="00866FBF"/>
    <w:rsid w:val="00885DF5"/>
    <w:rsid w:val="008C3C73"/>
    <w:rsid w:val="00920837"/>
    <w:rsid w:val="009F69F5"/>
    <w:rsid w:val="00A02305"/>
    <w:rsid w:val="00A90221"/>
    <w:rsid w:val="00B13631"/>
    <w:rsid w:val="00BF4EBB"/>
    <w:rsid w:val="00C66E7C"/>
    <w:rsid w:val="00C7309D"/>
    <w:rsid w:val="00C95DAF"/>
    <w:rsid w:val="00D20CE7"/>
    <w:rsid w:val="00E527C1"/>
    <w:rsid w:val="00E7059D"/>
    <w:rsid w:val="00F5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MReis</cp:lastModifiedBy>
  <cp:revision>2</cp:revision>
  <dcterms:created xsi:type="dcterms:W3CDTF">2018-08-28T12:06:00Z</dcterms:created>
  <dcterms:modified xsi:type="dcterms:W3CDTF">2018-08-28T12:06:00Z</dcterms:modified>
</cp:coreProperties>
</file>